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63" w:rsidRPr="00DA7D28" w:rsidRDefault="00C95BE4" w:rsidP="00C95BE4">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697A4E9-F847-42C5-A345-707210EB9396" style="width:450.75pt;height:400.5pt">
            <v:imagedata r:id="rId8" o:title=""/>
          </v:shape>
        </w:pict>
      </w:r>
    </w:p>
    <w:bookmarkEnd w:id="0"/>
    <w:p w:rsidR="00E90063" w:rsidRPr="00DA7D28" w:rsidRDefault="00E90063">
      <w:pPr>
        <w:sectPr w:rsidR="00E90063" w:rsidRPr="00DA7D28" w:rsidSect="00C95BE4">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p>
    <w:p w:rsidR="00E90063" w:rsidRPr="00DA7D28" w:rsidRDefault="00E90063">
      <w:pPr>
        <w:spacing w:after="120"/>
        <w:jc w:val="both"/>
        <w:rPr>
          <w:rFonts w:ascii="Times New Roman" w:eastAsia="Times New Roman" w:hAnsi="Times New Roman"/>
        </w:rPr>
      </w:pPr>
      <w:bookmarkStart w:id="1" w:name="_GoBack"/>
      <w:bookmarkEnd w:id="1"/>
    </w:p>
    <w:p w:rsidR="00E90063" w:rsidRPr="00DA7D28" w:rsidRDefault="00E90063">
      <w:pPr>
        <w:spacing w:after="120"/>
        <w:jc w:val="both"/>
        <w:rPr>
          <w:rFonts w:ascii="Times New Roman" w:eastAsia="Times New Roman" w:hAnsi="Times New Roman"/>
        </w:rPr>
      </w:pPr>
    </w:p>
    <w:bookmarkStart w:id="2" w:name="_Toc504983665" w:displacedByCustomXml="next"/>
    <w:bookmarkStart w:id="3" w:name="_Toc473205688" w:displacedByCustomXml="next"/>
    <w:sdt>
      <w:sdtPr>
        <w:rPr>
          <w:rFonts w:ascii="Times New Roman" w:hAnsi="Times New Roman"/>
          <w:b/>
        </w:rPr>
        <w:id w:val="2060520593"/>
        <w:docPartObj>
          <w:docPartGallery w:val="Table of Contents"/>
          <w:docPartUnique/>
        </w:docPartObj>
      </w:sdtPr>
      <w:sdtEndPr>
        <w:rPr>
          <w:b w:val="0"/>
          <w:bCs/>
        </w:rPr>
      </w:sdtEndPr>
      <w:sdtContent>
        <w:bookmarkEnd w:id="2" w:displacedByCustomXml="prev"/>
        <w:p w:rsidR="00464275" w:rsidRPr="00DA7D28" w:rsidRDefault="00BE7F2C" w:rsidP="00D67579">
          <w:pPr>
            <w:spacing w:after="120"/>
            <w:rPr>
              <w:rFonts w:ascii="Times New Roman" w:hAnsi="Times New Roman"/>
              <w:noProof/>
              <w:sz w:val="24"/>
              <w:szCs w:val="24"/>
            </w:rPr>
          </w:pPr>
          <w:r w:rsidRPr="00DA7D28">
            <w:rPr>
              <w:rFonts w:ascii="Times New Roman" w:hAnsi="Times New Roman"/>
              <w:b/>
              <w:sz w:val="24"/>
            </w:rPr>
            <w:t>Spis treści</w:t>
          </w:r>
          <w:r w:rsidRPr="00DA7D28">
            <w:rPr>
              <w:rFonts w:ascii="Times New Roman" w:eastAsia="Cambria" w:hAnsi="Times New Roman"/>
              <w:sz w:val="24"/>
              <w:szCs w:val="24"/>
            </w:rPr>
            <w:fldChar w:fldCharType="begin"/>
          </w:r>
          <w:r w:rsidRPr="00DA7D28">
            <w:rPr>
              <w:rFonts w:ascii="Times New Roman" w:hAnsi="Times New Roman"/>
              <w:sz w:val="24"/>
              <w:szCs w:val="24"/>
            </w:rPr>
            <w:instrText xml:space="preserve"> TOC \o "1-3" \h \z \u </w:instrText>
          </w:r>
          <w:r w:rsidRPr="00DA7D28">
            <w:rPr>
              <w:rFonts w:ascii="Times New Roman" w:eastAsia="Cambria" w:hAnsi="Times New Roman"/>
              <w:sz w:val="24"/>
              <w:szCs w:val="24"/>
            </w:rPr>
            <w:fldChar w:fldCharType="separate"/>
          </w:r>
        </w:p>
        <w:p w:rsidR="00464275" w:rsidRPr="00DA7D28" w:rsidRDefault="00C95BE4">
          <w:pPr>
            <w:pStyle w:val="TOC1"/>
            <w:tabs>
              <w:tab w:val="left" w:pos="440"/>
              <w:tab w:val="right" w:leader="dot" w:pos="9060"/>
            </w:tabs>
            <w:rPr>
              <w:rFonts w:ascii="Times New Roman" w:eastAsiaTheme="minorEastAsia" w:hAnsi="Times New Roman"/>
              <w:noProof/>
              <w:sz w:val="24"/>
              <w:szCs w:val="24"/>
              <w:lang w:eastAsia="en-GB" w:bidi="ar-SA"/>
            </w:rPr>
          </w:pPr>
          <w:hyperlink w:anchor="_Toc4776694" w:history="1">
            <w:r w:rsidR="00464275" w:rsidRPr="00DA7D28">
              <w:rPr>
                <w:rStyle w:val="Hyperlink"/>
                <w:rFonts w:ascii="Times New Roman" w:eastAsia="Times New Roman" w:hAnsi="Times New Roman"/>
                <w:noProof/>
                <w:sz w:val="24"/>
                <w:szCs w:val="24"/>
              </w:rPr>
              <w:t>1.</w:t>
            </w:r>
            <w:r w:rsidR="00464275" w:rsidRPr="00DA7D28">
              <w:rPr>
                <w:rFonts w:ascii="Times New Roman" w:eastAsiaTheme="minorEastAsia" w:hAnsi="Times New Roman"/>
                <w:noProof/>
                <w:sz w:val="24"/>
                <w:szCs w:val="24"/>
                <w:lang w:eastAsia="en-GB" w:bidi="ar-SA"/>
              </w:rPr>
              <w:tab/>
            </w:r>
            <w:r w:rsidR="00464275" w:rsidRPr="00DA7D28">
              <w:rPr>
                <w:rStyle w:val="Hyperlink"/>
                <w:rFonts w:ascii="Times New Roman" w:hAnsi="Times New Roman"/>
                <w:noProof/>
                <w:sz w:val="24"/>
                <w:szCs w:val="24"/>
              </w:rPr>
              <w:t>Wprowadzenie</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_Toc4776694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3</w:t>
            </w:r>
            <w:r w:rsidR="00464275" w:rsidRPr="00DA7D28">
              <w:rPr>
                <w:rFonts w:ascii="Times New Roman" w:hAnsi="Times New Roman"/>
                <w:noProof/>
                <w:webHidden/>
                <w:sz w:val="24"/>
                <w:szCs w:val="24"/>
              </w:rPr>
              <w:fldChar w:fldCharType="end"/>
            </w:r>
          </w:hyperlink>
        </w:p>
        <w:p w:rsidR="00464275" w:rsidRPr="00DA7D28" w:rsidRDefault="00C95BE4">
          <w:pPr>
            <w:pStyle w:val="TOC2"/>
            <w:tabs>
              <w:tab w:val="right" w:leader="dot" w:pos="9060"/>
            </w:tabs>
            <w:rPr>
              <w:rFonts w:ascii="Times New Roman" w:eastAsiaTheme="minorEastAsia" w:hAnsi="Times New Roman"/>
              <w:noProof/>
              <w:sz w:val="24"/>
              <w:szCs w:val="24"/>
              <w:lang w:eastAsia="en-GB" w:bidi="ar-SA"/>
            </w:rPr>
          </w:pPr>
          <w:hyperlink w:anchor="_Toc4776695" w:history="1">
            <w:r w:rsidR="00464275" w:rsidRPr="00DA7D28">
              <w:rPr>
                <w:rStyle w:val="Hyperlink"/>
                <w:rFonts w:ascii="Times New Roman" w:hAnsi="Times New Roman"/>
                <w:noProof/>
                <w:sz w:val="24"/>
                <w:szCs w:val="24"/>
              </w:rPr>
              <w:t>1.1 Turcja</w:t>
            </w:r>
            <w:r w:rsidR="00DA7D28" w:rsidRPr="00DA7D28">
              <w:rPr>
                <w:rStyle w:val="Hyperlink"/>
                <w:rFonts w:ascii="Times New Roman" w:hAnsi="Times New Roman"/>
                <w:noProof/>
                <w:sz w:val="24"/>
                <w:szCs w:val="24"/>
              </w:rPr>
              <w:t xml:space="preserve"> a</w:t>
            </w:r>
            <w:r w:rsidR="00DA7D28">
              <w:rPr>
                <w:rStyle w:val="Hyperlink"/>
                <w:rFonts w:ascii="Times New Roman" w:hAnsi="Times New Roman"/>
                <w:noProof/>
                <w:sz w:val="24"/>
                <w:szCs w:val="24"/>
              </w:rPr>
              <w:t> </w:t>
            </w:r>
            <w:r w:rsidR="00DA7D28" w:rsidRPr="00DA7D28">
              <w:rPr>
                <w:rStyle w:val="Hyperlink"/>
                <w:rFonts w:ascii="Times New Roman" w:hAnsi="Times New Roman"/>
                <w:noProof/>
                <w:sz w:val="24"/>
                <w:szCs w:val="24"/>
              </w:rPr>
              <w:t>kry</w:t>
            </w:r>
            <w:r w:rsidR="00464275" w:rsidRPr="00DA7D28">
              <w:rPr>
                <w:rStyle w:val="Hyperlink"/>
                <w:rFonts w:ascii="Times New Roman" w:hAnsi="Times New Roman"/>
                <w:noProof/>
                <w:sz w:val="24"/>
                <w:szCs w:val="24"/>
              </w:rPr>
              <w:t>zys uchodźczy</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_Toc4776695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3</w:t>
            </w:r>
            <w:r w:rsidR="00464275" w:rsidRPr="00DA7D28">
              <w:rPr>
                <w:rFonts w:ascii="Times New Roman" w:hAnsi="Times New Roman"/>
                <w:noProof/>
                <w:webHidden/>
                <w:sz w:val="24"/>
                <w:szCs w:val="24"/>
              </w:rPr>
              <w:fldChar w:fldCharType="end"/>
            </w:r>
          </w:hyperlink>
        </w:p>
        <w:p w:rsidR="00464275" w:rsidRPr="00DA7D28" w:rsidRDefault="00C95BE4">
          <w:pPr>
            <w:pStyle w:val="TOC2"/>
            <w:tabs>
              <w:tab w:val="right" w:leader="dot" w:pos="9060"/>
            </w:tabs>
            <w:rPr>
              <w:rFonts w:ascii="Times New Roman" w:eastAsiaTheme="minorEastAsia" w:hAnsi="Times New Roman"/>
              <w:noProof/>
              <w:sz w:val="24"/>
              <w:szCs w:val="24"/>
              <w:lang w:eastAsia="en-GB" w:bidi="ar-SA"/>
            </w:rPr>
          </w:pPr>
          <w:hyperlink w:anchor="_Toc4776696" w:history="1">
            <w:r w:rsidR="00464275" w:rsidRPr="00DA7D28">
              <w:rPr>
                <w:rStyle w:val="Hyperlink"/>
                <w:rFonts w:ascii="Times New Roman" w:hAnsi="Times New Roman"/>
                <w:noProof/>
                <w:sz w:val="24"/>
                <w:szCs w:val="24"/>
              </w:rPr>
              <w:t>1.2 Reakcja UE na kryzys</w:t>
            </w:r>
            <w:r w:rsidR="00DA7D28" w:rsidRPr="00DA7D28">
              <w:rPr>
                <w:rStyle w:val="Hyperlink"/>
                <w:rFonts w:ascii="Times New Roman" w:hAnsi="Times New Roman"/>
                <w:noProof/>
                <w:sz w:val="24"/>
                <w:szCs w:val="24"/>
              </w:rPr>
              <w:t xml:space="preserve"> i</w:t>
            </w:r>
            <w:r w:rsidR="00DA7D28">
              <w:rPr>
                <w:rStyle w:val="Hyperlink"/>
                <w:rFonts w:ascii="Times New Roman" w:hAnsi="Times New Roman"/>
                <w:noProof/>
                <w:sz w:val="24"/>
                <w:szCs w:val="24"/>
              </w:rPr>
              <w:t> </w:t>
            </w:r>
            <w:r w:rsidR="00DA7D28" w:rsidRPr="00DA7D28">
              <w:rPr>
                <w:rStyle w:val="Hyperlink"/>
                <w:rFonts w:ascii="Times New Roman" w:hAnsi="Times New Roman"/>
                <w:noProof/>
                <w:sz w:val="24"/>
                <w:szCs w:val="24"/>
              </w:rPr>
              <w:t>ust</w:t>
            </w:r>
            <w:r w:rsidR="00464275" w:rsidRPr="00DA7D28">
              <w:rPr>
                <w:rStyle w:val="Hyperlink"/>
                <w:rFonts w:ascii="Times New Roman" w:hAnsi="Times New Roman"/>
                <w:noProof/>
                <w:sz w:val="24"/>
                <w:szCs w:val="24"/>
              </w:rPr>
              <w:t>anowienie instrumentu</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_Toc4776696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3</w:t>
            </w:r>
            <w:r w:rsidR="00464275" w:rsidRPr="00DA7D28">
              <w:rPr>
                <w:rFonts w:ascii="Times New Roman" w:hAnsi="Times New Roman"/>
                <w:noProof/>
                <w:webHidden/>
                <w:sz w:val="24"/>
                <w:szCs w:val="24"/>
              </w:rPr>
              <w:fldChar w:fldCharType="end"/>
            </w:r>
          </w:hyperlink>
        </w:p>
        <w:p w:rsidR="00464275" w:rsidRPr="00DA7D28" w:rsidRDefault="00C95BE4">
          <w:pPr>
            <w:pStyle w:val="TOC1"/>
            <w:tabs>
              <w:tab w:val="left" w:pos="440"/>
              <w:tab w:val="right" w:leader="dot" w:pos="9060"/>
            </w:tabs>
            <w:rPr>
              <w:rFonts w:ascii="Times New Roman" w:eastAsiaTheme="minorEastAsia" w:hAnsi="Times New Roman"/>
              <w:noProof/>
              <w:sz w:val="24"/>
              <w:szCs w:val="24"/>
              <w:lang w:eastAsia="en-GB" w:bidi="ar-SA"/>
            </w:rPr>
          </w:pPr>
          <w:hyperlink w:anchor="_Toc4776697" w:history="1">
            <w:r w:rsidR="00464275" w:rsidRPr="00DA7D28">
              <w:rPr>
                <w:rStyle w:val="Hyperlink"/>
                <w:rFonts w:ascii="Times New Roman" w:hAnsi="Times New Roman"/>
                <w:noProof/>
                <w:sz w:val="24"/>
                <w:szCs w:val="24"/>
              </w:rPr>
              <w:t>2.</w:t>
            </w:r>
            <w:r w:rsidR="00464275" w:rsidRPr="00DA7D28">
              <w:rPr>
                <w:rFonts w:ascii="Times New Roman" w:eastAsiaTheme="minorEastAsia" w:hAnsi="Times New Roman"/>
                <w:noProof/>
                <w:sz w:val="24"/>
                <w:szCs w:val="24"/>
                <w:lang w:eastAsia="en-GB" w:bidi="ar-SA"/>
              </w:rPr>
              <w:tab/>
            </w:r>
            <w:r w:rsidR="00464275" w:rsidRPr="00DA7D28">
              <w:rPr>
                <w:rStyle w:val="Hyperlink"/>
                <w:rFonts w:ascii="Times New Roman" w:hAnsi="Times New Roman"/>
                <w:noProof/>
                <w:sz w:val="24"/>
                <w:szCs w:val="24"/>
              </w:rPr>
              <w:t>Funkcjonowanie instrumentu</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_Toc4776697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5</w:t>
            </w:r>
            <w:r w:rsidR="00464275" w:rsidRPr="00DA7D28">
              <w:rPr>
                <w:rFonts w:ascii="Times New Roman" w:hAnsi="Times New Roman"/>
                <w:noProof/>
                <w:webHidden/>
                <w:sz w:val="24"/>
                <w:szCs w:val="24"/>
              </w:rPr>
              <w:fldChar w:fldCharType="end"/>
            </w:r>
          </w:hyperlink>
        </w:p>
        <w:p w:rsidR="00464275" w:rsidRPr="00DA7D28" w:rsidRDefault="00C95BE4">
          <w:pPr>
            <w:pStyle w:val="TOC1"/>
            <w:tabs>
              <w:tab w:val="left" w:pos="440"/>
              <w:tab w:val="right" w:leader="dot" w:pos="9060"/>
            </w:tabs>
            <w:rPr>
              <w:rFonts w:ascii="Times New Roman" w:eastAsiaTheme="minorEastAsia" w:hAnsi="Times New Roman"/>
              <w:noProof/>
              <w:sz w:val="24"/>
              <w:szCs w:val="24"/>
              <w:lang w:eastAsia="en-GB" w:bidi="ar-SA"/>
            </w:rPr>
          </w:pPr>
          <w:hyperlink w:anchor="_Toc4776698" w:history="1">
            <w:r w:rsidR="00464275" w:rsidRPr="00DA7D28">
              <w:rPr>
                <w:rStyle w:val="Hyperlink"/>
                <w:rFonts w:ascii="Times New Roman" w:eastAsia="Times New Roman" w:hAnsi="Times New Roman"/>
                <w:noProof/>
                <w:sz w:val="24"/>
                <w:szCs w:val="24"/>
              </w:rPr>
              <w:t>3.</w:t>
            </w:r>
            <w:r w:rsidR="00464275" w:rsidRPr="00DA7D28">
              <w:rPr>
                <w:rFonts w:ascii="Times New Roman" w:eastAsiaTheme="minorEastAsia" w:hAnsi="Times New Roman"/>
                <w:noProof/>
                <w:sz w:val="24"/>
                <w:szCs w:val="24"/>
                <w:lang w:eastAsia="en-GB" w:bidi="ar-SA"/>
              </w:rPr>
              <w:tab/>
            </w:r>
            <w:r w:rsidR="00464275" w:rsidRPr="00DA7D28">
              <w:rPr>
                <w:rStyle w:val="Hyperlink"/>
                <w:rFonts w:ascii="Times New Roman" w:hAnsi="Times New Roman"/>
                <w:noProof/>
                <w:sz w:val="24"/>
                <w:szCs w:val="24"/>
              </w:rPr>
              <w:t>Zdolności finansowe, czas realizacji</w:t>
            </w:r>
            <w:r w:rsidR="00DA7D28" w:rsidRPr="00DA7D28">
              <w:rPr>
                <w:rStyle w:val="Hyperlink"/>
                <w:rFonts w:ascii="Times New Roman" w:hAnsi="Times New Roman"/>
                <w:noProof/>
                <w:sz w:val="24"/>
                <w:szCs w:val="24"/>
              </w:rPr>
              <w:t xml:space="preserve"> i</w:t>
            </w:r>
            <w:r w:rsidR="00DA7D28">
              <w:rPr>
                <w:rStyle w:val="Hyperlink"/>
                <w:rFonts w:ascii="Times New Roman" w:hAnsi="Times New Roman"/>
                <w:noProof/>
                <w:sz w:val="24"/>
                <w:szCs w:val="24"/>
              </w:rPr>
              <w:t> </w:t>
            </w:r>
            <w:r w:rsidR="00DA7D28" w:rsidRPr="00DA7D28">
              <w:rPr>
                <w:rStyle w:val="Hyperlink"/>
                <w:rFonts w:ascii="Times New Roman" w:hAnsi="Times New Roman"/>
                <w:noProof/>
                <w:sz w:val="24"/>
                <w:szCs w:val="24"/>
              </w:rPr>
              <w:t>cha</w:t>
            </w:r>
            <w:r w:rsidR="00464275" w:rsidRPr="00DA7D28">
              <w:rPr>
                <w:rStyle w:val="Hyperlink"/>
                <w:rFonts w:ascii="Times New Roman" w:hAnsi="Times New Roman"/>
                <w:noProof/>
                <w:sz w:val="24"/>
                <w:szCs w:val="24"/>
              </w:rPr>
              <w:t>rakter finansowania</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_Toc4776698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6</w:t>
            </w:r>
            <w:r w:rsidR="00464275" w:rsidRPr="00DA7D28">
              <w:rPr>
                <w:rFonts w:ascii="Times New Roman" w:hAnsi="Times New Roman"/>
                <w:noProof/>
                <w:webHidden/>
                <w:sz w:val="24"/>
                <w:szCs w:val="24"/>
              </w:rPr>
              <w:fldChar w:fldCharType="end"/>
            </w:r>
          </w:hyperlink>
        </w:p>
        <w:p w:rsidR="00464275" w:rsidRPr="00DA7D28" w:rsidRDefault="00C95BE4">
          <w:pPr>
            <w:pStyle w:val="TOC1"/>
            <w:tabs>
              <w:tab w:val="left" w:pos="440"/>
              <w:tab w:val="right" w:leader="dot" w:pos="9060"/>
            </w:tabs>
            <w:rPr>
              <w:rFonts w:ascii="Times New Roman" w:eastAsiaTheme="minorEastAsia" w:hAnsi="Times New Roman"/>
              <w:noProof/>
              <w:sz w:val="24"/>
              <w:szCs w:val="24"/>
              <w:lang w:eastAsia="en-GB" w:bidi="ar-SA"/>
            </w:rPr>
          </w:pPr>
          <w:hyperlink w:anchor="_Toc4776699" w:history="1">
            <w:r w:rsidR="00464275" w:rsidRPr="00DA7D28">
              <w:rPr>
                <w:rStyle w:val="Hyperlink"/>
                <w:rFonts w:ascii="Times New Roman" w:hAnsi="Times New Roman"/>
                <w:noProof/>
                <w:sz w:val="24"/>
                <w:szCs w:val="24"/>
              </w:rPr>
              <w:t>4.</w:t>
            </w:r>
            <w:r w:rsidR="00464275" w:rsidRPr="00DA7D28">
              <w:rPr>
                <w:rFonts w:ascii="Times New Roman" w:eastAsiaTheme="minorEastAsia" w:hAnsi="Times New Roman"/>
                <w:noProof/>
                <w:sz w:val="24"/>
                <w:szCs w:val="24"/>
                <w:lang w:eastAsia="en-GB" w:bidi="ar-SA"/>
              </w:rPr>
              <w:tab/>
            </w:r>
            <w:r w:rsidR="00464275" w:rsidRPr="00DA7D28">
              <w:rPr>
                <w:rStyle w:val="Hyperlink"/>
                <w:rFonts w:ascii="Times New Roman" w:hAnsi="Times New Roman"/>
                <w:noProof/>
                <w:sz w:val="24"/>
                <w:szCs w:val="24"/>
              </w:rPr>
              <w:t>Druga transza instrumentu</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_Toc4776699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7</w:t>
            </w:r>
            <w:r w:rsidR="00464275" w:rsidRPr="00DA7D28">
              <w:rPr>
                <w:rFonts w:ascii="Times New Roman" w:hAnsi="Times New Roman"/>
                <w:noProof/>
                <w:webHidden/>
                <w:sz w:val="24"/>
                <w:szCs w:val="24"/>
              </w:rPr>
              <w:fldChar w:fldCharType="end"/>
            </w:r>
          </w:hyperlink>
        </w:p>
        <w:p w:rsidR="00464275" w:rsidRPr="00DA7D28" w:rsidRDefault="00C95BE4">
          <w:pPr>
            <w:pStyle w:val="TOC2"/>
            <w:tabs>
              <w:tab w:val="right" w:leader="dot" w:pos="9060"/>
            </w:tabs>
            <w:rPr>
              <w:rFonts w:ascii="Times New Roman" w:eastAsiaTheme="minorEastAsia" w:hAnsi="Times New Roman"/>
              <w:noProof/>
              <w:sz w:val="24"/>
              <w:szCs w:val="24"/>
              <w:lang w:eastAsia="en-GB" w:bidi="ar-SA"/>
            </w:rPr>
          </w:pPr>
          <w:hyperlink w:anchor="_Toc4776700" w:history="1">
            <w:r w:rsidR="00464275" w:rsidRPr="00DA7D28">
              <w:rPr>
                <w:rStyle w:val="Hyperlink"/>
                <w:rFonts w:ascii="Times New Roman" w:hAnsi="Times New Roman"/>
                <w:noProof/>
                <w:sz w:val="24"/>
                <w:szCs w:val="24"/>
              </w:rPr>
              <w:t>Programowanie</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_Toc4776700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7</w:t>
            </w:r>
            <w:r w:rsidR="00464275" w:rsidRPr="00DA7D28">
              <w:rPr>
                <w:rFonts w:ascii="Times New Roman" w:hAnsi="Times New Roman"/>
                <w:noProof/>
                <w:webHidden/>
                <w:sz w:val="24"/>
                <w:szCs w:val="24"/>
              </w:rPr>
              <w:fldChar w:fldCharType="end"/>
            </w:r>
          </w:hyperlink>
        </w:p>
        <w:p w:rsidR="00464275" w:rsidRPr="00DA7D28" w:rsidRDefault="00C95BE4">
          <w:pPr>
            <w:pStyle w:val="TOC1"/>
            <w:tabs>
              <w:tab w:val="left" w:pos="440"/>
              <w:tab w:val="right" w:leader="dot" w:pos="9060"/>
            </w:tabs>
            <w:rPr>
              <w:rFonts w:ascii="Times New Roman" w:eastAsiaTheme="minorEastAsia" w:hAnsi="Times New Roman"/>
              <w:noProof/>
              <w:sz w:val="24"/>
              <w:szCs w:val="24"/>
              <w:lang w:eastAsia="en-GB" w:bidi="ar-SA"/>
            </w:rPr>
          </w:pPr>
          <w:hyperlink w:anchor="_Toc4776701" w:history="1">
            <w:r w:rsidR="00464275" w:rsidRPr="00DA7D28">
              <w:rPr>
                <w:rStyle w:val="Hyperlink"/>
                <w:rFonts w:ascii="Times New Roman" w:eastAsia="Times New Roman" w:hAnsi="Times New Roman"/>
                <w:noProof/>
                <w:sz w:val="24"/>
                <w:szCs w:val="24"/>
              </w:rPr>
              <w:t>5.</w:t>
            </w:r>
            <w:r w:rsidR="00464275" w:rsidRPr="00DA7D28">
              <w:rPr>
                <w:rFonts w:ascii="Times New Roman" w:eastAsiaTheme="minorEastAsia" w:hAnsi="Times New Roman"/>
                <w:noProof/>
                <w:sz w:val="24"/>
                <w:szCs w:val="24"/>
                <w:lang w:eastAsia="en-GB" w:bidi="ar-SA"/>
              </w:rPr>
              <w:tab/>
            </w:r>
            <w:r w:rsidR="00464275" w:rsidRPr="00DA7D28">
              <w:rPr>
                <w:rStyle w:val="Hyperlink"/>
                <w:rFonts w:ascii="Times New Roman" w:hAnsi="Times New Roman"/>
                <w:noProof/>
                <w:sz w:val="24"/>
                <w:szCs w:val="24"/>
              </w:rPr>
              <w:t>Wdrażanie instrumentu</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_Toc4776701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9</w:t>
            </w:r>
            <w:r w:rsidR="00464275" w:rsidRPr="00DA7D28">
              <w:rPr>
                <w:rFonts w:ascii="Times New Roman" w:hAnsi="Times New Roman"/>
                <w:noProof/>
                <w:webHidden/>
                <w:sz w:val="24"/>
                <w:szCs w:val="24"/>
              </w:rPr>
              <w:fldChar w:fldCharType="end"/>
            </w:r>
          </w:hyperlink>
        </w:p>
        <w:p w:rsidR="00464275" w:rsidRPr="00DA7D28" w:rsidRDefault="00C95BE4">
          <w:pPr>
            <w:pStyle w:val="TOC2"/>
            <w:tabs>
              <w:tab w:val="right" w:leader="dot" w:pos="9060"/>
            </w:tabs>
            <w:rPr>
              <w:rFonts w:ascii="Times New Roman" w:eastAsiaTheme="minorEastAsia" w:hAnsi="Times New Roman"/>
              <w:noProof/>
              <w:sz w:val="24"/>
              <w:szCs w:val="24"/>
              <w:lang w:eastAsia="en-GB" w:bidi="ar-SA"/>
            </w:rPr>
          </w:pPr>
          <w:hyperlink w:anchor="_Toc4776702" w:history="1">
            <w:r w:rsidR="00464275" w:rsidRPr="00DA7D28">
              <w:rPr>
                <w:rStyle w:val="Hyperlink"/>
                <w:rFonts w:ascii="Times New Roman" w:hAnsi="Times New Roman"/>
                <w:noProof/>
                <w:sz w:val="24"/>
                <w:szCs w:val="24"/>
              </w:rPr>
              <w:t>5.1 Pomoc humanitarna</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_Toc4776702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10</w:t>
            </w:r>
            <w:r w:rsidR="00464275" w:rsidRPr="00DA7D28">
              <w:rPr>
                <w:rFonts w:ascii="Times New Roman" w:hAnsi="Times New Roman"/>
                <w:noProof/>
                <w:webHidden/>
                <w:sz w:val="24"/>
                <w:szCs w:val="24"/>
              </w:rPr>
              <w:fldChar w:fldCharType="end"/>
            </w:r>
          </w:hyperlink>
        </w:p>
        <w:p w:rsidR="00464275" w:rsidRPr="00DA7D28" w:rsidRDefault="00C95BE4">
          <w:pPr>
            <w:pStyle w:val="TOC2"/>
            <w:tabs>
              <w:tab w:val="right" w:leader="dot" w:pos="9060"/>
            </w:tabs>
            <w:rPr>
              <w:rFonts w:ascii="Times New Roman" w:eastAsiaTheme="minorEastAsia" w:hAnsi="Times New Roman"/>
              <w:noProof/>
              <w:sz w:val="24"/>
              <w:szCs w:val="24"/>
              <w:lang w:eastAsia="en-GB" w:bidi="ar-SA"/>
            </w:rPr>
          </w:pPr>
          <w:hyperlink w:anchor="_Toc4776703" w:history="1">
            <w:r w:rsidR="00464275" w:rsidRPr="00DA7D28">
              <w:rPr>
                <w:rStyle w:val="Hyperlink"/>
                <w:rFonts w:ascii="Times New Roman" w:hAnsi="Times New Roman"/>
                <w:noProof/>
                <w:sz w:val="24"/>
                <w:szCs w:val="24"/>
              </w:rPr>
              <w:t>5.2 Pomoc rozwojowa</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_Toc4776703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11</w:t>
            </w:r>
            <w:r w:rsidR="00464275" w:rsidRPr="00DA7D28">
              <w:rPr>
                <w:rFonts w:ascii="Times New Roman" w:hAnsi="Times New Roman"/>
                <w:noProof/>
                <w:webHidden/>
                <w:sz w:val="24"/>
                <w:szCs w:val="24"/>
              </w:rPr>
              <w:fldChar w:fldCharType="end"/>
            </w:r>
          </w:hyperlink>
        </w:p>
        <w:p w:rsidR="00464275" w:rsidRPr="00DA7D28" w:rsidRDefault="00C95BE4">
          <w:pPr>
            <w:pStyle w:val="TOC1"/>
            <w:tabs>
              <w:tab w:val="left" w:pos="440"/>
              <w:tab w:val="right" w:leader="dot" w:pos="9060"/>
            </w:tabs>
            <w:rPr>
              <w:rFonts w:ascii="Times New Roman" w:eastAsiaTheme="minorEastAsia" w:hAnsi="Times New Roman"/>
              <w:noProof/>
              <w:sz w:val="24"/>
              <w:szCs w:val="24"/>
              <w:lang w:eastAsia="en-GB" w:bidi="ar-SA"/>
            </w:rPr>
          </w:pPr>
          <w:hyperlink w:anchor="_Toc4776704" w:history="1">
            <w:r w:rsidR="00464275" w:rsidRPr="00DA7D28">
              <w:rPr>
                <w:rStyle w:val="Hyperlink"/>
                <w:rFonts w:ascii="Times New Roman" w:eastAsia="Times New Roman" w:hAnsi="Times New Roman"/>
                <w:noProof/>
                <w:sz w:val="24"/>
                <w:szCs w:val="24"/>
              </w:rPr>
              <w:t>6.</w:t>
            </w:r>
            <w:r w:rsidR="00464275" w:rsidRPr="00DA7D28">
              <w:rPr>
                <w:rFonts w:ascii="Times New Roman" w:eastAsiaTheme="minorEastAsia" w:hAnsi="Times New Roman"/>
                <w:noProof/>
                <w:sz w:val="24"/>
                <w:szCs w:val="24"/>
                <w:lang w:eastAsia="en-GB" w:bidi="ar-SA"/>
              </w:rPr>
              <w:tab/>
            </w:r>
            <w:r w:rsidR="00464275" w:rsidRPr="00DA7D28">
              <w:rPr>
                <w:rStyle w:val="Hyperlink"/>
                <w:rFonts w:ascii="Times New Roman" w:hAnsi="Times New Roman"/>
                <w:noProof/>
                <w:sz w:val="24"/>
                <w:szCs w:val="24"/>
              </w:rPr>
              <w:t>Monitorowanie</w:t>
            </w:r>
            <w:r w:rsidR="00DA7D28" w:rsidRPr="00DA7D28">
              <w:rPr>
                <w:rStyle w:val="Hyperlink"/>
                <w:rFonts w:ascii="Times New Roman" w:hAnsi="Times New Roman"/>
                <w:noProof/>
                <w:sz w:val="24"/>
                <w:szCs w:val="24"/>
              </w:rPr>
              <w:t xml:space="preserve"> i</w:t>
            </w:r>
            <w:r w:rsidR="00DA7D28">
              <w:rPr>
                <w:rStyle w:val="Hyperlink"/>
                <w:rFonts w:ascii="Times New Roman" w:hAnsi="Times New Roman"/>
                <w:noProof/>
                <w:sz w:val="24"/>
                <w:szCs w:val="24"/>
              </w:rPr>
              <w:t> </w:t>
            </w:r>
            <w:r w:rsidR="00DA7D28" w:rsidRPr="00DA7D28">
              <w:rPr>
                <w:rStyle w:val="Hyperlink"/>
                <w:rFonts w:ascii="Times New Roman" w:hAnsi="Times New Roman"/>
                <w:noProof/>
                <w:sz w:val="24"/>
                <w:szCs w:val="24"/>
              </w:rPr>
              <w:t>oce</w:t>
            </w:r>
            <w:r w:rsidR="00464275" w:rsidRPr="00DA7D28">
              <w:rPr>
                <w:rStyle w:val="Hyperlink"/>
                <w:rFonts w:ascii="Times New Roman" w:hAnsi="Times New Roman"/>
                <w:noProof/>
                <w:sz w:val="24"/>
                <w:szCs w:val="24"/>
              </w:rPr>
              <w:t>na</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_Toc4776704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15</w:t>
            </w:r>
            <w:r w:rsidR="00464275" w:rsidRPr="00DA7D28">
              <w:rPr>
                <w:rFonts w:ascii="Times New Roman" w:hAnsi="Times New Roman"/>
                <w:noProof/>
                <w:webHidden/>
                <w:sz w:val="24"/>
                <w:szCs w:val="24"/>
              </w:rPr>
              <w:fldChar w:fldCharType="end"/>
            </w:r>
          </w:hyperlink>
        </w:p>
        <w:p w:rsidR="00464275" w:rsidRPr="00DA7D28" w:rsidRDefault="00C95BE4">
          <w:pPr>
            <w:pStyle w:val="TOC1"/>
            <w:tabs>
              <w:tab w:val="left" w:pos="440"/>
              <w:tab w:val="right" w:leader="dot" w:pos="9060"/>
            </w:tabs>
            <w:rPr>
              <w:rFonts w:ascii="Times New Roman" w:eastAsiaTheme="minorEastAsia" w:hAnsi="Times New Roman"/>
              <w:noProof/>
              <w:sz w:val="24"/>
              <w:szCs w:val="24"/>
              <w:lang w:eastAsia="en-GB" w:bidi="ar-SA"/>
            </w:rPr>
          </w:pPr>
          <w:hyperlink w:anchor="_Toc4776705" w:history="1">
            <w:r w:rsidR="00464275" w:rsidRPr="00DA7D28">
              <w:rPr>
                <w:rStyle w:val="Hyperlink"/>
                <w:rFonts w:ascii="Times New Roman" w:hAnsi="Times New Roman"/>
                <w:noProof/>
                <w:sz w:val="24"/>
                <w:szCs w:val="24"/>
              </w:rPr>
              <w:t>7.</w:t>
            </w:r>
            <w:r w:rsidR="00464275" w:rsidRPr="00DA7D28">
              <w:rPr>
                <w:rFonts w:ascii="Times New Roman" w:eastAsiaTheme="minorEastAsia" w:hAnsi="Times New Roman"/>
                <w:noProof/>
                <w:sz w:val="24"/>
                <w:szCs w:val="24"/>
                <w:lang w:eastAsia="en-GB" w:bidi="ar-SA"/>
              </w:rPr>
              <w:tab/>
            </w:r>
            <w:r w:rsidR="00464275" w:rsidRPr="00DA7D28">
              <w:rPr>
                <w:rStyle w:val="Hyperlink"/>
                <w:rFonts w:ascii="Times New Roman" w:hAnsi="Times New Roman"/>
                <w:noProof/>
                <w:sz w:val="24"/>
                <w:szCs w:val="24"/>
              </w:rPr>
              <w:t>Audyt</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_Toc4776705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17</w:t>
            </w:r>
            <w:r w:rsidR="00464275" w:rsidRPr="00DA7D28">
              <w:rPr>
                <w:rFonts w:ascii="Times New Roman" w:hAnsi="Times New Roman"/>
                <w:noProof/>
                <w:webHidden/>
                <w:sz w:val="24"/>
                <w:szCs w:val="24"/>
              </w:rPr>
              <w:fldChar w:fldCharType="end"/>
            </w:r>
          </w:hyperlink>
        </w:p>
        <w:p w:rsidR="00464275" w:rsidRPr="00DA7D28" w:rsidRDefault="00C95BE4">
          <w:pPr>
            <w:pStyle w:val="TOC1"/>
            <w:tabs>
              <w:tab w:val="left" w:pos="440"/>
              <w:tab w:val="right" w:leader="dot" w:pos="9060"/>
            </w:tabs>
            <w:rPr>
              <w:rFonts w:ascii="Times New Roman" w:eastAsiaTheme="minorEastAsia" w:hAnsi="Times New Roman"/>
              <w:noProof/>
              <w:sz w:val="24"/>
              <w:szCs w:val="24"/>
              <w:lang w:eastAsia="en-GB" w:bidi="ar-SA"/>
            </w:rPr>
          </w:pPr>
          <w:hyperlink w:anchor="_Toc4776706" w:history="1">
            <w:r w:rsidR="00464275" w:rsidRPr="00DA7D28">
              <w:rPr>
                <w:rStyle w:val="Hyperlink"/>
                <w:rFonts w:ascii="Times New Roman" w:hAnsi="Times New Roman"/>
                <w:noProof/>
                <w:sz w:val="24"/>
                <w:szCs w:val="24"/>
              </w:rPr>
              <w:t>8.</w:t>
            </w:r>
            <w:r w:rsidR="00464275" w:rsidRPr="00DA7D28">
              <w:rPr>
                <w:rFonts w:ascii="Times New Roman" w:eastAsiaTheme="minorEastAsia" w:hAnsi="Times New Roman"/>
                <w:noProof/>
                <w:sz w:val="24"/>
                <w:szCs w:val="24"/>
                <w:lang w:eastAsia="en-GB" w:bidi="ar-SA"/>
              </w:rPr>
              <w:tab/>
            </w:r>
            <w:r w:rsidR="00464275" w:rsidRPr="00DA7D28">
              <w:rPr>
                <w:rStyle w:val="Hyperlink"/>
                <w:rFonts w:ascii="Times New Roman" w:hAnsi="Times New Roman"/>
                <w:noProof/>
                <w:sz w:val="24"/>
                <w:szCs w:val="24"/>
              </w:rPr>
              <w:t>Komunikacja</w:t>
            </w:r>
            <w:r w:rsidR="00DA7D28" w:rsidRPr="00DA7D28">
              <w:rPr>
                <w:rStyle w:val="Hyperlink"/>
                <w:rFonts w:ascii="Times New Roman" w:hAnsi="Times New Roman"/>
                <w:noProof/>
                <w:sz w:val="24"/>
                <w:szCs w:val="24"/>
              </w:rPr>
              <w:t xml:space="preserve"> i</w:t>
            </w:r>
            <w:r w:rsidR="00DA7D28">
              <w:rPr>
                <w:rStyle w:val="Hyperlink"/>
                <w:rFonts w:ascii="Times New Roman" w:hAnsi="Times New Roman"/>
                <w:noProof/>
                <w:sz w:val="24"/>
                <w:szCs w:val="24"/>
              </w:rPr>
              <w:t> </w:t>
            </w:r>
            <w:r w:rsidR="00DA7D28" w:rsidRPr="00DA7D28">
              <w:rPr>
                <w:rStyle w:val="Hyperlink"/>
                <w:rFonts w:ascii="Times New Roman" w:hAnsi="Times New Roman"/>
                <w:noProof/>
                <w:sz w:val="24"/>
                <w:szCs w:val="24"/>
              </w:rPr>
              <w:t>eks</w:t>
            </w:r>
            <w:r w:rsidR="00464275" w:rsidRPr="00DA7D28">
              <w:rPr>
                <w:rStyle w:val="Hyperlink"/>
                <w:rFonts w:ascii="Times New Roman" w:hAnsi="Times New Roman"/>
                <w:noProof/>
                <w:sz w:val="24"/>
                <w:szCs w:val="24"/>
              </w:rPr>
              <w:t>ponowanie działań</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_Toc4776706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17</w:t>
            </w:r>
            <w:r w:rsidR="00464275" w:rsidRPr="00DA7D28">
              <w:rPr>
                <w:rFonts w:ascii="Times New Roman" w:hAnsi="Times New Roman"/>
                <w:noProof/>
                <w:webHidden/>
                <w:sz w:val="24"/>
                <w:szCs w:val="24"/>
              </w:rPr>
              <w:fldChar w:fldCharType="end"/>
            </w:r>
          </w:hyperlink>
        </w:p>
        <w:p w:rsidR="00464275" w:rsidRPr="00DA7D28" w:rsidRDefault="00C95BE4">
          <w:pPr>
            <w:pStyle w:val="TOC1"/>
            <w:tabs>
              <w:tab w:val="left" w:pos="440"/>
              <w:tab w:val="right" w:leader="dot" w:pos="9060"/>
            </w:tabs>
            <w:rPr>
              <w:rFonts w:asciiTheme="minorHAnsi" w:eastAsiaTheme="minorEastAsia" w:hAnsiTheme="minorHAnsi" w:cstheme="minorBidi"/>
              <w:noProof/>
              <w:lang w:eastAsia="en-GB" w:bidi="ar-SA"/>
            </w:rPr>
          </w:pPr>
          <w:hyperlink w:anchor="_Toc4776707" w:history="1">
            <w:r w:rsidR="00464275" w:rsidRPr="00DA7D28">
              <w:rPr>
                <w:rStyle w:val="Hyperlink"/>
                <w:rFonts w:ascii="Times New Roman" w:eastAsia="Times New Roman" w:hAnsi="Times New Roman"/>
                <w:noProof/>
                <w:sz w:val="24"/>
                <w:szCs w:val="24"/>
              </w:rPr>
              <w:t>9.</w:t>
            </w:r>
            <w:r w:rsidR="00464275" w:rsidRPr="00DA7D28">
              <w:rPr>
                <w:rFonts w:ascii="Times New Roman" w:eastAsiaTheme="minorEastAsia" w:hAnsi="Times New Roman"/>
                <w:noProof/>
                <w:sz w:val="24"/>
                <w:szCs w:val="24"/>
                <w:lang w:eastAsia="en-GB" w:bidi="ar-SA"/>
              </w:rPr>
              <w:tab/>
            </w:r>
            <w:r w:rsidR="00464275" w:rsidRPr="00DA7D28">
              <w:rPr>
                <w:rStyle w:val="Hyperlink"/>
                <w:rFonts w:ascii="Times New Roman" w:hAnsi="Times New Roman"/>
                <w:noProof/>
                <w:sz w:val="24"/>
                <w:szCs w:val="24"/>
              </w:rPr>
              <w:t>Wnioski</w:t>
            </w:r>
            <w:r w:rsidR="00DA7D28" w:rsidRPr="00DA7D28">
              <w:rPr>
                <w:rStyle w:val="Hyperlink"/>
                <w:rFonts w:ascii="Times New Roman" w:hAnsi="Times New Roman"/>
                <w:noProof/>
                <w:sz w:val="24"/>
                <w:szCs w:val="24"/>
              </w:rPr>
              <w:t xml:space="preserve"> i</w:t>
            </w:r>
            <w:r w:rsidR="00DA7D28">
              <w:rPr>
                <w:rStyle w:val="Hyperlink"/>
                <w:rFonts w:ascii="Times New Roman" w:hAnsi="Times New Roman"/>
                <w:noProof/>
                <w:sz w:val="24"/>
                <w:szCs w:val="24"/>
              </w:rPr>
              <w:t> </w:t>
            </w:r>
            <w:r w:rsidR="00DA7D28" w:rsidRPr="00DA7D28">
              <w:rPr>
                <w:rStyle w:val="Hyperlink"/>
                <w:rFonts w:ascii="Times New Roman" w:hAnsi="Times New Roman"/>
                <w:noProof/>
                <w:sz w:val="24"/>
                <w:szCs w:val="24"/>
              </w:rPr>
              <w:t>dal</w:t>
            </w:r>
            <w:r w:rsidR="00464275" w:rsidRPr="00DA7D28">
              <w:rPr>
                <w:rStyle w:val="Hyperlink"/>
                <w:rFonts w:ascii="Times New Roman" w:hAnsi="Times New Roman"/>
                <w:noProof/>
                <w:sz w:val="24"/>
                <w:szCs w:val="24"/>
              </w:rPr>
              <w:t>sze działania</w:t>
            </w:r>
            <w:r w:rsidR="00464275" w:rsidRPr="00DA7D28">
              <w:rPr>
                <w:rFonts w:ascii="Times New Roman" w:hAnsi="Times New Roman"/>
                <w:noProof/>
                <w:webHidden/>
                <w:sz w:val="24"/>
                <w:szCs w:val="24"/>
              </w:rPr>
              <w:tab/>
            </w:r>
            <w:r w:rsidR="00464275" w:rsidRPr="00DA7D28">
              <w:rPr>
                <w:rFonts w:ascii="Times New Roman" w:hAnsi="Times New Roman"/>
                <w:noProof/>
                <w:webHidden/>
                <w:sz w:val="24"/>
                <w:szCs w:val="24"/>
              </w:rPr>
              <w:fldChar w:fldCharType="begin"/>
            </w:r>
            <w:r w:rsidR="00464275" w:rsidRPr="00DA7D28">
              <w:rPr>
                <w:rFonts w:ascii="Times New Roman" w:hAnsi="Times New Roman"/>
                <w:noProof/>
                <w:webHidden/>
                <w:sz w:val="24"/>
                <w:szCs w:val="24"/>
              </w:rPr>
              <w:instrText xml:space="preserve"> PAGEREF _Toc4776707 \h </w:instrText>
            </w:r>
            <w:r w:rsidR="00464275" w:rsidRPr="00DA7D28">
              <w:rPr>
                <w:rFonts w:ascii="Times New Roman" w:hAnsi="Times New Roman"/>
                <w:noProof/>
                <w:webHidden/>
                <w:sz w:val="24"/>
                <w:szCs w:val="24"/>
              </w:rPr>
            </w:r>
            <w:r w:rsidR="00464275" w:rsidRPr="00DA7D28">
              <w:rPr>
                <w:rFonts w:ascii="Times New Roman" w:hAnsi="Times New Roman"/>
                <w:noProof/>
                <w:webHidden/>
                <w:sz w:val="24"/>
                <w:szCs w:val="24"/>
              </w:rPr>
              <w:fldChar w:fldCharType="separate"/>
            </w:r>
            <w:r w:rsidR="00A35AD3">
              <w:rPr>
                <w:rFonts w:ascii="Times New Roman" w:hAnsi="Times New Roman"/>
                <w:noProof/>
                <w:webHidden/>
                <w:sz w:val="24"/>
                <w:szCs w:val="24"/>
              </w:rPr>
              <w:t>18</w:t>
            </w:r>
            <w:r w:rsidR="00464275" w:rsidRPr="00DA7D28">
              <w:rPr>
                <w:rFonts w:ascii="Times New Roman" w:hAnsi="Times New Roman"/>
                <w:noProof/>
                <w:webHidden/>
                <w:sz w:val="24"/>
                <w:szCs w:val="24"/>
              </w:rPr>
              <w:fldChar w:fldCharType="end"/>
            </w:r>
          </w:hyperlink>
        </w:p>
        <w:p w:rsidR="004574AC" w:rsidRPr="00DA7D28" w:rsidRDefault="00BE7F2C" w:rsidP="00D67579">
          <w:pPr>
            <w:spacing w:after="120"/>
            <w:rPr>
              <w:rFonts w:ascii="Times New Roman" w:hAnsi="Times New Roman"/>
              <w:sz w:val="24"/>
              <w:szCs w:val="24"/>
            </w:rPr>
          </w:pPr>
          <w:r w:rsidRPr="00DA7D28">
            <w:rPr>
              <w:rFonts w:ascii="Times New Roman" w:hAnsi="Times New Roman"/>
              <w:b/>
              <w:bCs/>
              <w:sz w:val="24"/>
              <w:szCs w:val="24"/>
            </w:rPr>
            <w:fldChar w:fldCharType="end"/>
          </w:r>
        </w:p>
      </w:sdtContent>
    </w:sdt>
    <w:p w:rsidR="00E90063" w:rsidRPr="00DA7D28" w:rsidRDefault="00E90063">
      <w:pPr>
        <w:spacing w:after="200"/>
        <w:rPr>
          <w:rFonts w:ascii="Times New Roman" w:eastAsia="Times New Roman" w:hAnsi="Times New Roman"/>
        </w:rPr>
      </w:pPr>
    </w:p>
    <w:p w:rsidR="00E90063" w:rsidRPr="00DA7D28" w:rsidRDefault="00E90063" w:rsidP="00EC07AB"/>
    <w:p w:rsidR="00E90063" w:rsidRPr="00DA7D28" w:rsidRDefault="00E90063" w:rsidP="00EC07AB"/>
    <w:p w:rsidR="00E90063" w:rsidRPr="00DA7D28" w:rsidRDefault="00BE7F2C">
      <w:pPr>
        <w:spacing w:after="200"/>
        <w:rPr>
          <w:rFonts w:ascii="Times New Roman" w:eastAsia="Times New Roman" w:hAnsi="Times New Roman"/>
        </w:rPr>
      </w:pPr>
      <w:r w:rsidRPr="00DA7D28">
        <w:br w:type="page"/>
      </w:r>
    </w:p>
    <w:p w:rsidR="00E90063" w:rsidRPr="00DA7D28" w:rsidRDefault="00EC07AB" w:rsidP="00776E51">
      <w:pPr>
        <w:pStyle w:val="Heading1"/>
        <w:jc w:val="both"/>
        <w:rPr>
          <w:rFonts w:eastAsia="Times New Roman"/>
          <w:szCs w:val="24"/>
        </w:rPr>
      </w:pPr>
      <w:bookmarkStart w:id="4" w:name="_Toc474488791"/>
      <w:bookmarkStart w:id="5" w:name="_Toc3193659"/>
      <w:bookmarkStart w:id="6" w:name="_Toc4776694"/>
      <w:r w:rsidRPr="00DA7D28">
        <w:t>Wprowadzenie</w:t>
      </w:r>
      <w:bookmarkEnd w:id="4"/>
      <w:bookmarkEnd w:id="5"/>
      <w:bookmarkEnd w:id="6"/>
      <w:bookmarkEnd w:id="3"/>
    </w:p>
    <w:p w:rsidR="00776E51" w:rsidRPr="00DA7D28" w:rsidRDefault="00BE7F2C" w:rsidP="00776E51">
      <w:pPr>
        <w:jc w:val="both"/>
        <w:rPr>
          <w:rFonts w:ascii="Times New Roman" w:eastAsia="Times New Roman" w:hAnsi="Times New Roman"/>
          <w:sz w:val="24"/>
          <w:szCs w:val="24"/>
        </w:rPr>
      </w:pPr>
      <w:bookmarkStart w:id="7" w:name="_Toc473317112"/>
      <w:bookmarkStart w:id="8" w:name="_Toc473205689"/>
      <w:r w:rsidRPr="00DA7D28">
        <w:rPr>
          <w:rFonts w:ascii="Times New Roman" w:hAnsi="Times New Roman"/>
          <w:sz w:val="24"/>
        </w:rPr>
        <w:t>Zgodnie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art</w:t>
      </w:r>
      <w:r w:rsidRPr="00DA7D28">
        <w:rPr>
          <w:rFonts w:ascii="Times New Roman" w:hAnsi="Times New Roman"/>
          <w:sz w:val="24"/>
        </w:rPr>
        <w:t>. 8 ust. 1 decyzji Komisji</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dni</w:t>
      </w:r>
      <w:r w:rsidRPr="00DA7D28">
        <w:rPr>
          <w:rFonts w:ascii="Times New Roman" w:hAnsi="Times New Roman"/>
          <w:sz w:val="24"/>
        </w:rPr>
        <w:t>a 24 listopada 2015 r.</w:t>
      </w:r>
      <w:r w:rsidRPr="00DA7D28">
        <w:rPr>
          <w:rStyle w:val="FootnoteReference"/>
          <w:rFonts w:ascii="Times New Roman" w:hAnsi="Times New Roman"/>
          <w:sz w:val="24"/>
        </w:rPr>
        <w:footnoteReference w:id="2"/>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spr</w:t>
      </w:r>
      <w:r w:rsidRPr="00DA7D28">
        <w:rPr>
          <w:rFonts w:ascii="Times New Roman" w:hAnsi="Times New Roman"/>
          <w:sz w:val="24"/>
        </w:rPr>
        <w:t>awie koordynacji działań Unii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pań</w:t>
      </w:r>
      <w:r w:rsidRPr="00DA7D28">
        <w:rPr>
          <w:rFonts w:ascii="Times New Roman" w:hAnsi="Times New Roman"/>
          <w:sz w:val="24"/>
        </w:rPr>
        <w:t>stw członkowskich przy użyciu mechanizmu koordynacji (dalej zwanej „decyzją”) Komisja ma obowiązek systematycznie informować Parlament Europejski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Rad</w:t>
      </w:r>
      <w:r w:rsidRPr="00DA7D28">
        <w:rPr>
          <w:rFonts w:ascii="Times New Roman" w:hAnsi="Times New Roman"/>
          <w:sz w:val="24"/>
        </w:rPr>
        <w:t>ę</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wdr</w:t>
      </w:r>
      <w:r w:rsidRPr="00DA7D28">
        <w:rPr>
          <w:rFonts w:ascii="Times New Roman" w:hAnsi="Times New Roman"/>
          <w:sz w:val="24"/>
        </w:rPr>
        <w:t>ażaniu Instrumentu Pomocy dla Uchodźców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 (dalej zwanego „instrumentem”). Art. 8 ust. 2 decyzji stanowi, że Komisja składa Parlamentowi Europejskiemu</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Rad</w:t>
      </w:r>
      <w:r w:rsidRPr="00DA7D28">
        <w:rPr>
          <w:rFonts w:ascii="Times New Roman" w:hAnsi="Times New Roman"/>
          <w:sz w:val="24"/>
        </w:rPr>
        <w:t>zie doroczne sprawozdanie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wdr</w:t>
      </w:r>
      <w:r w:rsidRPr="00DA7D28">
        <w:rPr>
          <w:rFonts w:ascii="Times New Roman" w:hAnsi="Times New Roman"/>
          <w:sz w:val="24"/>
        </w:rPr>
        <w:t>ażania instrumentu. Pierwsze takie sprawozdanie zostało opublikowane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mar</w:t>
      </w:r>
      <w:r w:rsidRPr="00DA7D28">
        <w:rPr>
          <w:rFonts w:ascii="Times New Roman" w:hAnsi="Times New Roman"/>
          <w:sz w:val="24"/>
        </w:rPr>
        <w:t>cu 2017 r.</w:t>
      </w:r>
      <w:r w:rsidRPr="00DA7D28">
        <w:rPr>
          <w:rStyle w:val="FootnoteReference"/>
          <w:rFonts w:ascii="Times New Roman" w:hAnsi="Times New Roman"/>
        </w:rPr>
        <w:footnoteReference w:id="3"/>
      </w:r>
      <w:r w:rsidRPr="00DA7D28">
        <w:rPr>
          <w:rFonts w:ascii="Times New Roman" w:hAnsi="Times New Roman"/>
          <w:sz w:val="24"/>
        </w:rPr>
        <w:t>. Opisano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nim</w:t>
      </w:r>
      <w:r w:rsidRPr="00DA7D28">
        <w:rPr>
          <w:rFonts w:ascii="Times New Roman" w:hAnsi="Times New Roman"/>
          <w:sz w:val="24"/>
        </w:rPr>
        <w:t xml:space="preserve"> funkcjonowanie instrumentu, pierwsze działania podjęte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cel</w:t>
      </w:r>
      <w:r w:rsidRPr="00DA7D28">
        <w:rPr>
          <w:rFonts w:ascii="Times New Roman" w:hAnsi="Times New Roman"/>
          <w:sz w:val="24"/>
        </w:rPr>
        <w:t>u jego wdrożenia, monitorowanie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sys</w:t>
      </w:r>
      <w:r w:rsidRPr="00DA7D28">
        <w:rPr>
          <w:rFonts w:ascii="Times New Roman" w:hAnsi="Times New Roman"/>
          <w:sz w:val="24"/>
        </w:rPr>
        <w:t>tem oceny, jak również odnośne działania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komunikacji.</w:t>
      </w:r>
      <w:bookmarkEnd w:id="7"/>
      <w:r w:rsidRPr="00DA7D28">
        <w:rPr>
          <w:rFonts w:ascii="Times New Roman" w:hAnsi="Times New Roman"/>
          <w:sz w:val="24"/>
        </w:rPr>
        <w:t xml:space="preserve"> </w:t>
      </w:r>
      <w:bookmarkEnd w:id="8"/>
      <w:r w:rsidRPr="00DA7D28">
        <w:rPr>
          <w:rFonts w:ascii="Times New Roman" w:hAnsi="Times New Roman"/>
          <w:sz w:val="24"/>
        </w:rPr>
        <w:t>Drugie sprawozdanie zostało opublikowane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mar</w:t>
      </w:r>
      <w:r w:rsidRPr="00DA7D28">
        <w:rPr>
          <w:rFonts w:ascii="Times New Roman" w:hAnsi="Times New Roman"/>
          <w:sz w:val="24"/>
        </w:rPr>
        <w:t>cu 2018</w:t>
      </w:r>
      <w:r w:rsidR="008E2A80" w:rsidRPr="00DA7D28">
        <w:rPr>
          <w:rFonts w:ascii="Times New Roman" w:hAnsi="Times New Roman"/>
          <w:sz w:val="24"/>
        </w:rPr>
        <w:t> </w:t>
      </w:r>
      <w:r w:rsidRPr="00DA7D28">
        <w:rPr>
          <w:rFonts w:ascii="Times New Roman" w:hAnsi="Times New Roman"/>
          <w:sz w:val="24"/>
        </w:rPr>
        <w:t>r.</w:t>
      </w:r>
      <w:r w:rsidRPr="00DA7D28">
        <w:rPr>
          <w:rStyle w:val="FootnoteReference"/>
          <w:rFonts w:ascii="Times New Roman" w:hAnsi="Times New Roman"/>
        </w:rPr>
        <w:footnoteReference w:id="4"/>
      </w:r>
      <w:r w:rsidRPr="00DA7D28">
        <w:rPr>
          <w:rFonts w:ascii="Times New Roman" w:hAnsi="Times New Roman"/>
          <w:sz w:val="24"/>
        </w:rPr>
        <w:t>.</w:t>
      </w:r>
    </w:p>
    <w:p w:rsidR="00E90063" w:rsidRPr="00DA7D28" w:rsidRDefault="00BE7F2C" w:rsidP="00776E51">
      <w:pPr>
        <w:pStyle w:val="Heading2"/>
        <w:rPr>
          <w:b w:val="0"/>
        </w:rPr>
      </w:pPr>
      <w:bookmarkStart w:id="9" w:name="_Toc474488792"/>
      <w:bookmarkStart w:id="10" w:name="_Toc3193660"/>
      <w:bookmarkStart w:id="11" w:name="_Toc4776695"/>
      <w:r w:rsidRPr="00DA7D28">
        <w:t>1.1 Turcja</w:t>
      </w:r>
      <w:r w:rsidR="00DA7D28" w:rsidRPr="00DA7D28">
        <w:t xml:space="preserve"> a</w:t>
      </w:r>
      <w:r w:rsidR="00DA7D28">
        <w:t> </w:t>
      </w:r>
      <w:r w:rsidR="00DA7D28" w:rsidRPr="00DA7D28">
        <w:t>kry</w:t>
      </w:r>
      <w:r w:rsidRPr="00DA7D28">
        <w:t>zys uchodźczy</w:t>
      </w:r>
      <w:bookmarkEnd w:id="9"/>
      <w:bookmarkEnd w:id="10"/>
      <w:bookmarkEnd w:id="11"/>
    </w:p>
    <w:p w:rsidR="00776E51" w:rsidRPr="00DA7D28" w:rsidRDefault="00F525B0" w:rsidP="00776E51">
      <w:pPr>
        <w:jc w:val="both"/>
        <w:rPr>
          <w:rFonts w:ascii="Times New Roman" w:hAnsi="Times New Roman"/>
          <w:sz w:val="24"/>
        </w:rPr>
      </w:pPr>
      <w:r w:rsidRPr="00DA7D28">
        <w:rPr>
          <w:rFonts w:ascii="Times New Roman" w:hAnsi="Times New Roman"/>
          <w:sz w:val="24"/>
        </w:rPr>
        <w:t>Ze względu na swoje położenie geograficzne Turcja jest ważnym krajem przyjmującym</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tra</w:t>
      </w:r>
      <w:r w:rsidRPr="00DA7D28">
        <w:rPr>
          <w:rFonts w:ascii="Times New Roman" w:hAnsi="Times New Roman"/>
          <w:sz w:val="24"/>
        </w:rPr>
        <w:t>nzytowym dla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mig</w:t>
      </w:r>
      <w:r w:rsidRPr="00DA7D28">
        <w:rPr>
          <w:rFonts w:ascii="Times New Roman" w:hAnsi="Times New Roman"/>
          <w:sz w:val="24"/>
        </w:rPr>
        <w:t>rantów</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zwi</w:t>
      </w:r>
      <w:r w:rsidRPr="00DA7D28">
        <w:rPr>
          <w:rFonts w:ascii="Times New Roman" w:hAnsi="Times New Roman"/>
          <w:sz w:val="24"/>
        </w:rPr>
        <w:t>ązku</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bez</w:t>
      </w:r>
      <w:r w:rsidRPr="00DA7D28">
        <w:rPr>
          <w:rFonts w:ascii="Times New Roman" w:hAnsi="Times New Roman"/>
          <w:sz w:val="24"/>
        </w:rPr>
        <w:t>precedensowym napływem osób do Turcji, głównie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nas</w:t>
      </w:r>
      <w:r w:rsidRPr="00DA7D28">
        <w:rPr>
          <w:rFonts w:ascii="Times New Roman" w:hAnsi="Times New Roman"/>
          <w:sz w:val="24"/>
        </w:rPr>
        <w:t>tępstwie konfliktów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Syr</w:t>
      </w:r>
      <w:r w:rsidRPr="00DA7D28">
        <w:rPr>
          <w:rFonts w:ascii="Times New Roman" w:hAnsi="Times New Roman"/>
          <w:sz w:val="24"/>
        </w:rPr>
        <w:t>ii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w:t>
      </w:r>
      <w:r w:rsidR="00DA7D28">
        <w:rPr>
          <w:rFonts w:ascii="Times New Roman" w:hAnsi="Times New Roman"/>
          <w:sz w:val="24"/>
        </w:rPr>
        <w:t> </w:t>
      </w:r>
      <w:r w:rsidR="00DA7D28" w:rsidRPr="00DA7D28">
        <w:rPr>
          <w:rFonts w:ascii="Times New Roman" w:hAnsi="Times New Roman"/>
          <w:sz w:val="24"/>
        </w:rPr>
        <w:t>Ira</w:t>
      </w:r>
      <w:r w:rsidRPr="00DA7D28">
        <w:rPr>
          <w:rFonts w:ascii="Times New Roman" w:hAnsi="Times New Roman"/>
          <w:sz w:val="24"/>
        </w:rPr>
        <w:t>ku, kraj ten przyjął ponad 4 mln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mig</w:t>
      </w:r>
      <w:r w:rsidRPr="00DA7D28">
        <w:rPr>
          <w:rFonts w:ascii="Times New Roman" w:hAnsi="Times New Roman"/>
          <w:sz w:val="24"/>
        </w:rPr>
        <w:t>rantów, co stanowi największą liczbę na świecie. Liczba ta obejmuje 3,6 mln zarejestrowanych uchodźców</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Syr</w:t>
      </w:r>
      <w:r w:rsidRPr="00DA7D28">
        <w:rPr>
          <w:rFonts w:ascii="Times New Roman" w:hAnsi="Times New Roman"/>
          <w:sz w:val="24"/>
        </w:rPr>
        <w:t>ii</w:t>
      </w:r>
      <w:r w:rsidRPr="00DA7D28">
        <w:rPr>
          <w:rStyle w:val="FootnoteReference"/>
          <w:rFonts w:ascii="Times New Roman" w:hAnsi="Times New Roman"/>
          <w:sz w:val="24"/>
        </w:rPr>
        <w:footnoteReference w:id="5"/>
      </w:r>
      <w:r w:rsidRPr="00DA7D28">
        <w:rPr>
          <w:rFonts w:ascii="Times New Roman" w:hAnsi="Times New Roman"/>
          <w:sz w:val="24"/>
        </w:rPr>
        <w:t>,</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cze</w:t>
      </w:r>
      <w:r w:rsidRPr="00DA7D28">
        <w:rPr>
          <w:rFonts w:ascii="Times New Roman" w:hAnsi="Times New Roman"/>
          <w:sz w:val="24"/>
        </w:rPr>
        <w:t>go ok.</w:t>
      </w:r>
      <w:r w:rsidR="008E2A80" w:rsidRPr="00DA7D28">
        <w:rPr>
          <w:rFonts w:ascii="Times New Roman" w:hAnsi="Times New Roman"/>
          <w:sz w:val="24"/>
        </w:rPr>
        <w:t> </w:t>
      </w:r>
      <w:r w:rsidRPr="00DA7D28">
        <w:rPr>
          <w:rFonts w:ascii="Times New Roman" w:hAnsi="Times New Roman"/>
          <w:sz w:val="24"/>
        </w:rPr>
        <w:t>155 tys. przebywa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1</w:t>
      </w:r>
      <w:r w:rsidRPr="00DA7D28">
        <w:rPr>
          <w:rFonts w:ascii="Times New Roman" w:hAnsi="Times New Roman"/>
          <w:sz w:val="24"/>
        </w:rPr>
        <w:t>3 obozach założonych przez rząd turecki, oraz ponad 296 tys. zarejestrowanych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osó</w:t>
      </w:r>
      <w:r w:rsidRPr="00DA7D28">
        <w:rPr>
          <w:rFonts w:ascii="Times New Roman" w:hAnsi="Times New Roman"/>
          <w:sz w:val="24"/>
        </w:rPr>
        <w:t>b ubiegających się</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azy</w:t>
      </w:r>
      <w:r w:rsidRPr="00DA7D28">
        <w:rPr>
          <w:rFonts w:ascii="Times New Roman" w:hAnsi="Times New Roman"/>
          <w:sz w:val="24"/>
        </w:rPr>
        <w:t>l pochodzących głównie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Afg</w:t>
      </w:r>
      <w:r w:rsidRPr="00DA7D28">
        <w:rPr>
          <w:rFonts w:ascii="Times New Roman" w:hAnsi="Times New Roman"/>
          <w:sz w:val="24"/>
        </w:rPr>
        <w:t>anistanu, Iraku, Iranu</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Som</w:t>
      </w:r>
      <w:r w:rsidRPr="00DA7D28">
        <w:rPr>
          <w:rFonts w:ascii="Times New Roman" w:hAnsi="Times New Roman"/>
          <w:sz w:val="24"/>
        </w:rPr>
        <w:t>alii</w:t>
      </w:r>
      <w:r w:rsidRPr="00DA7D28">
        <w:rPr>
          <w:rStyle w:val="FootnoteReference"/>
          <w:rFonts w:ascii="Times New Roman" w:hAnsi="Times New Roman"/>
          <w:sz w:val="24"/>
        </w:rPr>
        <w:footnoteReference w:id="6"/>
      </w:r>
      <w:r w:rsidRPr="00DA7D28">
        <w:rPr>
          <w:rFonts w:ascii="Times New Roman" w:hAnsi="Times New Roman"/>
          <w:sz w:val="24"/>
        </w:rPr>
        <w:t>. Pomimo godnych pochwały wysiłków, jakie podejmuje Turcja, przyjmując dużą liczbę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mig</w:t>
      </w:r>
      <w:r w:rsidRPr="00DA7D28">
        <w:rPr>
          <w:rFonts w:ascii="Times New Roman" w:hAnsi="Times New Roman"/>
          <w:sz w:val="24"/>
        </w:rPr>
        <w:t>rantów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zap</w:t>
      </w:r>
      <w:r w:rsidRPr="00DA7D28">
        <w:rPr>
          <w:rFonts w:ascii="Times New Roman" w:hAnsi="Times New Roman"/>
          <w:sz w:val="24"/>
        </w:rPr>
        <w:t>ewniając im wsparcie, skala tego zjawiska ma duży wpływ na społeczności przyjmujące.</w:t>
      </w:r>
    </w:p>
    <w:p w:rsidR="00E90063" w:rsidRPr="00DA7D28" w:rsidRDefault="00BE7F2C">
      <w:pPr>
        <w:pStyle w:val="Heading2"/>
        <w:rPr>
          <w:rFonts w:eastAsia="Times New Roman"/>
          <w:b w:val="0"/>
          <w:szCs w:val="24"/>
        </w:rPr>
      </w:pPr>
      <w:bookmarkStart w:id="12" w:name="_Toc473205690"/>
      <w:bookmarkStart w:id="13" w:name="_Toc474488793"/>
      <w:bookmarkStart w:id="14" w:name="_Toc3193661"/>
      <w:bookmarkStart w:id="15" w:name="_Toc4776696"/>
      <w:r w:rsidRPr="00DA7D28">
        <w:t>1.2 Reakcja UE</w:t>
      </w:r>
      <w:bookmarkEnd w:id="12"/>
      <w:r w:rsidRPr="00DA7D28">
        <w:t xml:space="preserve"> na kryzys</w:t>
      </w:r>
      <w:r w:rsidR="00DA7D28" w:rsidRPr="00DA7D28">
        <w:t xml:space="preserve"> i</w:t>
      </w:r>
      <w:r w:rsidR="00DA7D28">
        <w:t> </w:t>
      </w:r>
      <w:r w:rsidR="00DA7D28" w:rsidRPr="00DA7D28">
        <w:t>ust</w:t>
      </w:r>
      <w:r w:rsidRPr="00DA7D28">
        <w:t>anowienie instrumentu</w:t>
      </w:r>
      <w:bookmarkEnd w:id="13"/>
      <w:bookmarkEnd w:id="14"/>
      <w:bookmarkEnd w:id="15"/>
    </w:p>
    <w:p w:rsidR="00E90063"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W 2015 r. Unia Europejska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jej</w:t>
      </w:r>
      <w:r w:rsidRPr="00DA7D28">
        <w:rPr>
          <w:rFonts w:ascii="Times New Roman" w:hAnsi="Times New Roman"/>
          <w:sz w:val="24"/>
        </w:rPr>
        <w:t xml:space="preserve"> państwa członkowskie postanowiły zwiększyć swoje zaangażowanie polityczne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fin</w:t>
      </w:r>
      <w:r w:rsidRPr="00DA7D28">
        <w:rPr>
          <w:rFonts w:ascii="Times New Roman" w:hAnsi="Times New Roman"/>
          <w:sz w:val="24"/>
        </w:rPr>
        <w:t>ansowe we wspieranie wysiłków Turcji związanych</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prz</w:t>
      </w:r>
      <w:r w:rsidRPr="00DA7D28">
        <w:rPr>
          <w:rFonts w:ascii="Times New Roman" w:hAnsi="Times New Roman"/>
          <w:sz w:val="24"/>
        </w:rPr>
        <w:t>yjmowaniem uchodźców</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oświadczenia UE–Turcja</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dni</w:t>
      </w:r>
      <w:r w:rsidRPr="00DA7D28">
        <w:rPr>
          <w:rFonts w:ascii="Times New Roman" w:hAnsi="Times New Roman"/>
          <w:sz w:val="24"/>
        </w:rPr>
        <w:t>a 18 marca 2016 r.</w:t>
      </w:r>
      <w:r w:rsidRPr="00DA7D28">
        <w:rPr>
          <w:rStyle w:val="FootnoteReference"/>
          <w:rFonts w:ascii="Times New Roman" w:hAnsi="Times New Roman"/>
          <w:sz w:val="24"/>
        </w:rPr>
        <w:footnoteReference w:id="7"/>
      </w:r>
      <w:r w:rsidRPr="00DA7D28">
        <w:rPr>
          <w:rFonts w:ascii="Times New Roman" w:hAnsi="Times New Roman"/>
          <w:sz w:val="24"/>
        </w:rPr>
        <w:t xml:space="preserve"> (zwanego dalej „oświadczeniem”) uzgodniona została kompleksowa współpraca między Unią Europejską</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cją, oparta na współodpowiedzialności, wzajemnych zobowiązaniach</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wsp</w:t>
      </w:r>
      <w:r w:rsidRPr="00DA7D28">
        <w:rPr>
          <w:rFonts w:ascii="Times New Roman" w:hAnsi="Times New Roman"/>
          <w:sz w:val="24"/>
        </w:rPr>
        <w:t>ólnych efektach pracy. Na posiedzeniu szefów państw lub rządów</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udz</w:t>
      </w:r>
      <w:r w:rsidRPr="00DA7D28">
        <w:rPr>
          <w:rFonts w:ascii="Times New Roman" w:hAnsi="Times New Roman"/>
          <w:sz w:val="24"/>
        </w:rPr>
        <w:t>iałem Turcji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dni</w:t>
      </w:r>
      <w:r w:rsidRPr="00DA7D28">
        <w:rPr>
          <w:rFonts w:ascii="Times New Roman" w:hAnsi="Times New Roman"/>
          <w:sz w:val="24"/>
        </w:rPr>
        <w:t>u 29 listopada 2015 r. uruchomiono wspólny plan działania UE–Turcja</w:t>
      </w:r>
      <w:r w:rsidRPr="00DA7D28">
        <w:rPr>
          <w:rStyle w:val="FootnoteReference"/>
          <w:rFonts w:ascii="Times New Roman" w:hAnsi="Times New Roman"/>
        </w:rPr>
        <w:footnoteReference w:id="8"/>
      </w:r>
      <w:r w:rsidRPr="00DA7D28">
        <w:rPr>
          <w:rFonts w:ascii="Times New Roman" w:hAnsi="Times New Roman"/>
          <w:sz w:val="24"/>
        </w:rPr>
        <w:t>, aby pomóc temu krajowi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upo</w:t>
      </w:r>
      <w:r w:rsidRPr="00DA7D28">
        <w:rPr>
          <w:rFonts w:ascii="Times New Roman" w:hAnsi="Times New Roman"/>
          <w:sz w:val="24"/>
        </w:rPr>
        <w:t>raniu się ze skutkami konfliktu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Syr</w:t>
      </w:r>
      <w:r w:rsidRPr="00DA7D28">
        <w:rPr>
          <w:rFonts w:ascii="Times New Roman" w:hAnsi="Times New Roman"/>
          <w:sz w:val="24"/>
        </w:rPr>
        <w:t>ii.</w:t>
      </w:r>
    </w:p>
    <w:p w:rsidR="00BE7F2C"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W odpowiedzi na apel państw członkowskich UE</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udo</w:t>
      </w:r>
      <w:r w:rsidRPr="00DA7D28">
        <w:rPr>
          <w:rFonts w:ascii="Times New Roman" w:hAnsi="Times New Roman"/>
          <w:sz w:val="24"/>
        </w:rPr>
        <w:t>stępnienie znacznych dodatkowych środków finansowych na wsparcie dla uchodźców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dni</w:t>
      </w:r>
      <w:r w:rsidRPr="00DA7D28">
        <w:rPr>
          <w:rFonts w:ascii="Times New Roman" w:hAnsi="Times New Roman"/>
          <w:sz w:val="24"/>
        </w:rPr>
        <w:t>u 24 listopada 2015</w:t>
      </w:r>
      <w:r w:rsidR="008E2A80" w:rsidRPr="00DA7D28">
        <w:rPr>
          <w:rFonts w:ascii="Times New Roman" w:hAnsi="Times New Roman"/>
          <w:sz w:val="24"/>
        </w:rPr>
        <w:t> </w:t>
      </w:r>
      <w:r w:rsidRPr="00DA7D28">
        <w:rPr>
          <w:rFonts w:ascii="Times New Roman" w:hAnsi="Times New Roman"/>
          <w:sz w:val="24"/>
        </w:rPr>
        <w:t>r. Komisja stworzyła Instrument Pomocy dla Uchodźców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w:t>
      </w:r>
      <w:r w:rsidRPr="00DA7D28">
        <w:rPr>
          <w:rStyle w:val="FootnoteReference"/>
          <w:rFonts w:ascii="Times New Roman" w:hAnsi="Times New Roman"/>
          <w:sz w:val="24"/>
        </w:rPr>
        <w:footnoteReference w:id="9"/>
      </w:r>
      <w:r w:rsidRPr="00DA7D28">
        <w:rPr>
          <w:rFonts w:ascii="Times New Roman" w:hAnsi="Times New Roman"/>
          <w:sz w:val="24"/>
        </w:rPr>
        <w:t>. Instrument ten stanowi mechanizm koordynacji uruchamiania zasobów udostępnionych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budżetu UE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dod</w:t>
      </w:r>
      <w:r w:rsidRPr="00DA7D28">
        <w:rPr>
          <w:rFonts w:ascii="Times New Roman" w:hAnsi="Times New Roman"/>
          <w:sz w:val="24"/>
        </w:rPr>
        <w:t>atkowych wkładów od państw członkowskich włączonych do budżetu UE jako zewnętrzne dochody przeznaczone na określony cel. Wkłady te wynoszą łącznie 6 mld EUR,</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cze</w:t>
      </w:r>
      <w:r w:rsidRPr="00DA7D28">
        <w:rPr>
          <w:rFonts w:ascii="Times New Roman" w:hAnsi="Times New Roman"/>
          <w:sz w:val="24"/>
        </w:rPr>
        <w:t>go 3 mld EUR przeznaczono na lata 2016–2017,</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kol</w:t>
      </w:r>
      <w:r w:rsidRPr="00DA7D28">
        <w:rPr>
          <w:rFonts w:ascii="Times New Roman" w:hAnsi="Times New Roman"/>
          <w:sz w:val="24"/>
        </w:rPr>
        <w:t xml:space="preserve">ejne 3 mld EUR na lata 2018–2019. </w:t>
      </w:r>
      <w:r w:rsidR="00F74D5A" w:rsidRPr="00DA7D28">
        <w:rPr>
          <w:rFonts w:ascii="Times New Roman" w:hAnsi="Times New Roman"/>
          <w:sz w:val="24"/>
        </w:rPr>
        <w:t>UE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jej</w:t>
      </w:r>
      <w:r w:rsidR="00F74D5A" w:rsidRPr="00DA7D28">
        <w:rPr>
          <w:rFonts w:ascii="Times New Roman" w:hAnsi="Times New Roman"/>
          <w:sz w:val="24"/>
        </w:rPr>
        <w:t xml:space="preserve"> państwa członkowskie są największym darczyńcą pomocy mającej zaradzić skutkom kryzysu syryjskiego i od początku tego kryzysu, czyli od</w:t>
      </w:r>
      <w:r w:rsidR="00DA7D28" w:rsidRPr="00DA7D28">
        <w:rPr>
          <w:rFonts w:ascii="Times New Roman" w:hAnsi="Times New Roman"/>
          <w:sz w:val="24"/>
        </w:rPr>
        <w:t> </w:t>
      </w:r>
      <w:r w:rsidR="00F74D5A" w:rsidRPr="00DA7D28">
        <w:rPr>
          <w:rFonts w:ascii="Times New Roman" w:hAnsi="Times New Roman"/>
          <w:sz w:val="24"/>
        </w:rPr>
        <w:t>2011</w:t>
      </w:r>
      <w:r w:rsidR="00DA7D28" w:rsidRPr="00DA7D28">
        <w:rPr>
          <w:rFonts w:ascii="Times New Roman" w:hAnsi="Times New Roman"/>
          <w:sz w:val="24"/>
        </w:rPr>
        <w:t> </w:t>
      </w:r>
      <w:r w:rsidR="00F74D5A" w:rsidRPr="00DA7D28">
        <w:rPr>
          <w:rFonts w:ascii="Times New Roman" w:hAnsi="Times New Roman"/>
          <w:sz w:val="24"/>
        </w:rPr>
        <w:t>r., uruchomiły kwotę około 17 mld EUR.</w:t>
      </w:r>
      <w:r w:rsidRPr="00DA7D28">
        <w:rPr>
          <w:rFonts w:ascii="Times New Roman" w:hAnsi="Times New Roman"/>
          <w:sz w:val="24"/>
        </w:rPr>
        <w:t>.</w:t>
      </w:r>
    </w:p>
    <w:p w:rsidR="00E90063"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Instrument uzupełnia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zwi</w:t>
      </w:r>
      <w:r w:rsidRPr="00DA7D28">
        <w:rPr>
          <w:rFonts w:ascii="Times New Roman" w:hAnsi="Times New Roman"/>
          <w:sz w:val="24"/>
        </w:rPr>
        <w:t>ększa kwotę zapewnionego już finansowania unijnego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regionalnego funduszu powierniczego UE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odp</w:t>
      </w:r>
      <w:r w:rsidRPr="00DA7D28">
        <w:rPr>
          <w:rFonts w:ascii="Times New Roman" w:hAnsi="Times New Roman"/>
          <w:sz w:val="24"/>
        </w:rPr>
        <w:t>owiedzi na kryzys</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Syr</w:t>
      </w:r>
      <w:r w:rsidRPr="00DA7D28">
        <w:rPr>
          <w:rFonts w:ascii="Times New Roman" w:hAnsi="Times New Roman"/>
          <w:sz w:val="24"/>
        </w:rPr>
        <w:t>ii</w:t>
      </w:r>
      <w:r w:rsidRPr="00DA7D28">
        <w:rPr>
          <w:rStyle w:val="FootnoteReference"/>
          <w:rFonts w:ascii="Times New Roman" w:hAnsi="Times New Roman"/>
          <w:sz w:val="24"/>
        </w:rPr>
        <w:footnoteReference w:id="10"/>
      </w:r>
      <w:r w:rsidRPr="00DA7D28">
        <w:rPr>
          <w:rFonts w:ascii="Times New Roman" w:hAnsi="Times New Roman"/>
          <w:sz w:val="24"/>
        </w:rPr>
        <w:t xml:space="preserve"> (fundusz powierniczy UE lub EUTF), Instrumentu na rzecz Przyczyniania się do Stabilności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Pok</w:t>
      </w:r>
      <w:r w:rsidRPr="00DA7D28">
        <w:rPr>
          <w:rFonts w:ascii="Times New Roman" w:hAnsi="Times New Roman"/>
          <w:sz w:val="24"/>
        </w:rPr>
        <w:t>oju (IcSP) oraz programów krajowych realizowanych dzięki środkom finansowym</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Ins</w:t>
      </w:r>
      <w:r w:rsidRPr="00DA7D28">
        <w:rPr>
          <w:rFonts w:ascii="Times New Roman" w:hAnsi="Times New Roman"/>
          <w:sz w:val="24"/>
        </w:rPr>
        <w:t>trumentu Pomocy Przedakcesyjnej, co pozwala wspierać prace nad kwestiami dotyczącymi uchodźców podejmowane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klu</w:t>
      </w:r>
      <w:r w:rsidRPr="00DA7D28">
        <w:rPr>
          <w:rFonts w:ascii="Times New Roman" w:hAnsi="Times New Roman"/>
          <w:sz w:val="24"/>
        </w:rPr>
        <w:t>czowymi partnerami. Uzupełnia również Europejski Instrument na rzecz Wspierania Demokracji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Pra</w:t>
      </w:r>
      <w:r w:rsidRPr="00DA7D28">
        <w:rPr>
          <w:rFonts w:ascii="Times New Roman" w:hAnsi="Times New Roman"/>
          <w:sz w:val="24"/>
        </w:rPr>
        <w:t>w Człowieka</w:t>
      </w:r>
      <w:r w:rsidRPr="00DA7D28">
        <w:rPr>
          <w:rStyle w:val="FootnoteReference"/>
          <w:rFonts w:ascii="Times New Roman" w:hAnsi="Times New Roman"/>
        </w:rPr>
        <w:footnoteReference w:id="11"/>
      </w:r>
      <w:r w:rsidRPr="00DA7D28">
        <w:rPr>
          <w:rFonts w:ascii="Times New Roman" w:hAnsi="Times New Roman"/>
          <w:sz w:val="24"/>
        </w:rPr>
        <w:t>.</w:t>
      </w:r>
    </w:p>
    <w:p w:rsidR="00B0160B" w:rsidRPr="00DA7D28" w:rsidRDefault="00BE7F2C" w:rsidP="00794864">
      <w:pPr>
        <w:spacing w:after="60"/>
        <w:contextualSpacing/>
        <w:jc w:val="both"/>
        <w:rPr>
          <w:rFonts w:ascii="Times New Roman" w:eastAsia="Times New Roman" w:hAnsi="Times New Roman"/>
          <w:sz w:val="24"/>
          <w:szCs w:val="24"/>
        </w:rPr>
      </w:pPr>
      <w:r w:rsidRPr="00DA7D28">
        <w:rPr>
          <w:rFonts w:ascii="Times New Roman" w:hAnsi="Times New Roman"/>
          <w:sz w:val="24"/>
        </w:rPr>
        <w:t>Na przestrzeni 2018 r. realizacja postanowień oświadczenia UE-Turcja nadal odgrywała zasadniczą rolę, stanowiąc gwarancję skutecznych działań podejmowanych wspólnie przez UE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cję</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obl</w:t>
      </w:r>
      <w:r w:rsidRPr="00DA7D28">
        <w:rPr>
          <w:rFonts w:ascii="Times New Roman" w:hAnsi="Times New Roman"/>
          <w:sz w:val="24"/>
        </w:rPr>
        <w:t>iczu wyzwań związanych</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mig</w:t>
      </w:r>
      <w:r w:rsidRPr="00DA7D28">
        <w:rPr>
          <w:rFonts w:ascii="Times New Roman" w:hAnsi="Times New Roman"/>
          <w:sz w:val="24"/>
        </w:rPr>
        <w:t>racją. Oświadczenie to nadal przynosi konkretne rezultaty, przyczyniając się do zmniejszenia liczby nielegalnych</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nie</w:t>
      </w:r>
      <w:r w:rsidRPr="00DA7D28">
        <w:rPr>
          <w:rFonts w:ascii="Times New Roman" w:hAnsi="Times New Roman"/>
          <w:sz w:val="24"/>
        </w:rPr>
        <w:t xml:space="preserve">bezpiecznych przepraw oraz do ratowania życia na Morzu Egejskim. </w:t>
      </w:r>
      <w:bookmarkStart w:id="16" w:name="_Toc473901371"/>
      <w:bookmarkStart w:id="17" w:name="_Toc474250029"/>
      <w:bookmarkStart w:id="18" w:name="_Toc474488794"/>
      <w:bookmarkStart w:id="19" w:name="_Toc473205691"/>
    </w:p>
    <w:p w:rsidR="00794864" w:rsidRPr="00DA7D28" w:rsidRDefault="00794864" w:rsidP="00794864">
      <w:pPr>
        <w:spacing w:after="60"/>
        <w:contextualSpacing/>
        <w:jc w:val="both"/>
        <w:rPr>
          <w:rFonts w:ascii="Times New Roman" w:eastAsia="Times New Roman" w:hAnsi="Times New Roman"/>
          <w:sz w:val="24"/>
          <w:szCs w:val="24"/>
        </w:rPr>
      </w:pPr>
    </w:p>
    <w:p w:rsidR="00B0160B" w:rsidRPr="00DA7D28" w:rsidRDefault="00B0160B" w:rsidP="009311A1">
      <w:pPr>
        <w:jc w:val="both"/>
        <w:rPr>
          <w:rFonts w:ascii="Times New Roman" w:hAnsi="Times New Roman"/>
          <w:sz w:val="24"/>
          <w:szCs w:val="24"/>
        </w:rPr>
      </w:pPr>
      <w:r w:rsidRPr="00DA7D28">
        <w:rPr>
          <w:rFonts w:ascii="Times New Roman" w:hAnsi="Times New Roman"/>
          <w:sz w:val="24"/>
        </w:rPr>
        <w:t>W 2018</w:t>
      </w:r>
      <w:r w:rsidR="008E2A80" w:rsidRPr="00DA7D28">
        <w:rPr>
          <w:rFonts w:ascii="Times New Roman" w:hAnsi="Times New Roman"/>
          <w:sz w:val="24"/>
        </w:rPr>
        <w:t> </w:t>
      </w:r>
      <w:r w:rsidRPr="00DA7D28">
        <w:rPr>
          <w:rFonts w:ascii="Times New Roman" w:hAnsi="Times New Roman"/>
          <w:sz w:val="24"/>
        </w:rPr>
        <w:t>r. łączna liczba osób, które przybyły</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 do UE, wyniosła 50 789,</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por</w:t>
      </w:r>
      <w:r w:rsidRPr="00DA7D28">
        <w:rPr>
          <w:rFonts w:ascii="Times New Roman" w:hAnsi="Times New Roman"/>
          <w:sz w:val="24"/>
        </w:rPr>
        <w:t>ównaniu</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4</w:t>
      </w:r>
      <w:r w:rsidRPr="00DA7D28">
        <w:rPr>
          <w:rFonts w:ascii="Times New Roman" w:hAnsi="Times New Roman"/>
          <w:sz w:val="24"/>
        </w:rPr>
        <w:t>1 720</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017</w:t>
      </w:r>
      <w:r w:rsidR="008E2A80" w:rsidRPr="00DA7D28">
        <w:rPr>
          <w:rFonts w:ascii="Times New Roman" w:hAnsi="Times New Roman"/>
          <w:sz w:val="24"/>
        </w:rPr>
        <w:t> </w:t>
      </w:r>
      <w:r w:rsidRPr="00DA7D28">
        <w:rPr>
          <w:rFonts w:ascii="Times New Roman" w:hAnsi="Times New Roman"/>
          <w:sz w:val="24"/>
        </w:rPr>
        <w:t>r. (wzrost</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2 %). Liczba ta obejmowała 47 939 osób przybyłych do Grecji (z czego 32 141 osób drogą morską</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1</w:t>
      </w:r>
      <w:r w:rsidRPr="00DA7D28">
        <w:rPr>
          <w:rFonts w:ascii="Times New Roman" w:hAnsi="Times New Roman"/>
          <w:sz w:val="24"/>
        </w:rPr>
        <w:t>5 798 drogą lądową), 2 383 osoby przybyłe do Włoch, 349 osób przybyłych do Bułgarii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1</w:t>
      </w:r>
      <w:r w:rsidRPr="00DA7D28">
        <w:rPr>
          <w:rFonts w:ascii="Times New Roman" w:hAnsi="Times New Roman"/>
          <w:sz w:val="24"/>
        </w:rPr>
        <w:t>18 osób, które przedostały się łodziami na obszary Cypru będące pod kontrolą rządu. Według stanu na dzień 5 marca 2019</w:t>
      </w:r>
      <w:r w:rsidR="008E2A80" w:rsidRPr="00DA7D28">
        <w:rPr>
          <w:rFonts w:ascii="Times New Roman" w:hAnsi="Times New Roman"/>
          <w:sz w:val="24"/>
        </w:rPr>
        <w:t> </w:t>
      </w:r>
      <w:r w:rsidRPr="00DA7D28">
        <w:rPr>
          <w:rFonts w:ascii="Times New Roman" w:hAnsi="Times New Roman"/>
          <w:sz w:val="24"/>
        </w:rPr>
        <w:t>r. całkowita liczba osób, które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019</w:t>
      </w:r>
      <w:r w:rsidR="008E2A80" w:rsidRPr="00DA7D28">
        <w:rPr>
          <w:rFonts w:ascii="Times New Roman" w:hAnsi="Times New Roman"/>
          <w:sz w:val="24"/>
        </w:rPr>
        <w:t> </w:t>
      </w:r>
      <w:r w:rsidRPr="00DA7D28">
        <w:rPr>
          <w:rFonts w:ascii="Times New Roman" w:hAnsi="Times New Roman"/>
          <w:sz w:val="24"/>
        </w:rPr>
        <w:t>r. napłynęły</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 do UE, wynosi 5 094 (podczas gdy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tym</w:t>
      </w:r>
      <w:r w:rsidRPr="00DA7D28">
        <w:rPr>
          <w:rFonts w:ascii="Times New Roman" w:hAnsi="Times New Roman"/>
          <w:sz w:val="24"/>
        </w:rPr>
        <w:t xml:space="preserve"> samym okresie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ubi</w:t>
      </w:r>
      <w:r w:rsidRPr="00DA7D28">
        <w:rPr>
          <w:rFonts w:ascii="Times New Roman" w:hAnsi="Times New Roman"/>
          <w:sz w:val="24"/>
        </w:rPr>
        <w:t>egłym roku wyniosła ona</w:t>
      </w:r>
      <w:r w:rsidR="008E2A80" w:rsidRPr="00DA7D28">
        <w:rPr>
          <w:rFonts w:ascii="Times New Roman" w:hAnsi="Times New Roman"/>
          <w:sz w:val="24"/>
        </w:rPr>
        <w:t> </w:t>
      </w:r>
      <w:r w:rsidRPr="00DA7D28">
        <w:rPr>
          <w:rFonts w:ascii="Times New Roman" w:hAnsi="Times New Roman"/>
          <w:sz w:val="24"/>
        </w:rPr>
        <w:t>3 153 osoby). Liczba ta obejmuje 5 054 osoby przybyłe do Grecji (3 509 osób przybyłych drogą morską</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1</w:t>
      </w:r>
      <w:r w:rsidRPr="00DA7D28">
        <w:rPr>
          <w:rFonts w:ascii="Times New Roman" w:hAnsi="Times New Roman"/>
          <w:sz w:val="24"/>
        </w:rPr>
        <w:t xml:space="preserve"> 545 przybyłych drogą lądową),</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tak</w:t>
      </w:r>
      <w:r w:rsidRPr="00DA7D28">
        <w:rPr>
          <w:rFonts w:ascii="Times New Roman" w:hAnsi="Times New Roman"/>
          <w:sz w:val="24"/>
        </w:rPr>
        <w:t>że 40 osób przybyłych do Bułgarii</w:t>
      </w:r>
      <w:r w:rsidRPr="00DA7D28">
        <w:rPr>
          <w:rStyle w:val="FootnoteReference"/>
          <w:rFonts w:ascii="Times New Roman" w:hAnsi="Times New Roman"/>
        </w:rPr>
        <w:footnoteReference w:id="12"/>
      </w:r>
      <w:r w:rsidRPr="00DA7D28">
        <w:t>.</w:t>
      </w:r>
      <w:r w:rsidRPr="00DA7D28">
        <w:rPr>
          <w:rFonts w:ascii="Times New Roman" w:hAnsi="Times New Roman"/>
          <w:sz w:val="24"/>
        </w:rPr>
        <w:t xml:space="preserve"> Według Międzynarodowej Organizacji ds. Migracji (IOM) do tej pory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019</w:t>
      </w:r>
      <w:r w:rsidR="008E2A80" w:rsidRPr="00DA7D28">
        <w:rPr>
          <w:rFonts w:ascii="Times New Roman" w:hAnsi="Times New Roman"/>
          <w:sz w:val="24"/>
        </w:rPr>
        <w:t> </w:t>
      </w:r>
      <w:r w:rsidRPr="00DA7D28">
        <w:rPr>
          <w:rFonts w:ascii="Times New Roman" w:hAnsi="Times New Roman"/>
          <w:sz w:val="24"/>
        </w:rPr>
        <w:t>r. we wschodniej części basenu Morza Śródziemnego poniosło śmierć troje migrantów (w 2018</w:t>
      </w:r>
      <w:r w:rsidR="008E2A80" w:rsidRPr="00DA7D28">
        <w:rPr>
          <w:rFonts w:ascii="Times New Roman" w:hAnsi="Times New Roman"/>
          <w:sz w:val="24"/>
        </w:rPr>
        <w:t> </w:t>
      </w:r>
      <w:r w:rsidRPr="00DA7D28">
        <w:rPr>
          <w:rFonts w:ascii="Times New Roman" w:hAnsi="Times New Roman"/>
          <w:sz w:val="24"/>
        </w:rPr>
        <w:t>r. zginęły 174 osoby,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017</w:t>
      </w:r>
      <w:r w:rsidR="008E2A80" w:rsidRPr="00DA7D28">
        <w:rPr>
          <w:rFonts w:ascii="Times New Roman" w:hAnsi="Times New Roman"/>
          <w:sz w:val="24"/>
        </w:rPr>
        <w:t> </w:t>
      </w:r>
      <w:r w:rsidRPr="00DA7D28">
        <w:rPr>
          <w:rFonts w:ascii="Times New Roman" w:hAnsi="Times New Roman"/>
          <w:sz w:val="24"/>
        </w:rPr>
        <w:t>r. – 62, 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016</w:t>
      </w:r>
      <w:r w:rsidR="008E2A80" w:rsidRPr="00DA7D28">
        <w:rPr>
          <w:rFonts w:ascii="Times New Roman" w:hAnsi="Times New Roman"/>
          <w:sz w:val="24"/>
        </w:rPr>
        <w:t> </w:t>
      </w:r>
      <w:r w:rsidRPr="00DA7D28">
        <w:rPr>
          <w:rFonts w:ascii="Times New Roman" w:hAnsi="Times New Roman"/>
          <w:sz w:val="24"/>
        </w:rPr>
        <w:t xml:space="preserve">r. – 434). </w:t>
      </w:r>
    </w:p>
    <w:p w:rsidR="00B0160B" w:rsidRPr="00DA7D28" w:rsidRDefault="00B0160B" w:rsidP="009311A1">
      <w:pPr>
        <w:jc w:val="both"/>
        <w:rPr>
          <w:rFonts w:ascii="Times New Roman" w:hAnsi="Times New Roman"/>
          <w:sz w:val="24"/>
          <w:szCs w:val="24"/>
        </w:rPr>
      </w:pPr>
    </w:p>
    <w:p w:rsidR="00E90063" w:rsidRPr="00DA7D28" w:rsidRDefault="00C32A5F" w:rsidP="009311A1">
      <w:pPr>
        <w:jc w:val="both"/>
        <w:rPr>
          <w:rFonts w:ascii="Times New Roman" w:eastAsia="Times New Roman" w:hAnsi="Times New Roman"/>
          <w:sz w:val="24"/>
          <w:szCs w:val="24"/>
        </w:rPr>
      </w:pPr>
      <w:r w:rsidRPr="00DA7D28">
        <w:rPr>
          <w:rFonts w:ascii="Times New Roman" w:hAnsi="Times New Roman"/>
          <w:sz w:val="24"/>
        </w:rPr>
        <w:t>Nadal dokonuje się przesiedleń</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 do UE według zasady „jeden za jednego”</w:t>
      </w:r>
      <w:r w:rsidRPr="00DA7D28">
        <w:rPr>
          <w:rStyle w:val="FootnoteReference"/>
          <w:rFonts w:ascii="Times New Roman" w:hAnsi="Times New Roman"/>
        </w:rPr>
        <w:footnoteReference w:id="13"/>
      </w:r>
      <w:r w:rsidRPr="00DA7D28">
        <w:rPr>
          <w:rFonts w:ascii="Times New Roman" w:hAnsi="Times New Roman"/>
          <w:sz w:val="24"/>
        </w:rPr>
        <w:t xml:space="preserve"> przewidzianej</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ośw</w:t>
      </w:r>
      <w:r w:rsidRPr="00DA7D28">
        <w:rPr>
          <w:rFonts w:ascii="Times New Roman" w:hAnsi="Times New Roman"/>
          <w:sz w:val="24"/>
        </w:rPr>
        <w:t>iadczeniu. Całkowita liczba przesiedleń, jakie miały miejsce od dnia 4 kwietnia 2016</w:t>
      </w:r>
      <w:r w:rsidR="008E2A80" w:rsidRPr="00DA7D28">
        <w:rPr>
          <w:rFonts w:ascii="Times New Roman" w:hAnsi="Times New Roman"/>
          <w:sz w:val="24"/>
        </w:rPr>
        <w:t> </w:t>
      </w:r>
      <w:r w:rsidRPr="00DA7D28">
        <w:rPr>
          <w:rFonts w:ascii="Times New Roman" w:hAnsi="Times New Roman"/>
          <w:sz w:val="24"/>
        </w:rPr>
        <w:t>r., wyniosła 20 002 (1 362 przesiedlenia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019</w:t>
      </w:r>
      <w:r w:rsidR="008E2A80" w:rsidRPr="00DA7D28">
        <w:rPr>
          <w:rFonts w:ascii="Times New Roman" w:hAnsi="Times New Roman"/>
          <w:sz w:val="24"/>
        </w:rPr>
        <w:t> </w:t>
      </w:r>
      <w:r w:rsidRPr="00DA7D28">
        <w:rPr>
          <w:rFonts w:ascii="Times New Roman" w:hAnsi="Times New Roman"/>
          <w:sz w:val="24"/>
        </w:rPr>
        <w:t>r., 6 929 przesiedleń</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018</w:t>
      </w:r>
      <w:r w:rsidR="008E2A80" w:rsidRPr="00DA7D28">
        <w:rPr>
          <w:rFonts w:ascii="Times New Roman" w:hAnsi="Times New Roman"/>
          <w:sz w:val="24"/>
        </w:rPr>
        <w:t> </w:t>
      </w:r>
      <w:r w:rsidRPr="00DA7D28">
        <w:rPr>
          <w:rFonts w:ascii="Times New Roman" w:hAnsi="Times New Roman"/>
          <w:sz w:val="24"/>
        </w:rPr>
        <w:t>r.</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8</w:t>
      </w:r>
      <w:r w:rsidRPr="00DA7D28">
        <w:rPr>
          <w:rFonts w:ascii="Times New Roman" w:hAnsi="Times New Roman"/>
          <w:sz w:val="24"/>
        </w:rPr>
        <w:t> 975 przesiedleń</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017</w:t>
      </w:r>
      <w:r w:rsidR="008E2A80" w:rsidRPr="00DA7D28">
        <w:rPr>
          <w:rFonts w:ascii="Times New Roman" w:hAnsi="Times New Roman"/>
          <w:sz w:val="24"/>
        </w:rPr>
        <w:t> </w:t>
      </w:r>
      <w:r w:rsidRPr="00DA7D28">
        <w:rPr>
          <w:rFonts w:ascii="Times New Roman" w:hAnsi="Times New Roman"/>
          <w:sz w:val="24"/>
        </w:rPr>
        <w:t>r.). Co się zaś tyczy programu dobrowolnego przyjmowania ze względów humanitarnych, wraz</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zat</w:t>
      </w:r>
      <w:r w:rsidRPr="00DA7D28">
        <w:rPr>
          <w:rFonts w:ascii="Times New Roman" w:hAnsi="Times New Roman"/>
          <w:sz w:val="24"/>
        </w:rPr>
        <w:t>wierdzeniem</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gru</w:t>
      </w:r>
      <w:r w:rsidRPr="00DA7D28">
        <w:rPr>
          <w:rFonts w:ascii="Times New Roman" w:hAnsi="Times New Roman"/>
          <w:sz w:val="24"/>
        </w:rPr>
        <w:t>dniu 2017</w:t>
      </w:r>
      <w:r w:rsidR="008E2A80" w:rsidRPr="00DA7D28">
        <w:rPr>
          <w:rFonts w:ascii="Times New Roman" w:hAnsi="Times New Roman"/>
          <w:sz w:val="24"/>
        </w:rPr>
        <w:t> </w:t>
      </w:r>
      <w:r w:rsidRPr="00DA7D28">
        <w:rPr>
          <w:rFonts w:ascii="Times New Roman" w:hAnsi="Times New Roman"/>
          <w:sz w:val="24"/>
        </w:rPr>
        <w:t>r. standardowych procedur operacyjnych wprowadzono wszystkie określone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ośw</w:t>
      </w:r>
      <w:r w:rsidRPr="00DA7D28">
        <w:rPr>
          <w:rFonts w:ascii="Times New Roman" w:hAnsi="Times New Roman"/>
          <w:sz w:val="24"/>
        </w:rPr>
        <w:t>iadczeniu elementy</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war</w:t>
      </w:r>
      <w:r w:rsidRPr="00DA7D28">
        <w:rPr>
          <w:rFonts w:ascii="Times New Roman" w:hAnsi="Times New Roman"/>
          <w:sz w:val="24"/>
        </w:rPr>
        <w:t xml:space="preserve">unki uruchomienia tego programu. </w:t>
      </w:r>
    </w:p>
    <w:p w:rsidR="00B0160B" w:rsidRPr="00DA7D28" w:rsidRDefault="00B0160B" w:rsidP="009311A1">
      <w:pPr>
        <w:jc w:val="both"/>
        <w:rPr>
          <w:rFonts w:ascii="Times New Roman" w:eastAsia="Times New Roman" w:hAnsi="Times New Roman"/>
          <w:sz w:val="24"/>
          <w:szCs w:val="24"/>
        </w:rPr>
      </w:pPr>
    </w:p>
    <w:p w:rsidR="00776E51" w:rsidRPr="00DA7D28" w:rsidRDefault="00BE7F2C">
      <w:pPr>
        <w:spacing w:after="120"/>
        <w:jc w:val="both"/>
        <w:rPr>
          <w:sz w:val="23"/>
          <w:szCs w:val="23"/>
        </w:rPr>
      </w:pPr>
      <w:r w:rsidRPr="00DA7D28">
        <w:rPr>
          <w:rFonts w:ascii="Times New Roman" w:hAnsi="Times New Roman"/>
          <w:sz w:val="24"/>
        </w:rPr>
        <w:t>Aby zapewnić pełną</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trw</w:t>
      </w:r>
      <w:r w:rsidRPr="00DA7D28">
        <w:rPr>
          <w:rFonts w:ascii="Times New Roman" w:hAnsi="Times New Roman"/>
          <w:sz w:val="24"/>
        </w:rPr>
        <w:t>ałą realizację postanowień oświadczenia, konieczne są nieprzerwane wysiłki oraz determinacja polityczna wszystkich stron.</w:t>
      </w:r>
      <w:r w:rsidRPr="00DA7D28">
        <w:rPr>
          <w:sz w:val="23"/>
        </w:rPr>
        <w:t xml:space="preserve"> </w:t>
      </w:r>
      <w:bookmarkEnd w:id="16"/>
      <w:bookmarkEnd w:id="17"/>
      <w:bookmarkEnd w:id="18"/>
    </w:p>
    <w:p w:rsidR="00E90063" w:rsidRPr="00DA7D28" w:rsidRDefault="00BE7F2C" w:rsidP="000D59A1">
      <w:pPr>
        <w:pStyle w:val="Heading1"/>
      </w:pPr>
      <w:bookmarkStart w:id="20" w:name="_Toc474488795"/>
      <w:bookmarkStart w:id="21" w:name="_Toc3193662"/>
      <w:bookmarkStart w:id="22" w:name="_Toc4776697"/>
      <w:r w:rsidRPr="00DA7D28">
        <w:t>Funkcjonowanie instrumentu</w:t>
      </w:r>
      <w:bookmarkEnd w:id="20"/>
      <w:bookmarkEnd w:id="21"/>
      <w:bookmarkEnd w:id="22"/>
      <w:r w:rsidRPr="00DA7D28">
        <w:t xml:space="preserve"> </w:t>
      </w:r>
      <w:bookmarkEnd w:id="19"/>
    </w:p>
    <w:p w:rsidR="00E90063"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Omawiany instrument to mechanizm koordynacji, który umożliwia sprawne, skuteczne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wyd</w:t>
      </w:r>
      <w:r w:rsidRPr="00DA7D28">
        <w:rPr>
          <w:rFonts w:ascii="Times New Roman" w:hAnsi="Times New Roman"/>
          <w:sz w:val="24"/>
        </w:rPr>
        <w:t>ajne świadczenie pomocy UE na rzecz uchodźców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 Zapewnia on optymalne wykorzystanie istniejących unijnych instrumentów finansowych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for</w:t>
      </w:r>
      <w:r w:rsidRPr="00DA7D28">
        <w:rPr>
          <w:rFonts w:ascii="Times New Roman" w:hAnsi="Times New Roman"/>
          <w:sz w:val="24"/>
        </w:rPr>
        <w:t>mie pomocy humanitarnej albo rozwojowej</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cel</w:t>
      </w:r>
      <w:r w:rsidRPr="00DA7D28">
        <w:rPr>
          <w:rFonts w:ascii="Times New Roman" w:hAnsi="Times New Roman"/>
          <w:sz w:val="24"/>
        </w:rPr>
        <w:t>u zaspokojenia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kom</w:t>
      </w:r>
      <w:r w:rsidRPr="00DA7D28">
        <w:rPr>
          <w:rFonts w:ascii="Times New Roman" w:hAnsi="Times New Roman"/>
          <w:sz w:val="24"/>
        </w:rPr>
        <w:t>pleksowy</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sko</w:t>
      </w:r>
      <w:r w:rsidRPr="00DA7D28">
        <w:rPr>
          <w:rFonts w:ascii="Times New Roman" w:hAnsi="Times New Roman"/>
          <w:sz w:val="24"/>
        </w:rPr>
        <w:t>ordynowany sposób potrzeb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spo</w:t>
      </w:r>
      <w:r w:rsidRPr="00DA7D28">
        <w:rPr>
          <w:rFonts w:ascii="Times New Roman" w:hAnsi="Times New Roman"/>
          <w:sz w:val="24"/>
        </w:rPr>
        <w:t>łeczności przyjmujących</w:t>
      </w:r>
      <w:r w:rsidRPr="00DA7D28">
        <w:rPr>
          <w:rStyle w:val="FootnoteReference"/>
          <w:rFonts w:ascii="Times New Roman" w:hAnsi="Times New Roman"/>
          <w:sz w:val="24"/>
        </w:rPr>
        <w:footnoteReference w:id="14"/>
      </w:r>
      <w:r w:rsidRPr="00DA7D28">
        <w:rPr>
          <w:rFonts w:ascii="Times New Roman" w:hAnsi="Times New Roman"/>
          <w:sz w:val="24"/>
        </w:rPr>
        <w:t>.</w:t>
      </w:r>
    </w:p>
    <w:p w:rsidR="00E90063"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Komitet sterujący instrumentem przedstawia wytyczne strategiczne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spr</w:t>
      </w:r>
      <w:r w:rsidRPr="00DA7D28">
        <w:rPr>
          <w:rFonts w:ascii="Times New Roman" w:hAnsi="Times New Roman"/>
          <w:sz w:val="24"/>
        </w:rPr>
        <w:t>awie priorytetów, rodzajów wspieranych działań, przydzielanych kwot</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uru</w:t>
      </w:r>
      <w:r w:rsidRPr="00DA7D28">
        <w:rPr>
          <w:rFonts w:ascii="Times New Roman" w:hAnsi="Times New Roman"/>
          <w:sz w:val="24"/>
        </w:rPr>
        <w:t>chamianych instrumentów finansowania,</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tak</w:t>
      </w:r>
      <w:r w:rsidRPr="00DA7D28">
        <w:rPr>
          <w:rFonts w:ascii="Times New Roman" w:hAnsi="Times New Roman"/>
          <w:sz w:val="24"/>
        </w:rPr>
        <w:t>że,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sto</w:t>
      </w:r>
      <w:r w:rsidRPr="00DA7D28">
        <w:rPr>
          <w:rFonts w:ascii="Times New Roman" w:hAnsi="Times New Roman"/>
          <w:sz w:val="24"/>
        </w:rPr>
        <w:t>sownych przypadkach,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spr</w:t>
      </w:r>
      <w:r w:rsidRPr="00DA7D28">
        <w:rPr>
          <w:rFonts w:ascii="Times New Roman" w:hAnsi="Times New Roman"/>
          <w:sz w:val="24"/>
        </w:rPr>
        <w:t>awie warunków dotyczących wdrażania przez Turcję jej zobowiązań</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wspólnego planu działania UE–Turcja</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dni</w:t>
      </w:r>
      <w:r w:rsidRPr="00DA7D28">
        <w:rPr>
          <w:rFonts w:ascii="Times New Roman" w:hAnsi="Times New Roman"/>
          <w:sz w:val="24"/>
        </w:rPr>
        <w:t>a 29 listopada 2015</w:t>
      </w:r>
      <w:r w:rsidR="008E2A80" w:rsidRPr="00DA7D28">
        <w:rPr>
          <w:rFonts w:ascii="Times New Roman" w:hAnsi="Times New Roman"/>
          <w:sz w:val="24"/>
        </w:rPr>
        <w:t> </w:t>
      </w:r>
      <w:r w:rsidRPr="00DA7D28">
        <w:rPr>
          <w:rFonts w:ascii="Times New Roman" w:hAnsi="Times New Roman"/>
          <w:sz w:val="24"/>
        </w:rPr>
        <w:t>r.</w:t>
      </w:r>
      <w:r w:rsidRPr="00DA7D28">
        <w:rPr>
          <w:rStyle w:val="FootnoteReference"/>
          <w:rFonts w:ascii="Times New Roman" w:hAnsi="Times New Roman"/>
          <w:sz w:val="24"/>
        </w:rPr>
        <w:footnoteReference w:id="15"/>
      </w:r>
      <w:r w:rsidRPr="00DA7D28">
        <w:rPr>
          <w:rFonts w:ascii="Times New Roman" w:hAnsi="Times New Roman"/>
          <w:sz w:val="24"/>
        </w:rPr>
        <w:t xml:space="preserve"> (zwanego dalej „wspólnym planem działania”)</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tra</w:t>
      </w:r>
      <w:r w:rsidRPr="00DA7D28">
        <w:rPr>
          <w:rFonts w:ascii="Times New Roman" w:hAnsi="Times New Roman"/>
          <w:sz w:val="24"/>
        </w:rPr>
        <w:t>kcie 2018</w:t>
      </w:r>
      <w:r w:rsidR="008E2A80" w:rsidRPr="00DA7D28">
        <w:rPr>
          <w:rFonts w:ascii="Times New Roman" w:hAnsi="Times New Roman"/>
          <w:sz w:val="24"/>
        </w:rPr>
        <w:t> </w:t>
      </w:r>
      <w:r w:rsidRPr="00DA7D28">
        <w:rPr>
          <w:rFonts w:ascii="Times New Roman" w:hAnsi="Times New Roman"/>
          <w:sz w:val="24"/>
        </w:rPr>
        <w:t>r. – trzeciego roku wdrażania instrumentu – odbyły się trzy posiedzenia komitetu sterującego: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dni</w:t>
      </w:r>
      <w:r w:rsidRPr="00DA7D28">
        <w:rPr>
          <w:rFonts w:ascii="Times New Roman" w:hAnsi="Times New Roman"/>
          <w:sz w:val="24"/>
        </w:rPr>
        <w:t>ach 9 marca, 18 czerwca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3</w:t>
      </w:r>
      <w:r w:rsidRPr="00DA7D28">
        <w:rPr>
          <w:rFonts w:ascii="Times New Roman" w:hAnsi="Times New Roman"/>
          <w:sz w:val="24"/>
        </w:rPr>
        <w:t>0 listopada 2018 r. Kolejne (12.) posiedzenie komitetu sterującego planowane jest na maj</w:t>
      </w:r>
      <w:r w:rsidR="008E2A80" w:rsidRPr="00DA7D28">
        <w:rPr>
          <w:rFonts w:ascii="Times New Roman" w:hAnsi="Times New Roman"/>
          <w:sz w:val="24"/>
        </w:rPr>
        <w:t> </w:t>
      </w:r>
      <w:r w:rsidRPr="00DA7D28">
        <w:rPr>
          <w:rFonts w:ascii="Times New Roman" w:hAnsi="Times New Roman"/>
          <w:sz w:val="24"/>
        </w:rPr>
        <w:t>2019</w:t>
      </w:r>
      <w:r w:rsidR="008E2A80" w:rsidRPr="00DA7D28">
        <w:rPr>
          <w:rFonts w:ascii="Times New Roman" w:hAnsi="Times New Roman"/>
          <w:sz w:val="24"/>
        </w:rPr>
        <w:t> </w:t>
      </w:r>
      <w:r w:rsidRPr="00DA7D28">
        <w:rPr>
          <w:rFonts w:ascii="Times New Roman" w:hAnsi="Times New Roman"/>
          <w:sz w:val="24"/>
        </w:rPr>
        <w:t>r.</w:t>
      </w:r>
    </w:p>
    <w:p w:rsidR="00E90063"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Główne zasady leżące</w:t>
      </w:r>
      <w:r w:rsidR="00DA7D28" w:rsidRPr="00DA7D28">
        <w:rPr>
          <w:rFonts w:ascii="Times New Roman" w:hAnsi="Times New Roman"/>
          <w:sz w:val="24"/>
        </w:rPr>
        <w:t xml:space="preserve"> u</w:t>
      </w:r>
      <w:r w:rsidR="00DA7D28">
        <w:rPr>
          <w:rFonts w:ascii="Times New Roman" w:hAnsi="Times New Roman"/>
          <w:sz w:val="24"/>
        </w:rPr>
        <w:t> </w:t>
      </w:r>
      <w:r w:rsidR="00DA7D28" w:rsidRPr="00DA7D28">
        <w:rPr>
          <w:rFonts w:ascii="Times New Roman" w:hAnsi="Times New Roman"/>
          <w:sz w:val="24"/>
        </w:rPr>
        <w:t>pod</w:t>
      </w:r>
      <w:r w:rsidRPr="00DA7D28">
        <w:rPr>
          <w:rFonts w:ascii="Times New Roman" w:hAnsi="Times New Roman"/>
          <w:sz w:val="24"/>
        </w:rPr>
        <w:t>staw wdrażania instrumentu to szybkość, wydajność</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sku</w:t>
      </w:r>
      <w:r w:rsidRPr="00DA7D28">
        <w:rPr>
          <w:rFonts w:ascii="Times New Roman" w:hAnsi="Times New Roman"/>
          <w:sz w:val="24"/>
        </w:rPr>
        <w:t>teczność przy jednoczesnym zapewnieniu należytego zarządzania finansami. Istotne znaczenie mają również stabilność interwencji podejmowanych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wsp</w:t>
      </w:r>
      <w:r w:rsidRPr="00DA7D28">
        <w:rPr>
          <w:rFonts w:ascii="Times New Roman" w:hAnsi="Times New Roman"/>
          <w:sz w:val="24"/>
        </w:rPr>
        <w:t>ółodpowiedzialność władz tureckich. Priorytetowe obszary wsparcia określa się</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opa</w:t>
      </w:r>
      <w:r w:rsidRPr="00DA7D28">
        <w:rPr>
          <w:rFonts w:ascii="Times New Roman" w:hAnsi="Times New Roman"/>
          <w:sz w:val="24"/>
        </w:rPr>
        <w:t>rciu</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kom</w:t>
      </w:r>
      <w:r w:rsidRPr="00DA7D28">
        <w:rPr>
          <w:rFonts w:ascii="Times New Roman" w:hAnsi="Times New Roman"/>
          <w:sz w:val="24"/>
        </w:rPr>
        <w:t>pleksową</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nie</w:t>
      </w:r>
      <w:r w:rsidRPr="00DA7D28">
        <w:rPr>
          <w:rFonts w:ascii="Times New Roman" w:hAnsi="Times New Roman"/>
          <w:sz w:val="24"/>
        </w:rPr>
        <w:t>zależną ocenę potrzeb</w:t>
      </w:r>
      <w:r w:rsidRPr="00DA7D28">
        <w:rPr>
          <w:rStyle w:val="FootnoteReference"/>
          <w:rFonts w:ascii="Times New Roman" w:hAnsi="Times New Roman"/>
          <w:sz w:val="24"/>
        </w:rPr>
        <w:footnoteReference w:id="16"/>
      </w:r>
      <w:r w:rsidRPr="00DA7D28">
        <w:rPr>
          <w:rFonts w:ascii="Times New Roman" w:hAnsi="Times New Roman"/>
          <w:sz w:val="24"/>
        </w:rPr>
        <w:t>, ze szczególnym uwzględnieniem grup szczególnie wrażliwych. Ocenę tę zaktualizowano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018</w:t>
      </w:r>
      <w:r w:rsidR="008E2A80" w:rsidRPr="00DA7D28">
        <w:rPr>
          <w:rFonts w:ascii="Times New Roman" w:hAnsi="Times New Roman"/>
          <w:sz w:val="24"/>
        </w:rPr>
        <w:t> </w:t>
      </w:r>
      <w:r w:rsidRPr="00DA7D28">
        <w:rPr>
          <w:rFonts w:ascii="Times New Roman" w:hAnsi="Times New Roman"/>
          <w:sz w:val="24"/>
        </w:rPr>
        <w:t>r.</w:t>
      </w:r>
      <w:r w:rsidRPr="00DA7D28">
        <w:rPr>
          <w:rStyle w:val="FootnoteReference"/>
          <w:rFonts w:ascii="Times New Roman" w:hAnsi="Times New Roman"/>
        </w:rPr>
        <w:footnoteReference w:id="17"/>
      </w:r>
      <w:r w:rsidRPr="00DA7D28">
        <w:rPr>
          <w:rFonts w:ascii="Times New Roman" w:hAnsi="Times New Roman"/>
          <w:sz w:val="24"/>
        </w:rPr>
        <w:t>.</w:t>
      </w:r>
    </w:p>
    <w:p w:rsidR="008D3D82" w:rsidRPr="00DA7D28" w:rsidRDefault="00701F10">
      <w:pPr>
        <w:spacing w:after="120"/>
        <w:jc w:val="both"/>
        <w:rPr>
          <w:rFonts w:ascii="Times New Roman" w:eastAsia="Times New Roman" w:hAnsi="Times New Roman"/>
          <w:sz w:val="24"/>
          <w:szCs w:val="24"/>
        </w:rPr>
      </w:pPr>
      <w:r w:rsidRPr="00DA7D28">
        <w:rPr>
          <w:rFonts w:ascii="Times New Roman" w:hAnsi="Times New Roman"/>
          <w:sz w:val="24"/>
        </w:rPr>
        <w:t>W ramach instrumentu koordynuje się środki finansowe pochodzące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nas</w:t>
      </w:r>
      <w:r w:rsidRPr="00DA7D28">
        <w:rPr>
          <w:rFonts w:ascii="Times New Roman" w:hAnsi="Times New Roman"/>
          <w:sz w:val="24"/>
        </w:rPr>
        <w:t>tępujących instrumentów finansowania zewnętrznego: pomoc humanitarna</w:t>
      </w:r>
      <w:r w:rsidRPr="00DA7D28">
        <w:rPr>
          <w:rStyle w:val="FootnoteReference"/>
          <w:rFonts w:ascii="Times New Roman" w:hAnsi="Times New Roman"/>
          <w:sz w:val="24"/>
        </w:rPr>
        <w:footnoteReference w:id="18"/>
      </w:r>
      <w:r w:rsidRPr="00DA7D28">
        <w:rPr>
          <w:rFonts w:ascii="Times New Roman" w:hAnsi="Times New Roman"/>
          <w:sz w:val="24"/>
        </w:rPr>
        <w:t>, Europejski Instrument Sąsiedztwa</w:t>
      </w:r>
      <w:r w:rsidRPr="00DA7D28">
        <w:rPr>
          <w:rStyle w:val="FootnoteReference"/>
          <w:rFonts w:ascii="Times New Roman" w:hAnsi="Times New Roman"/>
          <w:sz w:val="24"/>
        </w:rPr>
        <w:footnoteReference w:id="19"/>
      </w:r>
      <w:r w:rsidRPr="00DA7D28">
        <w:rPr>
          <w:rFonts w:ascii="Times New Roman" w:hAnsi="Times New Roman"/>
          <w:sz w:val="24"/>
        </w:rPr>
        <w:t>, Instrument Finansowania Współpracy na rzecz Rozwoju</w:t>
      </w:r>
      <w:r w:rsidRPr="00DA7D28">
        <w:rPr>
          <w:rStyle w:val="FootnoteReference"/>
          <w:rFonts w:ascii="Times New Roman" w:hAnsi="Times New Roman"/>
          <w:sz w:val="24"/>
        </w:rPr>
        <w:footnoteReference w:id="20"/>
      </w:r>
      <w:r w:rsidRPr="00DA7D28">
        <w:rPr>
          <w:rFonts w:ascii="Times New Roman" w:hAnsi="Times New Roman"/>
          <w:sz w:val="24"/>
        </w:rPr>
        <w:t>, Instrument Pomocy Przedakcesyjnej</w:t>
      </w:r>
      <w:r w:rsidRPr="00DA7D28">
        <w:rPr>
          <w:rStyle w:val="FootnoteReference"/>
          <w:rFonts w:ascii="Times New Roman" w:hAnsi="Times New Roman"/>
          <w:sz w:val="24"/>
        </w:rPr>
        <w:footnoteReference w:id="21"/>
      </w:r>
      <w:r w:rsidRPr="00DA7D28">
        <w:rPr>
          <w:rFonts w:ascii="Times New Roman" w:hAnsi="Times New Roman"/>
          <w:sz w:val="24"/>
        </w:rPr>
        <w:t xml:space="preserve"> oraz Instrument na rzecz Przyczyniania się do Stabilności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Pok</w:t>
      </w:r>
      <w:r w:rsidRPr="00DA7D28">
        <w:rPr>
          <w:rFonts w:ascii="Times New Roman" w:hAnsi="Times New Roman"/>
          <w:sz w:val="24"/>
        </w:rPr>
        <w:t>oju</w:t>
      </w:r>
      <w:r w:rsidRPr="00DA7D28">
        <w:rPr>
          <w:rStyle w:val="FootnoteReference"/>
          <w:rFonts w:ascii="Times New Roman" w:hAnsi="Times New Roman"/>
          <w:sz w:val="24"/>
        </w:rPr>
        <w:footnoteReference w:id="22"/>
      </w:r>
      <w:r w:rsidRPr="00DA7D28">
        <w:rPr>
          <w:rFonts w:ascii="Times New Roman" w:hAnsi="Times New Roman"/>
          <w:sz w:val="24"/>
        </w:rPr>
        <w:t>. Środki finansowane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bud</w:t>
      </w:r>
      <w:r w:rsidRPr="00DA7D28">
        <w:rPr>
          <w:rFonts w:ascii="Times New Roman" w:hAnsi="Times New Roman"/>
          <w:sz w:val="24"/>
        </w:rPr>
        <w:t>żetu Unii wdrażane są zgodnie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maj</w:t>
      </w:r>
      <w:r w:rsidRPr="00DA7D28">
        <w:rPr>
          <w:rFonts w:ascii="Times New Roman" w:hAnsi="Times New Roman"/>
          <w:sz w:val="24"/>
        </w:rPr>
        <w:t>ącymi do niego zastosowanie zasadami finansowymi oraz uregulowaniami dotyczącymi zarówno zarządzania bezpośredniego, jak</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poś</w:t>
      </w:r>
      <w:r w:rsidRPr="00DA7D28">
        <w:rPr>
          <w:rFonts w:ascii="Times New Roman" w:hAnsi="Times New Roman"/>
          <w:sz w:val="24"/>
        </w:rPr>
        <w:t xml:space="preserve">redniego. </w:t>
      </w:r>
    </w:p>
    <w:p w:rsidR="00E90063" w:rsidRPr="00DA7D28" w:rsidRDefault="008D3D82" w:rsidP="00006781">
      <w:pPr>
        <w:keepNext/>
        <w:spacing w:after="120"/>
        <w:jc w:val="both"/>
        <w:rPr>
          <w:rFonts w:ascii="Times New Roman" w:eastAsia="Times New Roman" w:hAnsi="Times New Roman"/>
          <w:sz w:val="24"/>
          <w:szCs w:val="24"/>
        </w:rPr>
      </w:pPr>
      <w:r w:rsidRPr="00DA7D28">
        <w:rPr>
          <w:rFonts w:ascii="Times New Roman" w:hAnsi="Times New Roman"/>
          <w:sz w:val="24"/>
        </w:rPr>
        <w:t>W ramach pierwszej transzy podział środków finansowych na poszczególne instrumenty UE</w:t>
      </w:r>
      <w:r w:rsidRPr="00DA7D28">
        <w:rPr>
          <w:rStyle w:val="FootnoteReference"/>
          <w:rFonts w:ascii="Times New Roman" w:hAnsi="Times New Roman"/>
        </w:rPr>
        <w:footnoteReference w:id="23"/>
      </w:r>
      <w:r w:rsidRPr="00DA7D28">
        <w:rPr>
          <w:rFonts w:ascii="Times New Roman" w:hAnsi="Times New Roman"/>
          <w:sz w:val="24"/>
        </w:rPr>
        <w:t xml:space="preserve"> przedstawia się następująco: </w:t>
      </w:r>
    </w:p>
    <w:p w:rsidR="00B12A15" w:rsidRPr="00DA7D28" w:rsidRDefault="00006781" w:rsidP="00DB1079">
      <w:pPr>
        <w:spacing w:after="120"/>
        <w:jc w:val="center"/>
        <w:rPr>
          <w:rFonts w:ascii="Times New Roman" w:eastAsia="Times New Roman" w:hAnsi="Times New Roman"/>
          <w:sz w:val="24"/>
          <w:szCs w:val="24"/>
        </w:rPr>
      </w:pPr>
      <w:r w:rsidRPr="00DA7D28">
        <w:rPr>
          <w:noProof/>
          <w:lang w:val="en-GB" w:eastAsia="en-GB" w:bidi="ar-SA"/>
        </w:rPr>
        <w:drawing>
          <wp:inline distT="0" distB="0" distL="0" distR="0" wp14:anchorId="4D41AC8B" wp14:editId="6B851C19">
            <wp:extent cx="4619625" cy="1981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0063"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Wrażanie środków pomocy jest uzależnione od ścisłego przestrzegania przez Turcję zobowiązań określonych we wspólnym planie działania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w:t>
      </w:r>
      <w:r w:rsidR="00DA7D28">
        <w:rPr>
          <w:rFonts w:ascii="Times New Roman" w:hAnsi="Times New Roman"/>
          <w:sz w:val="24"/>
        </w:rPr>
        <w:t> </w:t>
      </w:r>
      <w:r w:rsidR="00DA7D28" w:rsidRPr="00DA7D28">
        <w:rPr>
          <w:rFonts w:ascii="Times New Roman" w:hAnsi="Times New Roman"/>
          <w:sz w:val="24"/>
        </w:rPr>
        <w:t>ośw</w:t>
      </w:r>
      <w:r w:rsidRPr="00DA7D28">
        <w:rPr>
          <w:rFonts w:ascii="Times New Roman" w:hAnsi="Times New Roman"/>
          <w:sz w:val="24"/>
        </w:rPr>
        <w:t>iadczeniu.</w:t>
      </w:r>
    </w:p>
    <w:p w:rsidR="00E90063" w:rsidRPr="00DA7D28" w:rsidRDefault="00BE7F2C">
      <w:pPr>
        <w:pStyle w:val="Heading1"/>
        <w:jc w:val="both"/>
        <w:rPr>
          <w:rFonts w:eastAsia="Times New Roman"/>
          <w:szCs w:val="24"/>
        </w:rPr>
      </w:pPr>
      <w:bookmarkStart w:id="23" w:name="_Toc474488796"/>
      <w:bookmarkStart w:id="24" w:name="_Toc3193663"/>
      <w:bookmarkStart w:id="25" w:name="_Toc4776698"/>
      <w:bookmarkStart w:id="26" w:name="_Toc473205694"/>
      <w:r w:rsidRPr="00DA7D28">
        <w:t>Zdolności finansowe, czas realizacji</w:t>
      </w:r>
      <w:r w:rsidR="00DA7D28" w:rsidRPr="00DA7D28">
        <w:t xml:space="preserve"> i</w:t>
      </w:r>
      <w:r w:rsidR="00DA7D28">
        <w:t> </w:t>
      </w:r>
      <w:r w:rsidR="00DA7D28" w:rsidRPr="00DA7D28">
        <w:t>cha</w:t>
      </w:r>
      <w:r w:rsidRPr="00DA7D28">
        <w:t>rakter finansowania</w:t>
      </w:r>
      <w:bookmarkEnd w:id="23"/>
      <w:bookmarkEnd w:id="24"/>
      <w:bookmarkEnd w:id="25"/>
      <w:r w:rsidRPr="00DA7D28">
        <w:t xml:space="preserve"> </w:t>
      </w:r>
    </w:p>
    <w:p w:rsidR="00EE0D8B" w:rsidRPr="00DA7D28" w:rsidRDefault="00BE7F2C" w:rsidP="00EE0D8B">
      <w:pPr>
        <w:spacing w:after="120"/>
        <w:jc w:val="both"/>
        <w:rPr>
          <w:rFonts w:ascii="Times New Roman" w:eastAsia="Times New Roman" w:hAnsi="Times New Roman"/>
          <w:sz w:val="24"/>
          <w:szCs w:val="24"/>
        </w:rPr>
      </w:pPr>
      <w:r w:rsidRPr="00DA7D28">
        <w:rPr>
          <w:rFonts w:ascii="Times New Roman" w:hAnsi="Times New Roman"/>
          <w:sz w:val="24"/>
        </w:rPr>
        <w:t>Instrument obejmuje łączny budżet</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kwo</w:t>
      </w:r>
      <w:r w:rsidRPr="00DA7D28">
        <w:rPr>
          <w:rFonts w:ascii="Times New Roman" w:hAnsi="Times New Roman"/>
          <w:sz w:val="24"/>
        </w:rPr>
        <w:t>cie 6 mld EUR (3 mld EUR</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lat</w:t>
      </w:r>
      <w:r w:rsidRPr="00DA7D28">
        <w:rPr>
          <w:rFonts w:ascii="Times New Roman" w:hAnsi="Times New Roman"/>
          <w:sz w:val="24"/>
        </w:rPr>
        <w:t>ach 2016–2017</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3</w:t>
      </w:r>
      <w:r w:rsidRPr="00DA7D28">
        <w:rPr>
          <w:rFonts w:ascii="Times New Roman" w:hAnsi="Times New Roman"/>
          <w:sz w:val="24"/>
        </w:rPr>
        <w:t xml:space="preserve"> mld EUR</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lat</w:t>
      </w:r>
      <w:r w:rsidRPr="00DA7D28">
        <w:rPr>
          <w:rFonts w:ascii="Times New Roman" w:hAnsi="Times New Roman"/>
          <w:sz w:val="24"/>
        </w:rPr>
        <w:t>ach 2018–2019)</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pierwszej transzy wyasygnowano 1 mld EUR</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bud</w:t>
      </w:r>
      <w:r w:rsidRPr="00DA7D28">
        <w:rPr>
          <w:rFonts w:ascii="Times New Roman" w:hAnsi="Times New Roman"/>
          <w:sz w:val="24"/>
        </w:rPr>
        <w:t>żetu UE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 mld EUR środków pochodzących od państw członkowskich</w:t>
      </w:r>
      <w:r w:rsidRPr="00DA7D28">
        <w:rPr>
          <w:rStyle w:val="FootnoteReference"/>
          <w:rFonts w:ascii="Times New Roman" w:hAnsi="Times New Roman"/>
          <w:sz w:val="24"/>
        </w:rPr>
        <w:footnoteReference w:id="24"/>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prz</w:t>
      </w:r>
      <w:r w:rsidRPr="00DA7D28">
        <w:rPr>
          <w:rFonts w:ascii="Times New Roman" w:hAnsi="Times New Roman"/>
          <w:sz w:val="24"/>
        </w:rPr>
        <w:t>ypadku drugiej transzy budżet UE zapewnia 2 mld EUR,</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pań</w:t>
      </w:r>
      <w:r w:rsidRPr="00DA7D28">
        <w:rPr>
          <w:rFonts w:ascii="Times New Roman" w:hAnsi="Times New Roman"/>
          <w:sz w:val="24"/>
        </w:rPr>
        <w:t>stwa członkowskie – 1 mld EUR</w:t>
      </w:r>
      <w:r w:rsidRPr="00DA7D28">
        <w:rPr>
          <w:rStyle w:val="FootnoteReference"/>
          <w:rFonts w:ascii="Times New Roman" w:hAnsi="Times New Roman"/>
        </w:rPr>
        <w:footnoteReference w:id="25"/>
      </w:r>
      <w:r w:rsidRPr="00DA7D28">
        <w:rPr>
          <w:rFonts w:ascii="Times New Roman" w:hAnsi="Times New Roman"/>
          <w:sz w:val="24"/>
        </w:rPr>
        <w:t xml:space="preserve">. </w:t>
      </w:r>
    </w:p>
    <w:p w:rsidR="00E570FD" w:rsidRPr="00DA7D28" w:rsidRDefault="00714114" w:rsidP="00A36B13">
      <w:pPr>
        <w:spacing w:after="120"/>
        <w:jc w:val="both"/>
        <w:rPr>
          <w:rFonts w:ascii="Times New Roman" w:eastAsia="Times New Roman" w:hAnsi="Times New Roman"/>
          <w:sz w:val="24"/>
          <w:szCs w:val="24"/>
        </w:rPr>
      </w:pPr>
      <w:r w:rsidRPr="00DA7D28">
        <w:rPr>
          <w:rFonts w:ascii="Times New Roman" w:hAnsi="Times New Roman"/>
          <w:sz w:val="24"/>
        </w:rPr>
        <w:t>Z przeznaczonej na lata 2016–2017</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poc</w:t>
      </w:r>
      <w:r w:rsidRPr="00DA7D28">
        <w:rPr>
          <w:rFonts w:ascii="Times New Roman" w:hAnsi="Times New Roman"/>
          <w:sz w:val="24"/>
        </w:rPr>
        <w:t>hodzącej</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bud</w:t>
      </w:r>
      <w:r w:rsidRPr="00DA7D28">
        <w:rPr>
          <w:rFonts w:ascii="Times New Roman" w:hAnsi="Times New Roman"/>
          <w:sz w:val="24"/>
        </w:rPr>
        <w:t>żetu UE kwoty 1 mld EUR</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016</w:t>
      </w:r>
      <w:r w:rsidR="008E2A80" w:rsidRPr="00DA7D28">
        <w:rPr>
          <w:rFonts w:ascii="Times New Roman" w:hAnsi="Times New Roman"/>
          <w:sz w:val="24"/>
        </w:rPr>
        <w:t> </w:t>
      </w:r>
      <w:r w:rsidRPr="00DA7D28">
        <w:rPr>
          <w:rFonts w:ascii="Times New Roman" w:hAnsi="Times New Roman"/>
          <w:sz w:val="24"/>
        </w:rPr>
        <w:t>r. uruchomiono środki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wys</w:t>
      </w:r>
      <w:r w:rsidRPr="00DA7D28">
        <w:rPr>
          <w:rFonts w:ascii="Times New Roman" w:hAnsi="Times New Roman"/>
          <w:sz w:val="24"/>
        </w:rPr>
        <w:t>okości 250 mln EUR, 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017 r. – środki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wys</w:t>
      </w:r>
      <w:r w:rsidRPr="00DA7D28">
        <w:rPr>
          <w:rFonts w:ascii="Times New Roman" w:hAnsi="Times New Roman"/>
          <w:sz w:val="24"/>
        </w:rPr>
        <w:t>okości 750 mln EUR</w:t>
      </w:r>
      <w:r w:rsidR="00DA7D28" w:rsidRPr="00DA7D28">
        <w:rPr>
          <w:rFonts w:ascii="Times New Roman" w:hAnsi="Times New Roman"/>
          <w:sz w:val="24"/>
        </w:rPr>
        <w:t>. Z</w:t>
      </w:r>
      <w:r w:rsidR="00DA7D28">
        <w:rPr>
          <w:rFonts w:ascii="Times New Roman" w:hAnsi="Times New Roman"/>
          <w:sz w:val="24"/>
        </w:rPr>
        <w:t> </w:t>
      </w:r>
      <w:r w:rsidR="00DA7D28" w:rsidRPr="00DA7D28">
        <w:rPr>
          <w:rFonts w:ascii="Times New Roman" w:hAnsi="Times New Roman"/>
          <w:sz w:val="24"/>
        </w:rPr>
        <w:t>prz</w:t>
      </w:r>
      <w:r w:rsidRPr="00DA7D28">
        <w:rPr>
          <w:rFonts w:ascii="Times New Roman" w:hAnsi="Times New Roman"/>
          <w:sz w:val="24"/>
        </w:rPr>
        <w:t>eznaczonej na</w:t>
      </w:r>
      <w:r w:rsidR="008E2A80" w:rsidRPr="00DA7D28">
        <w:rPr>
          <w:rFonts w:ascii="Times New Roman" w:hAnsi="Times New Roman"/>
          <w:sz w:val="24"/>
        </w:rPr>
        <w:t> </w:t>
      </w:r>
      <w:r w:rsidRPr="00DA7D28">
        <w:rPr>
          <w:rFonts w:ascii="Times New Roman" w:hAnsi="Times New Roman"/>
          <w:sz w:val="24"/>
        </w:rPr>
        <w:t>2018</w:t>
      </w:r>
      <w:r w:rsidR="008E2A80" w:rsidRPr="00DA7D28">
        <w:rPr>
          <w:rFonts w:ascii="Times New Roman" w:hAnsi="Times New Roman"/>
          <w:sz w:val="24"/>
        </w:rPr>
        <w:t> </w:t>
      </w:r>
      <w:r w:rsidRPr="00DA7D28">
        <w:rPr>
          <w:rFonts w:ascii="Times New Roman" w:hAnsi="Times New Roman"/>
          <w:sz w:val="24"/>
        </w:rPr>
        <w:t>r.</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poc</w:t>
      </w:r>
      <w:r w:rsidRPr="00DA7D28">
        <w:rPr>
          <w:rFonts w:ascii="Times New Roman" w:hAnsi="Times New Roman"/>
          <w:sz w:val="24"/>
        </w:rPr>
        <w:t>hodzącej</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bud</w:t>
      </w:r>
      <w:r w:rsidRPr="00DA7D28">
        <w:rPr>
          <w:rFonts w:ascii="Times New Roman" w:hAnsi="Times New Roman"/>
          <w:sz w:val="24"/>
        </w:rPr>
        <w:t>żetu UE kwoty 2 mld EUR</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018</w:t>
      </w:r>
      <w:r w:rsidR="008E2A80" w:rsidRPr="00DA7D28">
        <w:rPr>
          <w:rFonts w:ascii="Times New Roman" w:hAnsi="Times New Roman"/>
          <w:sz w:val="24"/>
        </w:rPr>
        <w:t> </w:t>
      </w:r>
      <w:r w:rsidRPr="00DA7D28">
        <w:rPr>
          <w:rFonts w:ascii="Times New Roman" w:hAnsi="Times New Roman"/>
          <w:sz w:val="24"/>
        </w:rPr>
        <w:t>r. uruchomiono środki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wys</w:t>
      </w:r>
      <w:r w:rsidRPr="00DA7D28">
        <w:rPr>
          <w:rFonts w:ascii="Times New Roman" w:hAnsi="Times New Roman"/>
          <w:sz w:val="24"/>
        </w:rPr>
        <w:t>okości 550 mln EUR. Pozostała kwota zostanie uruchomiona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019</w:t>
      </w:r>
      <w:r w:rsidR="008E2A80" w:rsidRPr="00DA7D28">
        <w:rPr>
          <w:rFonts w:ascii="Times New Roman" w:hAnsi="Times New Roman"/>
          <w:sz w:val="24"/>
        </w:rPr>
        <w:t> </w:t>
      </w:r>
      <w:r w:rsidRPr="00DA7D28">
        <w:rPr>
          <w:rFonts w:ascii="Times New Roman" w:hAnsi="Times New Roman"/>
          <w:sz w:val="24"/>
        </w:rPr>
        <w:t>r.</w:t>
      </w:r>
    </w:p>
    <w:p w:rsidR="00E90063" w:rsidRPr="00DA7D28" w:rsidRDefault="00B00F69" w:rsidP="00A36B13">
      <w:pPr>
        <w:spacing w:after="120"/>
        <w:jc w:val="both"/>
        <w:rPr>
          <w:rFonts w:ascii="Times New Roman" w:eastAsia="Times New Roman" w:hAnsi="Times New Roman"/>
          <w:sz w:val="24"/>
          <w:szCs w:val="24"/>
        </w:rPr>
      </w:pPr>
      <w:r w:rsidRPr="00DA7D28">
        <w:rPr>
          <w:rFonts w:ascii="Times New Roman" w:hAnsi="Times New Roman"/>
          <w:sz w:val="24"/>
        </w:rPr>
        <w:t>W ramach pierwszej transzy państwa członkowskie przekazały na potrzeby instrumentu: 677 mln EUR</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016</w:t>
      </w:r>
      <w:r w:rsidR="008E2A80" w:rsidRPr="00DA7D28">
        <w:rPr>
          <w:rFonts w:ascii="Times New Roman" w:hAnsi="Times New Roman"/>
          <w:sz w:val="24"/>
        </w:rPr>
        <w:t> </w:t>
      </w:r>
      <w:r w:rsidRPr="00DA7D28">
        <w:rPr>
          <w:rFonts w:ascii="Times New Roman" w:hAnsi="Times New Roman"/>
          <w:sz w:val="24"/>
        </w:rPr>
        <w:t>r., 847 mln EUR</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017</w:t>
      </w:r>
      <w:r w:rsidR="008E2A80" w:rsidRPr="00DA7D28">
        <w:rPr>
          <w:rFonts w:ascii="Times New Roman" w:hAnsi="Times New Roman"/>
          <w:sz w:val="24"/>
        </w:rPr>
        <w:t> </w:t>
      </w:r>
      <w:r w:rsidRPr="00DA7D28">
        <w:rPr>
          <w:rFonts w:ascii="Times New Roman" w:hAnsi="Times New Roman"/>
          <w:sz w:val="24"/>
        </w:rPr>
        <w:t>r.</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3</w:t>
      </w:r>
      <w:r w:rsidRPr="00DA7D28">
        <w:rPr>
          <w:rFonts w:ascii="Times New Roman" w:hAnsi="Times New Roman"/>
          <w:sz w:val="24"/>
        </w:rPr>
        <w:t>96 mln EUR</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018</w:t>
      </w:r>
      <w:r w:rsidR="008E2A80" w:rsidRPr="00DA7D28">
        <w:rPr>
          <w:rFonts w:ascii="Times New Roman" w:hAnsi="Times New Roman"/>
          <w:sz w:val="24"/>
        </w:rPr>
        <w:t> </w:t>
      </w:r>
      <w:r w:rsidRPr="00DA7D28">
        <w:rPr>
          <w:rFonts w:ascii="Times New Roman" w:hAnsi="Times New Roman"/>
          <w:sz w:val="24"/>
        </w:rPr>
        <w:t>r. Pozostała kwota 80 mln EUR zostanie wpłacona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019</w:t>
      </w:r>
      <w:r w:rsidR="008E2A80" w:rsidRPr="00DA7D28">
        <w:rPr>
          <w:rFonts w:ascii="Times New Roman" w:hAnsi="Times New Roman"/>
          <w:sz w:val="24"/>
        </w:rPr>
        <w:t> </w:t>
      </w:r>
      <w:r w:rsidRPr="00DA7D28">
        <w:rPr>
          <w:rFonts w:ascii="Times New Roman" w:hAnsi="Times New Roman"/>
          <w:sz w:val="24"/>
        </w:rPr>
        <w:t>r</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drugiej transzy państwa członkowskie przekazały 68 mln EUR</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018</w:t>
      </w:r>
      <w:r w:rsidR="008E2A80" w:rsidRPr="00DA7D28">
        <w:rPr>
          <w:rFonts w:ascii="Times New Roman" w:hAnsi="Times New Roman"/>
          <w:sz w:val="24"/>
        </w:rPr>
        <w:t> </w:t>
      </w:r>
      <w:r w:rsidRPr="00DA7D28">
        <w:rPr>
          <w:rFonts w:ascii="Times New Roman" w:hAnsi="Times New Roman"/>
          <w:sz w:val="24"/>
        </w:rPr>
        <w:t>r. Pozostałe kwoty przekażą</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lat</w:t>
      </w:r>
      <w:r w:rsidRPr="00DA7D28">
        <w:rPr>
          <w:rFonts w:ascii="Times New Roman" w:hAnsi="Times New Roman"/>
          <w:sz w:val="24"/>
        </w:rPr>
        <w:t>ach 2019–2023. Wkłady państw członkowskich przekazywane są bezpośrednio do budżetu ogólnego UE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for</w:t>
      </w:r>
      <w:r w:rsidRPr="00DA7D28">
        <w:rPr>
          <w:rFonts w:ascii="Times New Roman" w:hAnsi="Times New Roman"/>
          <w:sz w:val="24"/>
        </w:rPr>
        <w:t>mie zewnętrznych dochodów przeznaczonych na określony cel na podstawie art. 21 ust. 2 lit. a) ppkt (ii) rozporządzenia finansowego</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nas</w:t>
      </w:r>
      <w:r w:rsidRPr="00DA7D28">
        <w:rPr>
          <w:rFonts w:ascii="Times New Roman" w:hAnsi="Times New Roman"/>
          <w:sz w:val="24"/>
        </w:rPr>
        <w:t>tępnie przypisywane odpowiednio do linii budżetowych przeznaczonych na Instrument Pomocy Przedakcesyjnej</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pom</w:t>
      </w:r>
      <w:r w:rsidRPr="00DA7D28">
        <w:rPr>
          <w:rFonts w:ascii="Times New Roman" w:hAnsi="Times New Roman"/>
          <w:sz w:val="24"/>
        </w:rPr>
        <w:t>oc humanitarną.</w:t>
      </w:r>
    </w:p>
    <w:p w:rsidR="00017684" w:rsidRPr="00DA7D28" w:rsidRDefault="00910F8C" w:rsidP="00D67579">
      <w:pPr>
        <w:spacing w:after="120"/>
        <w:jc w:val="both"/>
        <w:rPr>
          <w:rFonts w:ascii="Times New Roman" w:eastAsia="Times New Roman" w:hAnsi="Times New Roman"/>
          <w:sz w:val="24"/>
          <w:szCs w:val="24"/>
        </w:rPr>
      </w:pPr>
      <w:r w:rsidRPr="00DA7D28">
        <w:rPr>
          <w:rFonts w:ascii="Times New Roman" w:hAnsi="Times New Roman"/>
          <w:sz w:val="24"/>
        </w:rPr>
        <w:t xml:space="preserve">Nadal utrzymuje się odpowiednia równowaga pomiędzy tempem wpłat dokonywanych przez państwa członkowskie </w:t>
      </w:r>
      <w:r w:rsidRPr="00DA7D28">
        <w:rPr>
          <w:rFonts w:ascii="Times New Roman" w:hAnsi="Times New Roman"/>
          <w:i/>
          <w:sz w:val="24"/>
        </w:rPr>
        <w:t>na rzecz</w:t>
      </w:r>
      <w:r w:rsidRPr="00DA7D28">
        <w:rPr>
          <w:rFonts w:ascii="Times New Roman" w:hAnsi="Times New Roman"/>
          <w:sz w:val="24"/>
        </w:rPr>
        <w:t xml:space="preserve"> instrumentu</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tem</w:t>
      </w:r>
      <w:r w:rsidRPr="00DA7D28">
        <w:rPr>
          <w:rFonts w:ascii="Times New Roman" w:hAnsi="Times New Roman"/>
          <w:sz w:val="24"/>
        </w:rPr>
        <w:t>pem pokrywanych</w:t>
      </w:r>
      <w:r w:rsidR="00DA7D28" w:rsidRPr="00DA7D28">
        <w:rPr>
          <w:rFonts w:ascii="Times New Roman" w:hAnsi="Times New Roman"/>
          <w:sz w:val="24"/>
        </w:rPr>
        <w:t xml:space="preserve"> </w:t>
      </w:r>
      <w:r w:rsidR="00DA7D28" w:rsidRPr="00DA7D28">
        <w:rPr>
          <w:rFonts w:ascii="Times New Roman" w:hAnsi="Times New Roman"/>
          <w:i/>
          <w:sz w:val="24"/>
        </w:rPr>
        <w:t>z</w:t>
      </w:r>
      <w:r w:rsidR="00DA7D28">
        <w:rPr>
          <w:rFonts w:ascii="Times New Roman" w:hAnsi="Times New Roman"/>
          <w:sz w:val="24"/>
        </w:rPr>
        <w:t> </w:t>
      </w:r>
      <w:r w:rsidR="00DA7D28" w:rsidRPr="00DA7D28">
        <w:rPr>
          <w:rFonts w:ascii="Times New Roman" w:hAnsi="Times New Roman"/>
          <w:sz w:val="24"/>
        </w:rPr>
        <w:t>nic</w:t>
      </w:r>
      <w:r w:rsidRPr="00DA7D28">
        <w:rPr>
          <w:rFonts w:ascii="Times New Roman" w:hAnsi="Times New Roman"/>
          <w:sz w:val="24"/>
        </w:rPr>
        <w:t>h wypłat.</w:t>
      </w:r>
    </w:p>
    <w:p w:rsidR="00607ECF" w:rsidRPr="00DA7D28" w:rsidRDefault="00D67579" w:rsidP="001B4027">
      <w:pPr>
        <w:pStyle w:val="Heading1"/>
        <w:jc w:val="both"/>
      </w:pPr>
      <w:bookmarkStart w:id="27" w:name="_Toc3193664"/>
      <w:bookmarkStart w:id="28" w:name="_Toc4776699"/>
      <w:bookmarkStart w:id="29" w:name="_Toc474488797"/>
      <w:r w:rsidRPr="00DA7D28">
        <w:t>Druga transza instrumentu</w:t>
      </w:r>
      <w:bookmarkEnd w:id="27"/>
      <w:bookmarkEnd w:id="28"/>
    </w:p>
    <w:p w:rsidR="00977618" w:rsidRPr="00DA7D28" w:rsidRDefault="00A56A4A" w:rsidP="00BC6868">
      <w:pPr>
        <w:spacing w:after="200"/>
        <w:jc w:val="both"/>
        <w:rPr>
          <w:rFonts w:ascii="Times New Roman" w:eastAsiaTheme="minorHAnsi" w:hAnsi="Times New Roman"/>
          <w:sz w:val="24"/>
          <w:szCs w:val="24"/>
        </w:rPr>
      </w:pPr>
      <w:r w:rsidRPr="00DA7D28">
        <w:rPr>
          <w:rFonts w:ascii="Times New Roman" w:eastAsiaTheme="minorHAnsi" w:hAnsi="Times New Roman"/>
          <w:sz w:val="24"/>
        </w:rPr>
        <w:t>Uruchomienie pierwszej transzy instrumentu zakończyło się sukcesem –</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ram</w:t>
      </w:r>
      <w:r w:rsidRPr="00DA7D28">
        <w:rPr>
          <w:rFonts w:ascii="Times New Roman" w:eastAsiaTheme="minorHAnsi" w:hAnsi="Times New Roman"/>
          <w:sz w:val="24"/>
        </w:rPr>
        <w:t>ach budżetu na</w:t>
      </w:r>
      <w:r w:rsidR="008E2A80" w:rsidRPr="00DA7D28">
        <w:rPr>
          <w:rFonts w:ascii="Times New Roman" w:eastAsiaTheme="minorHAnsi" w:hAnsi="Times New Roman"/>
          <w:sz w:val="24"/>
        </w:rPr>
        <w:t> </w:t>
      </w:r>
      <w:r w:rsidRPr="00DA7D28">
        <w:rPr>
          <w:rFonts w:ascii="Times New Roman" w:eastAsiaTheme="minorHAnsi" w:hAnsi="Times New Roman"/>
          <w:sz w:val="24"/>
        </w:rPr>
        <w:t>2016</w:t>
      </w:r>
      <w:r w:rsidR="008E2A80" w:rsidRPr="00DA7D28">
        <w:rPr>
          <w:rFonts w:ascii="Times New Roman" w:eastAsiaTheme="minorHAnsi" w:hAnsi="Times New Roman"/>
          <w:sz w:val="24"/>
        </w:rPr>
        <w:t> </w:t>
      </w:r>
      <w:r w:rsidRPr="00DA7D28">
        <w:rPr>
          <w:rFonts w:ascii="Times New Roman" w:eastAsiaTheme="minorHAnsi" w:hAnsi="Times New Roman"/>
          <w:sz w:val="24"/>
        </w:rPr>
        <w:t>r.</w:t>
      </w:r>
      <w:r w:rsidR="00DA7D28" w:rsidRPr="00DA7D28">
        <w:rPr>
          <w:rFonts w:ascii="Times New Roman" w:eastAsiaTheme="minorHAnsi" w:hAnsi="Times New Roman"/>
          <w:sz w:val="24"/>
        </w:rPr>
        <w:t xml:space="preserve"> i</w:t>
      </w:r>
      <w:r w:rsidR="00DA7D28">
        <w:rPr>
          <w:rFonts w:ascii="Times New Roman" w:eastAsiaTheme="minorHAnsi" w:hAnsi="Times New Roman"/>
          <w:sz w:val="24"/>
        </w:rPr>
        <w:t> </w:t>
      </w:r>
      <w:r w:rsidR="00DA7D28" w:rsidRPr="00DA7D28">
        <w:rPr>
          <w:rFonts w:ascii="Times New Roman" w:eastAsiaTheme="minorHAnsi" w:hAnsi="Times New Roman"/>
          <w:sz w:val="24"/>
        </w:rPr>
        <w:t>2</w:t>
      </w:r>
      <w:r w:rsidRPr="00DA7D28">
        <w:rPr>
          <w:rFonts w:ascii="Times New Roman" w:eastAsiaTheme="minorHAnsi" w:hAnsi="Times New Roman"/>
          <w:sz w:val="24"/>
        </w:rPr>
        <w:t>017</w:t>
      </w:r>
      <w:r w:rsidR="008E2A80" w:rsidRPr="00DA7D28">
        <w:rPr>
          <w:rFonts w:ascii="Times New Roman" w:eastAsiaTheme="minorHAnsi" w:hAnsi="Times New Roman"/>
          <w:sz w:val="24"/>
        </w:rPr>
        <w:t> </w:t>
      </w:r>
      <w:r w:rsidRPr="00DA7D28">
        <w:rPr>
          <w:rFonts w:ascii="Times New Roman" w:eastAsiaTheme="minorHAnsi" w:hAnsi="Times New Roman"/>
          <w:sz w:val="24"/>
        </w:rPr>
        <w:t>r. zakontraktowano działania</w:t>
      </w:r>
      <w:r w:rsidR="00DA7D28" w:rsidRPr="00DA7D28">
        <w:rPr>
          <w:rFonts w:ascii="Times New Roman" w:eastAsiaTheme="minorHAnsi" w:hAnsi="Times New Roman"/>
          <w:sz w:val="24"/>
        </w:rPr>
        <w:t xml:space="preserve"> o</w:t>
      </w:r>
      <w:r w:rsidR="00DA7D28">
        <w:rPr>
          <w:rFonts w:ascii="Times New Roman" w:eastAsiaTheme="minorHAnsi" w:hAnsi="Times New Roman"/>
          <w:sz w:val="24"/>
        </w:rPr>
        <w:t> </w:t>
      </w:r>
      <w:r w:rsidR="00DA7D28" w:rsidRPr="00DA7D28">
        <w:rPr>
          <w:rFonts w:ascii="Times New Roman" w:eastAsiaTheme="minorHAnsi" w:hAnsi="Times New Roman"/>
          <w:sz w:val="24"/>
        </w:rPr>
        <w:t>war</w:t>
      </w:r>
      <w:r w:rsidRPr="00DA7D28">
        <w:rPr>
          <w:rFonts w:ascii="Times New Roman" w:eastAsiaTheme="minorHAnsi" w:hAnsi="Times New Roman"/>
          <w:sz w:val="24"/>
        </w:rPr>
        <w:t>tości 3 mld EUR</w:t>
      </w:r>
      <w:r w:rsidRPr="00DA7D28">
        <w:rPr>
          <w:rStyle w:val="FootnoteReference"/>
          <w:rFonts w:ascii="Times New Roman" w:eastAsiaTheme="minorHAnsi" w:hAnsi="Times New Roman"/>
        </w:rPr>
        <w:footnoteReference w:id="26"/>
      </w:r>
      <w:r w:rsidR="00DA7D28" w:rsidRPr="00DA7D28">
        <w:rPr>
          <w:rFonts w:ascii="Times New Roman" w:eastAsiaTheme="minorHAnsi" w:hAnsi="Times New Roman"/>
          <w:sz w:val="24"/>
        </w:rPr>
        <w:t xml:space="preserve"> i</w:t>
      </w:r>
      <w:r w:rsidR="00DA7D28">
        <w:rPr>
          <w:rFonts w:ascii="Times New Roman" w:eastAsiaTheme="minorHAnsi" w:hAnsi="Times New Roman"/>
          <w:sz w:val="24"/>
        </w:rPr>
        <w:t> </w:t>
      </w:r>
      <w:r w:rsidR="00DA7D28" w:rsidRPr="00DA7D28">
        <w:rPr>
          <w:rFonts w:ascii="Times New Roman" w:eastAsiaTheme="minorHAnsi" w:hAnsi="Times New Roman"/>
          <w:sz w:val="24"/>
        </w:rPr>
        <w:t>uru</w:t>
      </w:r>
      <w:r w:rsidRPr="00DA7D28">
        <w:rPr>
          <w:rFonts w:ascii="Times New Roman" w:eastAsiaTheme="minorHAnsi" w:hAnsi="Times New Roman"/>
          <w:sz w:val="24"/>
        </w:rPr>
        <w:t>chomiono je</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peł</w:t>
      </w:r>
      <w:r w:rsidRPr="00DA7D28">
        <w:rPr>
          <w:rFonts w:ascii="Times New Roman" w:eastAsiaTheme="minorHAnsi" w:hAnsi="Times New Roman"/>
          <w:sz w:val="24"/>
        </w:rPr>
        <w:t>ni do końca 2017</w:t>
      </w:r>
      <w:r w:rsidR="008E2A80" w:rsidRPr="00DA7D28">
        <w:rPr>
          <w:rFonts w:ascii="Times New Roman" w:eastAsiaTheme="minorHAnsi" w:hAnsi="Times New Roman"/>
          <w:sz w:val="24"/>
        </w:rPr>
        <w:t> </w:t>
      </w:r>
      <w:r w:rsidRPr="00DA7D28">
        <w:rPr>
          <w:rFonts w:ascii="Times New Roman" w:eastAsiaTheme="minorHAnsi" w:hAnsi="Times New Roman"/>
          <w:sz w:val="24"/>
        </w:rPr>
        <w:t>r</w:t>
      </w:r>
      <w:r w:rsidR="00DA7D28" w:rsidRPr="00DA7D28">
        <w:rPr>
          <w:rFonts w:ascii="Times New Roman" w:eastAsiaTheme="minorHAnsi" w:hAnsi="Times New Roman"/>
          <w:sz w:val="24"/>
        </w:rPr>
        <w:t>. W</w:t>
      </w:r>
      <w:r w:rsidR="00DA7D28">
        <w:rPr>
          <w:rFonts w:ascii="Times New Roman" w:eastAsiaTheme="minorHAnsi" w:hAnsi="Times New Roman"/>
          <w:sz w:val="24"/>
        </w:rPr>
        <w:t> </w:t>
      </w:r>
      <w:r w:rsidR="00DA7D28" w:rsidRPr="00DA7D28">
        <w:rPr>
          <w:rFonts w:ascii="Times New Roman" w:eastAsiaTheme="minorHAnsi" w:hAnsi="Times New Roman"/>
          <w:sz w:val="24"/>
        </w:rPr>
        <w:t>ośw</w:t>
      </w:r>
      <w:r w:rsidRPr="00DA7D28">
        <w:rPr>
          <w:rFonts w:ascii="Times New Roman" w:eastAsiaTheme="minorHAnsi" w:hAnsi="Times New Roman"/>
          <w:sz w:val="24"/>
        </w:rPr>
        <w:t>iadczeniu UE–Turcja</w:t>
      </w:r>
      <w:r w:rsidR="00DA7D28" w:rsidRPr="00DA7D28">
        <w:rPr>
          <w:rFonts w:ascii="Times New Roman" w:eastAsiaTheme="minorHAnsi" w:hAnsi="Times New Roman"/>
          <w:sz w:val="24"/>
        </w:rPr>
        <w:t xml:space="preserve"> z</w:t>
      </w:r>
      <w:r w:rsidR="00DA7D28">
        <w:rPr>
          <w:rFonts w:ascii="Times New Roman" w:eastAsiaTheme="minorHAnsi" w:hAnsi="Times New Roman"/>
          <w:sz w:val="24"/>
        </w:rPr>
        <w:t> </w:t>
      </w:r>
      <w:r w:rsidR="00DA7D28" w:rsidRPr="00DA7D28">
        <w:rPr>
          <w:rFonts w:ascii="Times New Roman" w:eastAsiaTheme="minorHAnsi" w:hAnsi="Times New Roman"/>
          <w:sz w:val="24"/>
        </w:rPr>
        <w:t>mar</w:t>
      </w:r>
      <w:r w:rsidRPr="00DA7D28">
        <w:rPr>
          <w:rFonts w:ascii="Times New Roman" w:eastAsiaTheme="minorHAnsi" w:hAnsi="Times New Roman"/>
          <w:sz w:val="24"/>
        </w:rPr>
        <w:t>ca 2016</w:t>
      </w:r>
      <w:r w:rsidR="008E2A80" w:rsidRPr="00DA7D28">
        <w:rPr>
          <w:rFonts w:ascii="Times New Roman" w:eastAsiaTheme="minorHAnsi" w:hAnsi="Times New Roman"/>
          <w:sz w:val="24"/>
        </w:rPr>
        <w:t> </w:t>
      </w:r>
      <w:r w:rsidRPr="00DA7D28">
        <w:rPr>
          <w:rFonts w:ascii="Times New Roman" w:eastAsiaTheme="minorHAnsi" w:hAnsi="Times New Roman"/>
          <w:sz w:val="24"/>
        </w:rPr>
        <w:t>r. wskazano, że</w:t>
      </w:r>
      <w:r w:rsidR="00DA7D28" w:rsidRPr="00DA7D28">
        <w:rPr>
          <w:rFonts w:ascii="Times New Roman" w:eastAsiaTheme="minorHAnsi" w:hAnsi="Times New Roman"/>
          <w:sz w:val="24"/>
        </w:rPr>
        <w:t xml:space="preserve"> z</w:t>
      </w:r>
      <w:r w:rsidR="00DA7D28">
        <w:rPr>
          <w:rFonts w:ascii="Times New Roman" w:eastAsiaTheme="minorHAnsi" w:hAnsi="Times New Roman"/>
          <w:sz w:val="24"/>
        </w:rPr>
        <w:t> </w:t>
      </w:r>
      <w:r w:rsidR="00DA7D28" w:rsidRPr="00DA7D28">
        <w:rPr>
          <w:rFonts w:ascii="Times New Roman" w:eastAsiaTheme="minorHAnsi" w:hAnsi="Times New Roman"/>
          <w:sz w:val="24"/>
        </w:rPr>
        <w:t>chw</w:t>
      </w:r>
      <w:r w:rsidRPr="00DA7D28">
        <w:rPr>
          <w:rFonts w:ascii="Times New Roman" w:eastAsiaTheme="minorHAnsi" w:hAnsi="Times New Roman"/>
          <w:sz w:val="24"/>
        </w:rPr>
        <w:t>ilą gdy zasoby te będą na wyczerpaniu, UE uruchomi na potrzeby instrumentu dodatkowe środki finansowe</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kwo</w:t>
      </w:r>
      <w:r w:rsidRPr="00DA7D28">
        <w:rPr>
          <w:rFonts w:ascii="Times New Roman" w:eastAsiaTheme="minorHAnsi" w:hAnsi="Times New Roman"/>
          <w:sz w:val="24"/>
        </w:rPr>
        <w:t>cie 3 mld EUR do końca 2018</w:t>
      </w:r>
      <w:r w:rsidR="008E2A80" w:rsidRPr="00DA7D28">
        <w:rPr>
          <w:rFonts w:ascii="Times New Roman" w:eastAsiaTheme="minorHAnsi" w:hAnsi="Times New Roman"/>
          <w:sz w:val="24"/>
        </w:rPr>
        <w:t> </w:t>
      </w:r>
      <w:r w:rsidRPr="00DA7D28">
        <w:rPr>
          <w:rFonts w:ascii="Times New Roman" w:eastAsiaTheme="minorHAnsi" w:hAnsi="Times New Roman"/>
          <w:sz w:val="24"/>
        </w:rPr>
        <w:t xml:space="preserve">r., pod warunkiem, że spełnione zostaną wszystkie zobowiązania. </w:t>
      </w:r>
    </w:p>
    <w:p w:rsidR="0025354F" w:rsidRPr="00DA7D28" w:rsidRDefault="00977618" w:rsidP="00BC6868">
      <w:pPr>
        <w:spacing w:after="200"/>
        <w:jc w:val="both"/>
        <w:rPr>
          <w:rFonts w:ascii="Times New Roman" w:eastAsiaTheme="minorHAnsi" w:hAnsi="Times New Roman"/>
          <w:sz w:val="24"/>
          <w:szCs w:val="24"/>
        </w:rPr>
      </w:pPr>
      <w:r w:rsidRPr="00DA7D28">
        <w:rPr>
          <w:rFonts w:ascii="Times New Roman" w:eastAsiaTheme="minorHAnsi" w:hAnsi="Times New Roman"/>
          <w:sz w:val="24"/>
        </w:rPr>
        <w:t>W związku</w:t>
      </w:r>
      <w:r w:rsidR="00DA7D28" w:rsidRPr="00DA7D28">
        <w:rPr>
          <w:rFonts w:ascii="Times New Roman" w:eastAsiaTheme="minorHAnsi" w:hAnsi="Times New Roman"/>
          <w:sz w:val="24"/>
        </w:rPr>
        <w:t xml:space="preserve"> z</w:t>
      </w:r>
      <w:r w:rsidR="00DA7D28">
        <w:rPr>
          <w:rFonts w:ascii="Times New Roman" w:eastAsiaTheme="minorHAnsi" w:hAnsi="Times New Roman"/>
          <w:sz w:val="24"/>
        </w:rPr>
        <w:t> </w:t>
      </w:r>
      <w:r w:rsidR="00DA7D28" w:rsidRPr="00DA7D28">
        <w:rPr>
          <w:rFonts w:ascii="Times New Roman" w:eastAsiaTheme="minorHAnsi" w:hAnsi="Times New Roman"/>
          <w:sz w:val="24"/>
        </w:rPr>
        <w:t>tym</w:t>
      </w:r>
      <w:r w:rsidRPr="00DA7D28">
        <w:rPr>
          <w:rFonts w:ascii="Times New Roman" w:eastAsiaTheme="minorHAnsi" w:hAnsi="Times New Roman"/>
          <w:sz w:val="24"/>
        </w:rPr>
        <w:t>, że na koniec 2017</w:t>
      </w:r>
      <w:r w:rsidR="008E2A80" w:rsidRPr="00DA7D28">
        <w:rPr>
          <w:rFonts w:ascii="Times New Roman" w:eastAsiaTheme="minorHAnsi" w:hAnsi="Times New Roman"/>
          <w:sz w:val="24"/>
        </w:rPr>
        <w:t> </w:t>
      </w:r>
      <w:r w:rsidRPr="00DA7D28">
        <w:rPr>
          <w:rFonts w:ascii="Times New Roman" w:eastAsiaTheme="minorHAnsi" w:hAnsi="Times New Roman"/>
          <w:sz w:val="24"/>
        </w:rPr>
        <w:t>r. kwota pierwszych 3 mld EUR była</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peł</w:t>
      </w:r>
      <w:r w:rsidRPr="00DA7D28">
        <w:rPr>
          <w:rFonts w:ascii="Times New Roman" w:eastAsiaTheme="minorHAnsi" w:hAnsi="Times New Roman"/>
          <w:sz w:val="24"/>
        </w:rPr>
        <w:t>ni zakontraktowana,</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mar</w:t>
      </w:r>
      <w:r w:rsidRPr="00DA7D28">
        <w:rPr>
          <w:rFonts w:ascii="Times New Roman" w:eastAsiaTheme="minorHAnsi" w:hAnsi="Times New Roman"/>
          <w:sz w:val="24"/>
        </w:rPr>
        <w:t>cu 2018</w:t>
      </w:r>
      <w:r w:rsidR="008E2A80" w:rsidRPr="00DA7D28">
        <w:rPr>
          <w:rFonts w:ascii="Times New Roman" w:eastAsiaTheme="minorHAnsi" w:hAnsi="Times New Roman"/>
          <w:sz w:val="24"/>
        </w:rPr>
        <w:t> </w:t>
      </w:r>
      <w:r w:rsidRPr="00DA7D28">
        <w:rPr>
          <w:rFonts w:ascii="Times New Roman" w:eastAsiaTheme="minorHAnsi" w:hAnsi="Times New Roman"/>
          <w:sz w:val="24"/>
        </w:rPr>
        <w:t>r. Komisja przyjęła decyzję</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spr</w:t>
      </w:r>
      <w:r w:rsidRPr="00DA7D28">
        <w:rPr>
          <w:rFonts w:ascii="Times New Roman" w:eastAsiaTheme="minorHAnsi" w:hAnsi="Times New Roman"/>
          <w:sz w:val="24"/>
        </w:rPr>
        <w:t>awie kolejnego przydziału zasobów na Instrument Pomocy dla Uchodźców</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Tur</w:t>
      </w:r>
      <w:r w:rsidRPr="00DA7D28">
        <w:rPr>
          <w:rFonts w:ascii="Times New Roman" w:eastAsiaTheme="minorHAnsi" w:hAnsi="Times New Roman"/>
          <w:sz w:val="24"/>
        </w:rPr>
        <w:t>cji –</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wys</w:t>
      </w:r>
      <w:r w:rsidRPr="00DA7D28">
        <w:rPr>
          <w:rFonts w:ascii="Times New Roman" w:eastAsiaTheme="minorHAnsi" w:hAnsi="Times New Roman"/>
          <w:sz w:val="24"/>
        </w:rPr>
        <w:t>okości 3 mld EUR –</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cel</w:t>
      </w:r>
      <w:r w:rsidRPr="00DA7D28">
        <w:rPr>
          <w:rFonts w:ascii="Times New Roman" w:eastAsiaTheme="minorHAnsi" w:hAnsi="Times New Roman"/>
          <w:sz w:val="24"/>
        </w:rPr>
        <w:t>u zapewnienia ciągłości projektów realizowanych</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ram</w:t>
      </w:r>
      <w:r w:rsidRPr="00DA7D28">
        <w:rPr>
          <w:rFonts w:ascii="Times New Roman" w:eastAsiaTheme="minorHAnsi" w:hAnsi="Times New Roman"/>
          <w:sz w:val="24"/>
        </w:rPr>
        <w:t>ach instrumentu</w:t>
      </w:r>
      <w:r w:rsidR="00DA7D28" w:rsidRPr="00DA7D28">
        <w:rPr>
          <w:rFonts w:ascii="Times New Roman" w:eastAsiaTheme="minorHAnsi" w:hAnsi="Times New Roman"/>
          <w:sz w:val="24"/>
        </w:rPr>
        <w:t xml:space="preserve"> i</w:t>
      </w:r>
      <w:r w:rsidR="00DA7D28">
        <w:rPr>
          <w:rFonts w:ascii="Times New Roman" w:eastAsiaTheme="minorHAnsi" w:hAnsi="Times New Roman"/>
          <w:sz w:val="24"/>
        </w:rPr>
        <w:t> </w:t>
      </w:r>
      <w:r w:rsidR="00DA7D28" w:rsidRPr="00DA7D28">
        <w:rPr>
          <w:rFonts w:ascii="Times New Roman" w:eastAsiaTheme="minorHAnsi" w:hAnsi="Times New Roman"/>
          <w:sz w:val="24"/>
        </w:rPr>
        <w:t>cią</w:t>
      </w:r>
      <w:r w:rsidRPr="00DA7D28">
        <w:rPr>
          <w:rFonts w:ascii="Times New Roman" w:eastAsiaTheme="minorHAnsi" w:hAnsi="Times New Roman"/>
          <w:sz w:val="24"/>
        </w:rPr>
        <w:t>głości wsparcia dla uchodźców. Podział wkładów</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ram</w:t>
      </w:r>
      <w:r w:rsidRPr="00DA7D28">
        <w:rPr>
          <w:rFonts w:ascii="Times New Roman" w:eastAsiaTheme="minorHAnsi" w:hAnsi="Times New Roman"/>
          <w:sz w:val="24"/>
        </w:rPr>
        <w:t>ach tej transzy był taki sam jak</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prz</w:t>
      </w:r>
      <w:r w:rsidRPr="00DA7D28">
        <w:rPr>
          <w:rFonts w:ascii="Times New Roman" w:eastAsiaTheme="minorHAnsi" w:hAnsi="Times New Roman"/>
          <w:sz w:val="24"/>
        </w:rPr>
        <w:t>ypadku pierwszej transzy</w:t>
      </w:r>
      <w:r w:rsidRPr="00DA7D28">
        <w:rPr>
          <w:rStyle w:val="FootnoteReference"/>
          <w:rFonts w:ascii="Times New Roman" w:eastAsiaTheme="minorHAnsi" w:hAnsi="Times New Roman"/>
        </w:rPr>
        <w:footnoteReference w:id="27"/>
      </w:r>
      <w:r w:rsidR="00DA7D28" w:rsidRPr="00DA7D28">
        <w:rPr>
          <w:rFonts w:ascii="Times New Roman" w:eastAsiaTheme="minorHAnsi" w:hAnsi="Times New Roman"/>
          <w:sz w:val="24"/>
        </w:rPr>
        <w:t>. W</w:t>
      </w:r>
      <w:r w:rsidR="00DA7D28">
        <w:rPr>
          <w:rFonts w:ascii="Times New Roman" w:eastAsiaTheme="minorHAnsi" w:hAnsi="Times New Roman"/>
          <w:sz w:val="24"/>
        </w:rPr>
        <w:t> </w:t>
      </w:r>
      <w:r w:rsidR="00DA7D28" w:rsidRPr="00DA7D28">
        <w:rPr>
          <w:rFonts w:ascii="Times New Roman" w:eastAsiaTheme="minorHAnsi" w:hAnsi="Times New Roman"/>
          <w:sz w:val="24"/>
        </w:rPr>
        <w:t>dni</w:t>
      </w:r>
      <w:r w:rsidRPr="00DA7D28">
        <w:rPr>
          <w:rFonts w:ascii="Times New Roman" w:eastAsiaTheme="minorHAnsi" w:hAnsi="Times New Roman"/>
          <w:sz w:val="24"/>
        </w:rPr>
        <w:t>u 18 lipca 2018</w:t>
      </w:r>
      <w:r w:rsidR="008E2A80" w:rsidRPr="00DA7D28">
        <w:rPr>
          <w:rFonts w:ascii="Times New Roman" w:eastAsiaTheme="minorHAnsi" w:hAnsi="Times New Roman"/>
          <w:sz w:val="24"/>
        </w:rPr>
        <w:t> </w:t>
      </w:r>
      <w:r w:rsidRPr="00DA7D28">
        <w:rPr>
          <w:rFonts w:ascii="Times New Roman" w:eastAsiaTheme="minorHAnsi" w:hAnsi="Times New Roman"/>
          <w:sz w:val="24"/>
        </w:rPr>
        <w:t>r. Komisja uzgodniła</w:t>
      </w:r>
      <w:r w:rsidR="00DA7D28" w:rsidRPr="00DA7D28">
        <w:rPr>
          <w:rFonts w:ascii="Times New Roman" w:eastAsiaTheme="minorHAnsi" w:hAnsi="Times New Roman"/>
          <w:sz w:val="24"/>
        </w:rPr>
        <w:t xml:space="preserve"> z</w:t>
      </w:r>
      <w:r w:rsidR="00DA7D28">
        <w:rPr>
          <w:rFonts w:ascii="Times New Roman" w:eastAsiaTheme="minorHAnsi" w:hAnsi="Times New Roman"/>
          <w:sz w:val="24"/>
        </w:rPr>
        <w:t> </w:t>
      </w:r>
      <w:r w:rsidR="00DA7D28" w:rsidRPr="00DA7D28">
        <w:rPr>
          <w:rFonts w:ascii="Times New Roman" w:eastAsiaTheme="minorHAnsi" w:hAnsi="Times New Roman"/>
          <w:sz w:val="24"/>
        </w:rPr>
        <w:t>pań</w:t>
      </w:r>
      <w:r w:rsidRPr="00DA7D28">
        <w:rPr>
          <w:rFonts w:ascii="Times New Roman" w:eastAsiaTheme="minorHAnsi" w:hAnsi="Times New Roman"/>
          <w:sz w:val="24"/>
        </w:rPr>
        <w:t>stwami członkowskimi nowe wspólne porozumienie,</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nas</w:t>
      </w:r>
      <w:r w:rsidRPr="00DA7D28">
        <w:rPr>
          <w:rFonts w:ascii="Times New Roman" w:eastAsiaTheme="minorHAnsi" w:hAnsi="Times New Roman"/>
          <w:sz w:val="24"/>
        </w:rPr>
        <w:t>tępstwie którego</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dni</w:t>
      </w:r>
      <w:r w:rsidRPr="00DA7D28">
        <w:rPr>
          <w:rFonts w:ascii="Times New Roman" w:eastAsiaTheme="minorHAnsi" w:hAnsi="Times New Roman"/>
          <w:sz w:val="24"/>
        </w:rPr>
        <w:t>u 24 lipca 2018</w:t>
      </w:r>
      <w:r w:rsidR="008E2A80" w:rsidRPr="00DA7D28">
        <w:rPr>
          <w:rFonts w:ascii="Times New Roman" w:eastAsiaTheme="minorHAnsi" w:hAnsi="Times New Roman"/>
          <w:sz w:val="24"/>
        </w:rPr>
        <w:t> </w:t>
      </w:r>
      <w:r w:rsidRPr="00DA7D28">
        <w:rPr>
          <w:rFonts w:ascii="Times New Roman" w:eastAsiaTheme="minorHAnsi" w:hAnsi="Times New Roman"/>
          <w:sz w:val="24"/>
        </w:rPr>
        <w:t>r. przyjęła zmienioną decyzję</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spr</w:t>
      </w:r>
      <w:r w:rsidRPr="00DA7D28">
        <w:rPr>
          <w:rFonts w:ascii="Times New Roman" w:eastAsiaTheme="minorHAnsi" w:hAnsi="Times New Roman"/>
          <w:sz w:val="24"/>
        </w:rPr>
        <w:t>awie uruchomienia</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lat</w:t>
      </w:r>
      <w:r w:rsidRPr="00DA7D28">
        <w:rPr>
          <w:rFonts w:ascii="Times New Roman" w:eastAsiaTheme="minorHAnsi" w:hAnsi="Times New Roman"/>
          <w:sz w:val="24"/>
        </w:rPr>
        <w:t>ach 2018–2019 kwoty 2 mld EUR</w:t>
      </w:r>
      <w:r w:rsidR="00DA7D28" w:rsidRPr="00DA7D28">
        <w:rPr>
          <w:rFonts w:ascii="Times New Roman" w:eastAsiaTheme="minorHAnsi" w:hAnsi="Times New Roman"/>
          <w:sz w:val="24"/>
        </w:rPr>
        <w:t xml:space="preserve"> z</w:t>
      </w:r>
      <w:r w:rsidR="00DA7D28">
        <w:rPr>
          <w:rFonts w:ascii="Times New Roman" w:eastAsiaTheme="minorHAnsi" w:hAnsi="Times New Roman"/>
          <w:sz w:val="24"/>
        </w:rPr>
        <w:t> </w:t>
      </w:r>
      <w:r w:rsidR="00DA7D28" w:rsidRPr="00DA7D28">
        <w:rPr>
          <w:rFonts w:ascii="Times New Roman" w:eastAsiaTheme="minorHAnsi" w:hAnsi="Times New Roman"/>
          <w:sz w:val="24"/>
        </w:rPr>
        <w:t>bud</w:t>
      </w:r>
      <w:r w:rsidRPr="00DA7D28">
        <w:rPr>
          <w:rFonts w:ascii="Times New Roman" w:eastAsiaTheme="minorHAnsi" w:hAnsi="Times New Roman"/>
          <w:sz w:val="24"/>
        </w:rPr>
        <w:t>żetu Unii; państwa członkowskie zobowiązały się przekazać pozostałą kwotę 1 mld EUR jako zewnętrzne dochody przeznaczone na określony cel</w:t>
      </w:r>
      <w:r w:rsidRPr="00DA7D28">
        <w:rPr>
          <w:rStyle w:val="FootnoteReference"/>
          <w:rFonts w:ascii="Times New Roman" w:hAnsi="Times New Roman"/>
        </w:rPr>
        <w:footnoteReference w:id="28"/>
      </w:r>
      <w:r w:rsidRPr="00DA7D28">
        <w:rPr>
          <w:rFonts w:ascii="Times New Roman" w:eastAsiaTheme="minorHAnsi" w:hAnsi="Times New Roman"/>
          <w:sz w:val="24"/>
        </w:rPr>
        <w:t>.</w:t>
      </w:r>
    </w:p>
    <w:p w:rsidR="00607ECF" w:rsidRPr="00DA7D28" w:rsidRDefault="00A56A4A" w:rsidP="00B2130B">
      <w:pPr>
        <w:pStyle w:val="Heading2"/>
        <w:ind w:left="0"/>
        <w:rPr>
          <w:b w:val="0"/>
        </w:rPr>
      </w:pPr>
      <w:bookmarkStart w:id="30" w:name="_Toc3193665"/>
      <w:bookmarkStart w:id="31" w:name="_Toc4776700"/>
      <w:r w:rsidRPr="00DA7D28">
        <w:t>Programowanie</w:t>
      </w:r>
      <w:bookmarkEnd w:id="30"/>
      <w:bookmarkEnd w:id="31"/>
    </w:p>
    <w:p w:rsidR="0066728A" w:rsidRPr="00DA7D28" w:rsidRDefault="00E50C63" w:rsidP="000D59A1">
      <w:pPr>
        <w:spacing w:after="120"/>
        <w:jc w:val="both"/>
        <w:rPr>
          <w:rFonts w:ascii="Times New Roman" w:hAnsi="Times New Roman"/>
          <w:sz w:val="24"/>
          <w:szCs w:val="24"/>
        </w:rPr>
      </w:pPr>
      <w:r w:rsidRPr="00DA7D28">
        <w:rPr>
          <w:rFonts w:ascii="Times New Roman" w:hAnsi="Times New Roman"/>
          <w:color w:val="000000"/>
          <w:sz w:val="24"/>
        </w:rPr>
        <w:t>Na posiedzeniu komitetu sterującego</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cze</w:t>
      </w:r>
      <w:r w:rsidRPr="00DA7D28">
        <w:rPr>
          <w:rFonts w:ascii="Times New Roman" w:hAnsi="Times New Roman"/>
          <w:color w:val="000000"/>
          <w:sz w:val="24"/>
        </w:rPr>
        <w:t>rwcu 2018</w:t>
      </w:r>
      <w:r w:rsidR="008E2A80" w:rsidRPr="00DA7D28">
        <w:rPr>
          <w:rFonts w:ascii="Times New Roman" w:hAnsi="Times New Roman"/>
          <w:color w:val="000000"/>
          <w:sz w:val="24"/>
        </w:rPr>
        <w:t> </w:t>
      </w:r>
      <w:r w:rsidRPr="00DA7D28">
        <w:rPr>
          <w:rFonts w:ascii="Times New Roman" w:hAnsi="Times New Roman"/>
          <w:color w:val="000000"/>
          <w:sz w:val="24"/>
        </w:rPr>
        <w:t>r. państwa członkowskie zatwierdziły strategiczny dokument koncepcyjny</w:t>
      </w:r>
      <w:r w:rsidRPr="00DA7D28">
        <w:rPr>
          <w:rStyle w:val="FootnoteReference"/>
          <w:rFonts w:ascii="Times New Roman" w:hAnsi="Times New Roman"/>
        </w:rPr>
        <w:footnoteReference w:id="29"/>
      </w:r>
      <w:r w:rsidRPr="00DA7D28">
        <w:rPr>
          <w:rFonts w:ascii="Times New Roman" w:hAnsi="Times New Roman"/>
          <w:color w:val="000000"/>
          <w:sz w:val="24"/>
        </w:rPr>
        <w:t>, mający pozwolić wykorzystać wymierne rezultaty, jakie osiągnięto</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ram</w:t>
      </w:r>
      <w:r w:rsidRPr="00DA7D28">
        <w:rPr>
          <w:rFonts w:ascii="Times New Roman" w:hAnsi="Times New Roman"/>
          <w:color w:val="000000"/>
          <w:sz w:val="24"/>
        </w:rPr>
        <w:t>ach pierwszej transzy instrumentu, oraz zapewnić skuteczną kontynuację programowania drugiej transzy</w:t>
      </w:r>
      <w:r w:rsidR="00DA7D28" w:rsidRPr="00DA7D28">
        <w:rPr>
          <w:rFonts w:ascii="Times New Roman" w:hAnsi="Times New Roman"/>
          <w:color w:val="000000"/>
          <w:sz w:val="24"/>
        </w:rPr>
        <w:t>.</w:t>
      </w:r>
      <w:r w:rsidR="00DA7D28" w:rsidRPr="00DA7D28">
        <w:rPr>
          <w:rFonts w:ascii="Times New Roman" w:hAnsi="Times New Roman"/>
          <w:sz w:val="24"/>
        </w:rPr>
        <w:t xml:space="preserve"> W</w:t>
      </w:r>
      <w:r w:rsidR="00DA7D28">
        <w:rPr>
          <w:rFonts w:ascii="Times New Roman" w:hAnsi="Times New Roman"/>
          <w:color w:val="000000"/>
          <w:sz w:val="24"/>
        </w:rPr>
        <w:t> </w:t>
      </w:r>
      <w:r w:rsidR="00DA7D28" w:rsidRPr="00DA7D28">
        <w:rPr>
          <w:rFonts w:ascii="Times New Roman" w:hAnsi="Times New Roman"/>
          <w:sz w:val="24"/>
        </w:rPr>
        <w:t>dok</w:t>
      </w:r>
      <w:r w:rsidRPr="00DA7D28">
        <w:rPr>
          <w:rFonts w:ascii="Times New Roman" w:hAnsi="Times New Roman"/>
          <w:sz w:val="24"/>
        </w:rPr>
        <w:t>umencie tym uwzględniono ustalenia uaktualnionej oceny potrzeb</w:t>
      </w:r>
      <w:r w:rsidRPr="00DA7D28">
        <w:rPr>
          <w:rStyle w:val="FootnoteReference"/>
          <w:rFonts w:ascii="Times New Roman" w:hAnsi="Times New Roman"/>
        </w:rPr>
        <w:footnoteReference w:id="30"/>
      </w:r>
      <w:r w:rsidRPr="00DA7D28">
        <w:rPr>
          <w:rFonts w:ascii="Times New Roman" w:hAnsi="Times New Roman"/>
          <w:sz w:val="24"/>
        </w:rPr>
        <w:t>, którą przeprowadzono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szeroko zakrojonych konsultacji</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zai</w:t>
      </w:r>
      <w:r w:rsidRPr="00DA7D28">
        <w:rPr>
          <w:rFonts w:ascii="Times New Roman" w:hAnsi="Times New Roman"/>
          <w:sz w:val="24"/>
        </w:rPr>
        <w:t>nteresowanymi stronami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pie</w:t>
      </w:r>
      <w:r w:rsidRPr="00DA7D28">
        <w:rPr>
          <w:rFonts w:ascii="Times New Roman" w:hAnsi="Times New Roman"/>
          <w:sz w:val="24"/>
        </w:rPr>
        <w:t>rwszej połowie roku</w:t>
      </w:r>
      <w:r w:rsidRPr="00DA7D28">
        <w:rPr>
          <w:rStyle w:val="FootnoteReference"/>
          <w:rFonts w:ascii="Times New Roman" w:hAnsi="Times New Roman"/>
        </w:rPr>
        <w:footnoteReference w:id="31"/>
      </w:r>
      <w:r w:rsidRPr="00DA7D28">
        <w:rPr>
          <w:rFonts w:ascii="Times New Roman" w:hAnsi="Times New Roman"/>
          <w:sz w:val="24"/>
        </w:rPr>
        <w:t>, oraz inne istotne dokumenty</w:t>
      </w:r>
      <w:r w:rsidRPr="00DA7D28">
        <w:rPr>
          <w:rStyle w:val="FootnoteReference"/>
          <w:rFonts w:ascii="Times New Roman" w:hAnsi="Times New Roman"/>
        </w:rPr>
        <w:footnoteReference w:id="32"/>
      </w:r>
      <w:r w:rsidRPr="00DA7D28">
        <w:rPr>
          <w:rFonts w:ascii="Times New Roman" w:hAnsi="Times New Roman"/>
          <w:sz w:val="24"/>
        </w:rPr>
        <w:t xml:space="preserve">. </w:t>
      </w:r>
    </w:p>
    <w:p w:rsidR="00424673" w:rsidRPr="00DA7D28" w:rsidRDefault="00424673" w:rsidP="000D59A1">
      <w:pPr>
        <w:spacing w:after="120"/>
        <w:jc w:val="both"/>
        <w:rPr>
          <w:rFonts w:ascii="Times New Roman" w:hAnsi="Times New Roman"/>
          <w:sz w:val="24"/>
          <w:szCs w:val="24"/>
        </w:rPr>
      </w:pPr>
      <w:r w:rsidRPr="00DA7D28">
        <w:rPr>
          <w:rFonts w:ascii="Times New Roman" w:hAnsi="Times New Roman"/>
          <w:sz w:val="24"/>
        </w:rPr>
        <w:t>W sprawozdaniu</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akt</w:t>
      </w:r>
      <w:r w:rsidRPr="00DA7D28">
        <w:rPr>
          <w:rFonts w:ascii="Times New Roman" w:hAnsi="Times New Roman"/>
          <w:sz w:val="24"/>
        </w:rPr>
        <w:t>ualnej oceny potrzeb wskazano najważniejsze potrzeby</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bra</w:t>
      </w:r>
      <w:r w:rsidRPr="00DA7D28">
        <w:rPr>
          <w:rFonts w:ascii="Times New Roman" w:hAnsi="Times New Roman"/>
          <w:sz w:val="24"/>
        </w:rPr>
        <w:t>ki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dzi</w:t>
      </w:r>
      <w:r w:rsidRPr="00DA7D28">
        <w:rPr>
          <w:rFonts w:ascii="Times New Roman" w:hAnsi="Times New Roman"/>
          <w:sz w:val="24"/>
        </w:rPr>
        <w:t>ałaniach na rzecz uchodźców oraz sformułowano cenne wskazówki dotyczące programowania drugiej transzy instrumentu. Przedstawiono też aktualizację oceny zleconej przez Komisję</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cze</w:t>
      </w:r>
      <w:r w:rsidRPr="00DA7D28">
        <w:rPr>
          <w:rFonts w:ascii="Times New Roman" w:hAnsi="Times New Roman"/>
          <w:sz w:val="24"/>
        </w:rPr>
        <w:t>rwcu 2016</w:t>
      </w:r>
      <w:r w:rsidR="008E2A80" w:rsidRPr="00DA7D28">
        <w:rPr>
          <w:rFonts w:ascii="Times New Roman" w:hAnsi="Times New Roman"/>
          <w:sz w:val="24"/>
        </w:rPr>
        <w:t> </w:t>
      </w:r>
      <w:r w:rsidRPr="00DA7D28">
        <w:rPr>
          <w:rFonts w:ascii="Times New Roman" w:hAnsi="Times New Roman"/>
          <w:sz w:val="24"/>
        </w:rPr>
        <w:t>r.</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pod</w:t>
      </w:r>
      <w:r w:rsidRPr="00DA7D28">
        <w:rPr>
          <w:rFonts w:ascii="Times New Roman" w:hAnsi="Times New Roman"/>
          <w:sz w:val="24"/>
        </w:rPr>
        <w:t>sumowano potrzeby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spo</w:t>
      </w:r>
      <w:r w:rsidRPr="00DA7D28">
        <w:rPr>
          <w:rFonts w:ascii="Times New Roman" w:hAnsi="Times New Roman"/>
          <w:sz w:val="24"/>
        </w:rPr>
        <w:t>łeczności przyjmujących</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uwz</w:t>
      </w:r>
      <w:r w:rsidRPr="00DA7D28">
        <w:rPr>
          <w:rFonts w:ascii="Times New Roman" w:hAnsi="Times New Roman"/>
          <w:sz w:val="24"/>
        </w:rPr>
        <w:t>ględnieniem zmian, jakie zaszły od</w:t>
      </w:r>
      <w:r w:rsidR="008E2A80" w:rsidRPr="00DA7D28">
        <w:rPr>
          <w:rFonts w:ascii="Times New Roman" w:hAnsi="Times New Roman"/>
          <w:sz w:val="24"/>
        </w:rPr>
        <w:t> </w:t>
      </w:r>
      <w:r w:rsidRPr="00DA7D28">
        <w:rPr>
          <w:rFonts w:ascii="Times New Roman" w:hAnsi="Times New Roman"/>
          <w:sz w:val="24"/>
        </w:rPr>
        <w:t>2016</w:t>
      </w:r>
      <w:r w:rsidR="008E2A80" w:rsidRPr="00DA7D28">
        <w:rPr>
          <w:rFonts w:ascii="Times New Roman" w:hAnsi="Times New Roman"/>
          <w:sz w:val="24"/>
        </w:rPr>
        <w:t> </w:t>
      </w:r>
      <w:r w:rsidRPr="00DA7D28">
        <w:rPr>
          <w:rFonts w:ascii="Times New Roman" w:hAnsi="Times New Roman"/>
          <w:sz w:val="24"/>
        </w:rPr>
        <w:t>r. Wskazano ponadto obszary wymagające dalszego wsparcia. Ze sprawozdania wynika, że kluczowymi obszarami pozostają ochrona, podstawowe potrzeby</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źró</w:t>
      </w:r>
      <w:r w:rsidRPr="00DA7D28">
        <w:rPr>
          <w:rFonts w:ascii="Times New Roman" w:hAnsi="Times New Roman"/>
          <w:sz w:val="24"/>
        </w:rPr>
        <w:t>dła utrzymania, zdrowie, edukacja oraz infrastruktura miejska.</w:t>
      </w:r>
    </w:p>
    <w:p w:rsidR="0066728A" w:rsidRPr="00DA7D28" w:rsidRDefault="0066728A" w:rsidP="000D59A1">
      <w:pPr>
        <w:spacing w:after="120"/>
        <w:jc w:val="both"/>
        <w:rPr>
          <w:rFonts w:ascii="Times New Roman" w:hAnsi="Times New Roman"/>
          <w:sz w:val="24"/>
          <w:szCs w:val="24"/>
        </w:rPr>
      </w:pPr>
      <w:r w:rsidRPr="00DA7D28">
        <w:rPr>
          <w:rFonts w:ascii="Times New Roman" w:hAnsi="Times New Roman"/>
          <w:sz w:val="24"/>
        </w:rPr>
        <w:t>W strategicznym dokumencie koncepcyjnym określono strategiczne ramy programowania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wdr</w:t>
      </w:r>
      <w:r w:rsidRPr="00DA7D28">
        <w:rPr>
          <w:rFonts w:ascii="Times New Roman" w:hAnsi="Times New Roman"/>
          <w:sz w:val="24"/>
        </w:rPr>
        <w:t>ażania drugiej transzy instrumentu, ze szczególnym naciskiem na włączenie społeczne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sam</w:t>
      </w:r>
      <w:r w:rsidRPr="00DA7D28">
        <w:rPr>
          <w:rFonts w:ascii="Times New Roman" w:hAnsi="Times New Roman"/>
          <w:sz w:val="24"/>
        </w:rPr>
        <w:t>owystarczalność, które wskazano jako główne cele</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dok</w:t>
      </w:r>
      <w:r w:rsidRPr="00DA7D28">
        <w:rPr>
          <w:rFonts w:ascii="Times New Roman" w:hAnsi="Times New Roman"/>
          <w:sz w:val="24"/>
        </w:rPr>
        <w:t>umencie tym potwierdzono potrzebę ścisłej współpracy między rządem</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ins</w:t>
      </w:r>
      <w:r w:rsidRPr="00DA7D28">
        <w:rPr>
          <w:rFonts w:ascii="Times New Roman" w:hAnsi="Times New Roman"/>
          <w:sz w:val="24"/>
        </w:rPr>
        <w:t>trumentami pomocy rozwojowej</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hum</w:t>
      </w:r>
      <w:r w:rsidRPr="00DA7D28">
        <w:rPr>
          <w:rFonts w:ascii="Times New Roman" w:hAnsi="Times New Roman"/>
          <w:sz w:val="24"/>
        </w:rPr>
        <w:t>anitarnej</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kon</w:t>
      </w:r>
      <w:r w:rsidRPr="00DA7D28">
        <w:rPr>
          <w:rFonts w:ascii="Times New Roman" w:hAnsi="Times New Roman"/>
          <w:sz w:val="24"/>
        </w:rPr>
        <w:t>tekście przedłużającego się kryzysu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cel</w:t>
      </w:r>
      <w:r w:rsidRPr="00DA7D28">
        <w:rPr>
          <w:rFonts w:ascii="Times New Roman" w:hAnsi="Times New Roman"/>
          <w:sz w:val="24"/>
        </w:rPr>
        <w:t>u wypracowania bardziej zrównoważonych</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trw</w:t>
      </w:r>
      <w:r w:rsidRPr="00DA7D28">
        <w:rPr>
          <w:rFonts w:ascii="Times New Roman" w:hAnsi="Times New Roman"/>
          <w:sz w:val="24"/>
        </w:rPr>
        <w:t>ałych rozwiązań, które można by stosować również po zakończeniu funkcjonowania instrumentu</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wyc</w:t>
      </w:r>
      <w:r w:rsidRPr="00DA7D28">
        <w:rPr>
          <w:rFonts w:ascii="Times New Roman" w:hAnsi="Times New Roman"/>
          <w:sz w:val="24"/>
        </w:rPr>
        <w:t>zerpaniu pierwotnej kwoty 6 mld EUR. Wymaga to strategicznego przesunięcia środka ciężkości instrumentu</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pom</w:t>
      </w:r>
      <w:r w:rsidRPr="00DA7D28">
        <w:rPr>
          <w:rFonts w:ascii="Times New Roman" w:hAnsi="Times New Roman"/>
          <w:sz w:val="24"/>
        </w:rPr>
        <w:t>ocy humanitarnej na pomoc rozwojową. Szczególną uwagę zwraca się na zapewnienie stałego wsparcia społeczno-ekonomicznego</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źró</w:t>
      </w:r>
      <w:r w:rsidRPr="00DA7D28">
        <w:rPr>
          <w:rFonts w:ascii="Times New Roman" w:hAnsi="Times New Roman"/>
          <w:sz w:val="24"/>
        </w:rPr>
        <w:t>deł utrzymania,</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tak</w:t>
      </w:r>
      <w:r w:rsidRPr="00DA7D28">
        <w:rPr>
          <w:rFonts w:ascii="Times New Roman" w:hAnsi="Times New Roman"/>
          <w:sz w:val="24"/>
        </w:rPr>
        <w:t>że na wzmocnienie zdolności społeczności lokalnych do przyjmowania uchodźców przy jednoczesnym wspieraniu spójności społecznej. Scenariusz ten zakłada, że władze tureckie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Kom</w:t>
      </w:r>
      <w:r w:rsidRPr="00DA7D28">
        <w:rPr>
          <w:rFonts w:ascii="Times New Roman" w:hAnsi="Times New Roman"/>
          <w:sz w:val="24"/>
        </w:rPr>
        <w:t>isja będą dokładać starań, by zapewnić trwałość projektów realizowanych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również po tym, jak okres jego wdrażania dobiegnie końca</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zwi</w:t>
      </w:r>
      <w:r w:rsidRPr="00DA7D28">
        <w:rPr>
          <w:rFonts w:ascii="Times New Roman" w:hAnsi="Times New Roman"/>
          <w:sz w:val="24"/>
        </w:rPr>
        <w:t>ązku</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tym</w:t>
      </w:r>
      <w:r w:rsidRPr="00DA7D28">
        <w:rPr>
          <w:rFonts w:ascii="Times New Roman" w:hAnsi="Times New Roman"/>
          <w:sz w:val="24"/>
        </w:rPr>
        <w:t xml:space="preserve"> system krajowy Turcji musi być przygotowany do przejęcia wdrażania pomocy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zap</w:t>
      </w:r>
      <w:r w:rsidRPr="00DA7D28">
        <w:rPr>
          <w:rFonts w:ascii="Times New Roman" w:hAnsi="Times New Roman"/>
          <w:sz w:val="24"/>
        </w:rPr>
        <w:t>ewnienia trwałych rozwiązań</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spr</w:t>
      </w:r>
      <w:r w:rsidRPr="00DA7D28">
        <w:rPr>
          <w:rFonts w:ascii="Times New Roman" w:hAnsi="Times New Roman"/>
          <w:sz w:val="24"/>
        </w:rPr>
        <w:t>awiedliwego dostępu do praw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usł</w:t>
      </w:r>
      <w:r w:rsidRPr="00DA7D28">
        <w:rPr>
          <w:rFonts w:ascii="Times New Roman" w:hAnsi="Times New Roman"/>
          <w:sz w:val="24"/>
        </w:rPr>
        <w:t>ug.</w:t>
      </w:r>
    </w:p>
    <w:p w:rsidR="00850ABA" w:rsidRPr="00DA7D28" w:rsidRDefault="0074154B" w:rsidP="000D59A1">
      <w:pPr>
        <w:spacing w:after="120"/>
        <w:jc w:val="both"/>
        <w:rPr>
          <w:rFonts w:ascii="Times New Roman" w:hAnsi="Times New Roman"/>
          <w:sz w:val="24"/>
          <w:szCs w:val="24"/>
        </w:rPr>
      </w:pPr>
      <w:r w:rsidRPr="00DA7D28">
        <w:rPr>
          <w:rFonts w:ascii="Times New Roman" w:hAnsi="Times New Roman"/>
          <w:sz w:val="24"/>
        </w:rPr>
        <w:t>Programowanie drugiej transzy ma odzwierciedlać zalecenia zawarte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spr</w:t>
      </w:r>
      <w:r w:rsidRPr="00DA7D28">
        <w:rPr>
          <w:rFonts w:ascii="Times New Roman" w:hAnsi="Times New Roman"/>
          <w:sz w:val="24"/>
        </w:rPr>
        <w:t>awozdaniu specjalnym dotyczącym instrumentu</w:t>
      </w:r>
      <w:r w:rsidRPr="00DA7D28">
        <w:rPr>
          <w:rStyle w:val="FootnoteReference"/>
          <w:rFonts w:ascii="Times New Roman" w:hAnsi="Times New Roman"/>
        </w:rPr>
        <w:footnoteReference w:id="33"/>
      </w:r>
      <w:r w:rsidRPr="00DA7D28">
        <w:rPr>
          <w:rFonts w:ascii="Times New Roman" w:hAnsi="Times New Roman"/>
          <w:sz w:val="24"/>
        </w:rPr>
        <w:t>, które Europejski Trybunał Obrachunkowy przedstawił</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lis</w:t>
      </w:r>
      <w:r w:rsidRPr="00DA7D28">
        <w:rPr>
          <w:rFonts w:ascii="Times New Roman" w:hAnsi="Times New Roman"/>
          <w:sz w:val="24"/>
        </w:rPr>
        <w:t>topadzie 2018</w:t>
      </w:r>
      <w:r w:rsidR="008E2A80" w:rsidRPr="00DA7D28">
        <w:rPr>
          <w:rFonts w:ascii="Times New Roman" w:hAnsi="Times New Roman"/>
          <w:sz w:val="24"/>
        </w:rPr>
        <w:t> </w:t>
      </w:r>
      <w:r w:rsidRPr="00DA7D28">
        <w:rPr>
          <w:rFonts w:ascii="Times New Roman" w:hAnsi="Times New Roman"/>
          <w:sz w:val="24"/>
        </w:rPr>
        <w:t>r. (zob. również poniżej sekcję „Audyt”). Trybunał położył szczególny nacisk na potrzebę opracowania wspólnej strategii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cel</w:t>
      </w:r>
      <w:r w:rsidRPr="00DA7D28">
        <w:rPr>
          <w:rFonts w:ascii="Times New Roman" w:hAnsi="Times New Roman"/>
          <w:sz w:val="24"/>
        </w:rPr>
        <w:t>u uruchomienia komponentu humanitarnego</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roz</w:t>
      </w:r>
      <w:r w:rsidRPr="00DA7D28">
        <w:rPr>
          <w:rFonts w:ascii="Times New Roman" w:hAnsi="Times New Roman"/>
          <w:sz w:val="24"/>
        </w:rPr>
        <w:t>wojowego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przygotowania się na przejście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fin</w:t>
      </w:r>
      <w:r w:rsidRPr="00DA7D28">
        <w:rPr>
          <w:rFonts w:ascii="Times New Roman" w:hAnsi="Times New Roman"/>
          <w:sz w:val="24"/>
        </w:rPr>
        <w:t>ansowania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 xml:space="preserve">ach instrumentu na system zapewniany przez organy krajowe oraz zapewnienia trwałości osiągnięć instrumentu również po tym, jak wygaśnie jego okres obowiązywania. </w:t>
      </w:r>
    </w:p>
    <w:p w:rsidR="008A1FAE" w:rsidRPr="00DA7D28" w:rsidRDefault="007172B7" w:rsidP="000D59A1">
      <w:pPr>
        <w:spacing w:after="120"/>
        <w:jc w:val="both"/>
        <w:rPr>
          <w:rFonts w:ascii="Times New Roman" w:hAnsi="Times New Roman"/>
          <w:sz w:val="24"/>
          <w:szCs w:val="24"/>
        </w:rPr>
      </w:pPr>
      <w:r w:rsidRPr="00DA7D28">
        <w:rPr>
          <w:rFonts w:ascii="Times New Roman" w:hAnsi="Times New Roman"/>
          <w:sz w:val="24"/>
        </w:rPr>
        <w:t>Pierwszym działaniem zmierzającym do uruchomienia dodatkowego wsparcia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drugiej transzy instrumentu było przyjęcie przez Komisję</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lip</w:t>
      </w:r>
      <w:r w:rsidRPr="00DA7D28">
        <w:rPr>
          <w:rFonts w:ascii="Times New Roman" w:hAnsi="Times New Roman"/>
          <w:sz w:val="24"/>
        </w:rPr>
        <w:t>cu 2018</w:t>
      </w:r>
      <w:r w:rsidR="008E2A80" w:rsidRPr="00DA7D28">
        <w:rPr>
          <w:rFonts w:ascii="Times New Roman" w:hAnsi="Times New Roman"/>
          <w:sz w:val="24"/>
        </w:rPr>
        <w:t> </w:t>
      </w:r>
      <w:r w:rsidRPr="00DA7D28">
        <w:rPr>
          <w:rFonts w:ascii="Times New Roman" w:hAnsi="Times New Roman"/>
          <w:sz w:val="24"/>
        </w:rPr>
        <w:t>r., po konsultacji</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kom</w:t>
      </w:r>
      <w:r w:rsidRPr="00DA7D28">
        <w:rPr>
          <w:rFonts w:ascii="Times New Roman" w:hAnsi="Times New Roman"/>
          <w:sz w:val="24"/>
        </w:rPr>
        <w:t>itetem zarządzającym Instrumentu Pomocy Przedakcesyjnej (IPA), środka specjalnego na rzecz edukacji</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tego środka przeznaczono 400 mln EUR na stały dostęp uchodźców do wysokiej jakości edukacji</w:t>
      </w:r>
      <w:r w:rsidRPr="00DA7D28">
        <w:rPr>
          <w:rStyle w:val="FootnoteReference"/>
          <w:rFonts w:ascii="Times New Roman" w:hAnsi="Times New Roman"/>
        </w:rPr>
        <w:footnoteReference w:id="34"/>
      </w:r>
      <w:r w:rsidRPr="00DA7D28">
        <w:rPr>
          <w:rFonts w:ascii="Times New Roman" w:hAnsi="Times New Roman"/>
          <w:sz w:val="24"/>
        </w:rPr>
        <w:t>.</w:t>
      </w:r>
      <w:r w:rsidRPr="00DA7D28">
        <w:t xml:space="preserve"> </w:t>
      </w:r>
      <w:r w:rsidRPr="00DA7D28">
        <w:rPr>
          <w:rFonts w:ascii="Times New Roman" w:hAnsi="Times New Roman"/>
          <w:sz w:val="24"/>
        </w:rPr>
        <w:t>Ma on na celu dalszą poprawę dostępu uchodźców mieszkających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tym</w:t>
      </w:r>
      <w:r w:rsidRPr="00DA7D28">
        <w:rPr>
          <w:rFonts w:ascii="Times New Roman" w:hAnsi="Times New Roman"/>
          <w:sz w:val="24"/>
        </w:rPr>
        <w:t xml:space="preserve"> również osób dorosłych, do integracyjnych usług edukacyjnych dobrej jakości oraz wspieranie integracji uchodźców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tureckiego systemu edukacyjnego,</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tym</w:t>
      </w:r>
      <w:r w:rsidRPr="00DA7D28">
        <w:rPr>
          <w:rFonts w:ascii="Times New Roman" w:hAnsi="Times New Roman"/>
          <w:sz w:val="24"/>
        </w:rPr>
        <w:t xml:space="preserve"> samym promowanie spójności społecznej</w:t>
      </w:r>
      <w:r w:rsidR="00DA7D28" w:rsidRPr="00DA7D28">
        <w:rPr>
          <w:rFonts w:ascii="Times New Roman" w:hAnsi="Times New Roman"/>
          <w:sz w:val="24"/>
        </w:rPr>
        <w:t>. U</w:t>
      </w:r>
      <w:r w:rsidR="00DA7D28">
        <w:rPr>
          <w:rFonts w:ascii="Times New Roman" w:hAnsi="Times New Roman"/>
          <w:sz w:val="24"/>
        </w:rPr>
        <w:t> </w:t>
      </w:r>
      <w:r w:rsidR="00DA7D28" w:rsidRPr="00DA7D28">
        <w:rPr>
          <w:rFonts w:ascii="Times New Roman" w:hAnsi="Times New Roman"/>
          <w:sz w:val="24"/>
        </w:rPr>
        <w:t>jeg</w:t>
      </w:r>
      <w:r w:rsidRPr="00DA7D28">
        <w:rPr>
          <w:rFonts w:ascii="Times New Roman" w:hAnsi="Times New Roman"/>
          <w:sz w:val="24"/>
        </w:rPr>
        <w:t>o podstaw leżą wcześniejsze inicjatywy pomocowe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dzi</w:t>
      </w:r>
      <w:r w:rsidRPr="00DA7D28">
        <w:rPr>
          <w:rFonts w:ascii="Times New Roman" w:hAnsi="Times New Roman"/>
          <w:sz w:val="24"/>
        </w:rPr>
        <w:t>edzinie edukacji,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szc</w:t>
      </w:r>
      <w:r w:rsidRPr="00DA7D28">
        <w:rPr>
          <w:rFonts w:ascii="Times New Roman" w:hAnsi="Times New Roman"/>
          <w:sz w:val="24"/>
        </w:rPr>
        <w:t>zególności pierwsza bezpośrednia dotacja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wys</w:t>
      </w:r>
      <w:r w:rsidRPr="00DA7D28">
        <w:rPr>
          <w:rFonts w:ascii="Times New Roman" w:hAnsi="Times New Roman"/>
          <w:sz w:val="24"/>
        </w:rPr>
        <w:t>okości 300 mln EUR dla Ministerstwa Edukacji Narodowej – „Promowanie integracji dzieci syryjskich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 xml:space="preserve">eckim systemie szkolnictwa” (PICTES). </w:t>
      </w:r>
    </w:p>
    <w:p w:rsidR="00DD39EB" w:rsidRPr="00DA7D28" w:rsidRDefault="006C3DED" w:rsidP="00654291">
      <w:pPr>
        <w:spacing w:after="120"/>
        <w:jc w:val="both"/>
        <w:rPr>
          <w:rFonts w:ascii="Times New Roman" w:hAnsi="Times New Roman"/>
          <w:sz w:val="24"/>
          <w:szCs w:val="24"/>
        </w:rPr>
      </w:pPr>
      <w:r w:rsidRPr="00DA7D28">
        <w:rPr>
          <w:rFonts w:ascii="Times New Roman" w:hAnsi="Times New Roman"/>
          <w:sz w:val="24"/>
        </w:rPr>
        <w:t>W listopadzie 2018</w:t>
      </w:r>
      <w:r w:rsidR="008E2A80" w:rsidRPr="00DA7D28">
        <w:rPr>
          <w:rFonts w:ascii="Times New Roman" w:hAnsi="Times New Roman"/>
          <w:sz w:val="24"/>
        </w:rPr>
        <w:t> </w:t>
      </w:r>
      <w:r w:rsidRPr="00DA7D28">
        <w:rPr>
          <w:rFonts w:ascii="Times New Roman" w:hAnsi="Times New Roman"/>
          <w:sz w:val="24"/>
        </w:rPr>
        <w:t>r. środek specjalny zmodyfikowano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cel</w:t>
      </w:r>
      <w:r w:rsidRPr="00DA7D28">
        <w:rPr>
          <w:rFonts w:ascii="Times New Roman" w:hAnsi="Times New Roman"/>
          <w:sz w:val="24"/>
        </w:rPr>
        <w:t>u uwzględnienia dodatkowych funduszy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wys</w:t>
      </w:r>
      <w:r w:rsidRPr="00DA7D28">
        <w:rPr>
          <w:rFonts w:ascii="Times New Roman" w:hAnsi="Times New Roman"/>
          <w:sz w:val="24"/>
        </w:rPr>
        <w:t>okości 100 mln EUR przeznaczonych na niezbędną infrastrukturę szkolną</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cel</w:t>
      </w:r>
      <w:r w:rsidRPr="00DA7D28">
        <w:rPr>
          <w:rFonts w:ascii="Times New Roman" w:hAnsi="Times New Roman"/>
          <w:sz w:val="24"/>
        </w:rPr>
        <w:t>u zaspokojenia potrzeb</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sal lekcyjnych</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prz</w:t>
      </w:r>
      <w:r w:rsidRPr="00DA7D28">
        <w:rPr>
          <w:rFonts w:ascii="Times New Roman" w:hAnsi="Times New Roman"/>
          <w:sz w:val="24"/>
        </w:rPr>
        <w:t>estrzeni edukacyjnej</w:t>
      </w:r>
      <w:r w:rsidRPr="00DA7D28">
        <w:rPr>
          <w:rStyle w:val="FootnoteReference"/>
          <w:rFonts w:ascii="Times New Roman" w:hAnsi="Times New Roman"/>
        </w:rPr>
        <w:footnoteReference w:id="35"/>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gru</w:t>
      </w:r>
      <w:r w:rsidRPr="00DA7D28">
        <w:rPr>
          <w:rFonts w:ascii="Times New Roman" w:hAnsi="Times New Roman"/>
          <w:sz w:val="24"/>
        </w:rPr>
        <w:t>dniu 2018</w:t>
      </w:r>
      <w:r w:rsidR="008E2A80" w:rsidRPr="00DA7D28">
        <w:rPr>
          <w:rFonts w:ascii="Times New Roman" w:hAnsi="Times New Roman"/>
          <w:sz w:val="24"/>
        </w:rPr>
        <w:t> </w:t>
      </w:r>
      <w:r w:rsidRPr="00DA7D28">
        <w:rPr>
          <w:rFonts w:ascii="Times New Roman" w:hAnsi="Times New Roman"/>
          <w:sz w:val="24"/>
        </w:rPr>
        <w:t>r. ogłoszono dwa zaproszenia do wyrażenia zainteresowania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dzi</w:t>
      </w:r>
      <w:r w:rsidRPr="00DA7D28">
        <w:rPr>
          <w:rFonts w:ascii="Times New Roman" w:hAnsi="Times New Roman"/>
          <w:sz w:val="24"/>
        </w:rPr>
        <w:t>edzinie wsparcia społeczno-ekonomicznego</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inf</w:t>
      </w:r>
      <w:r w:rsidRPr="00DA7D28">
        <w:rPr>
          <w:rFonts w:ascii="Times New Roman" w:hAnsi="Times New Roman"/>
          <w:sz w:val="24"/>
        </w:rPr>
        <w:t>rastruktury miejskiej, przeznaczając na te cele odpowiednio 465 mln EUR</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3</w:t>
      </w:r>
      <w:r w:rsidRPr="00DA7D28">
        <w:rPr>
          <w:rFonts w:ascii="Times New Roman" w:hAnsi="Times New Roman"/>
          <w:sz w:val="24"/>
        </w:rPr>
        <w:t>80 mln EUR. Komisja uruchomiła swój plan wdrażania pomocy humanitarnej</w:t>
      </w:r>
      <w:r w:rsidRPr="00DA7D28">
        <w:rPr>
          <w:rStyle w:val="FootnoteReference"/>
          <w:rFonts w:ascii="Times New Roman" w:hAnsi="Times New Roman"/>
        </w:rPr>
        <w:footnoteReference w:id="36"/>
      </w:r>
      <w:r w:rsidRPr="00DA7D28">
        <w:rPr>
          <w:rFonts w:ascii="Times New Roman" w:hAnsi="Times New Roman"/>
          <w:sz w:val="24"/>
        </w:rPr>
        <w:t xml:space="preserve"> na</w:t>
      </w:r>
      <w:r w:rsidR="008E2A80" w:rsidRPr="00DA7D28">
        <w:rPr>
          <w:rFonts w:ascii="Times New Roman" w:hAnsi="Times New Roman"/>
          <w:sz w:val="24"/>
        </w:rPr>
        <w:t> </w:t>
      </w:r>
      <w:r w:rsidRPr="00DA7D28">
        <w:rPr>
          <w:rFonts w:ascii="Times New Roman" w:hAnsi="Times New Roman"/>
          <w:sz w:val="24"/>
        </w:rPr>
        <w:t>2018</w:t>
      </w:r>
      <w:r w:rsidR="008E2A80" w:rsidRPr="00DA7D28">
        <w:rPr>
          <w:rFonts w:ascii="Times New Roman" w:hAnsi="Times New Roman"/>
          <w:sz w:val="24"/>
        </w:rPr>
        <w:t> </w:t>
      </w:r>
      <w:r w:rsidRPr="00DA7D28">
        <w:rPr>
          <w:rFonts w:ascii="Times New Roman" w:hAnsi="Times New Roman"/>
          <w:sz w:val="24"/>
        </w:rPr>
        <w:t>r.,</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któ</w:t>
      </w:r>
      <w:r w:rsidRPr="00DA7D28">
        <w:rPr>
          <w:rFonts w:ascii="Times New Roman" w:hAnsi="Times New Roman"/>
          <w:sz w:val="24"/>
        </w:rPr>
        <w:t>rym wskazała potencjalnych partnerów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dos</w:t>
      </w:r>
      <w:r w:rsidRPr="00DA7D28">
        <w:rPr>
          <w:rFonts w:ascii="Times New Roman" w:hAnsi="Times New Roman"/>
          <w:sz w:val="24"/>
        </w:rPr>
        <w:t>tępne fundusze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komponentu humanitarnego instrumentu. Równolegle kontynuowano przygotowania do dalszej pomocy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obs</w:t>
      </w:r>
      <w:r w:rsidRPr="00DA7D28">
        <w:rPr>
          <w:rFonts w:ascii="Times New Roman" w:hAnsi="Times New Roman"/>
          <w:sz w:val="24"/>
        </w:rPr>
        <w:t>zarach zdrowia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wsp</w:t>
      </w:r>
      <w:r w:rsidRPr="00DA7D28">
        <w:rPr>
          <w:rFonts w:ascii="Times New Roman" w:hAnsi="Times New Roman"/>
          <w:sz w:val="24"/>
        </w:rPr>
        <w:t>arcia społeczno-ekonomicznego, co powinno zostać potwierdzone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dru</w:t>
      </w:r>
      <w:r w:rsidRPr="00DA7D28">
        <w:rPr>
          <w:rFonts w:ascii="Times New Roman" w:hAnsi="Times New Roman"/>
          <w:sz w:val="24"/>
        </w:rPr>
        <w:t>gim kwartale 2019</w:t>
      </w:r>
      <w:r w:rsidR="008E2A80" w:rsidRPr="00DA7D28">
        <w:rPr>
          <w:rFonts w:ascii="Times New Roman" w:hAnsi="Times New Roman"/>
          <w:sz w:val="24"/>
        </w:rPr>
        <w:t> </w:t>
      </w:r>
      <w:r w:rsidRPr="00DA7D28">
        <w:rPr>
          <w:rFonts w:ascii="Times New Roman" w:hAnsi="Times New Roman"/>
          <w:sz w:val="24"/>
        </w:rPr>
        <w:t>r., ze szczególnym naciskiem na zapewnienie przejścia od wsparcia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pos</w:t>
      </w:r>
      <w:r w:rsidRPr="00DA7D28">
        <w:rPr>
          <w:rFonts w:ascii="Times New Roman" w:hAnsi="Times New Roman"/>
          <w:sz w:val="24"/>
        </w:rPr>
        <w:t>taci transferu środków pieniężnych do samodzielności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akt</w:t>
      </w:r>
      <w:r w:rsidRPr="00DA7D28">
        <w:rPr>
          <w:rFonts w:ascii="Times New Roman" w:hAnsi="Times New Roman"/>
          <w:sz w:val="24"/>
        </w:rPr>
        <w:t>ywnego udziału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ryn</w:t>
      </w:r>
      <w:r w:rsidRPr="00DA7D28">
        <w:rPr>
          <w:rFonts w:ascii="Times New Roman" w:hAnsi="Times New Roman"/>
          <w:sz w:val="24"/>
        </w:rPr>
        <w:t>ku pracy.</w:t>
      </w:r>
      <w:r w:rsidR="00464275" w:rsidRPr="00DA7D28">
        <w:rPr>
          <w:rFonts w:ascii="Times New Roman" w:hAnsi="Times New Roman"/>
          <w:sz w:val="24"/>
        </w:rPr>
        <w:t xml:space="preserve"> </w:t>
      </w:r>
    </w:p>
    <w:p w:rsidR="00E90063" w:rsidRPr="00DA7D28" w:rsidRDefault="00BE7F2C">
      <w:pPr>
        <w:pStyle w:val="Heading1"/>
        <w:jc w:val="both"/>
        <w:rPr>
          <w:rFonts w:eastAsia="Times New Roman"/>
          <w:szCs w:val="24"/>
        </w:rPr>
      </w:pPr>
      <w:bookmarkStart w:id="32" w:name="_Toc3193666"/>
      <w:bookmarkStart w:id="33" w:name="_Toc4776701"/>
      <w:r w:rsidRPr="00DA7D28">
        <w:t>Wdrażanie</w:t>
      </w:r>
      <w:bookmarkEnd w:id="26"/>
      <w:r w:rsidRPr="00DA7D28">
        <w:t xml:space="preserve"> instrumentu</w:t>
      </w:r>
      <w:bookmarkEnd w:id="29"/>
      <w:bookmarkEnd w:id="32"/>
      <w:bookmarkEnd w:id="33"/>
    </w:p>
    <w:p w:rsidR="00E90063" w:rsidRPr="00DA7D28" w:rsidRDefault="00BE7F2C" w:rsidP="00656B52">
      <w:pPr>
        <w:keepNext/>
        <w:spacing w:after="120"/>
        <w:jc w:val="both"/>
        <w:rPr>
          <w:rFonts w:ascii="Times New Roman" w:eastAsia="Times New Roman" w:hAnsi="Times New Roman"/>
          <w:sz w:val="24"/>
          <w:szCs w:val="24"/>
        </w:rPr>
      </w:pPr>
      <w:bookmarkStart w:id="34" w:name="_Toc473205695"/>
      <w:r w:rsidRPr="00DA7D28">
        <w:rPr>
          <w:rFonts w:ascii="Times New Roman" w:hAnsi="Times New Roman"/>
          <w:sz w:val="24"/>
        </w:rPr>
        <w:t>Instrument jest wdrażany zarówno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for</w:t>
      </w:r>
      <w:r w:rsidRPr="00DA7D28">
        <w:rPr>
          <w:rFonts w:ascii="Times New Roman" w:hAnsi="Times New Roman"/>
          <w:sz w:val="24"/>
        </w:rPr>
        <w:t>mie pomocy humanitarnej, jak</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pom</w:t>
      </w:r>
      <w:r w:rsidRPr="00DA7D28">
        <w:rPr>
          <w:rFonts w:ascii="Times New Roman" w:hAnsi="Times New Roman"/>
          <w:sz w:val="24"/>
        </w:rPr>
        <w:t>ocy rozwojowej, przy czym</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pierwszej transzy na komponenty te przeznaczono odpowiednio około 1,4 mld EUR</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1</w:t>
      </w:r>
      <w:r w:rsidRPr="00DA7D28">
        <w:rPr>
          <w:rFonts w:ascii="Times New Roman" w:hAnsi="Times New Roman"/>
          <w:sz w:val="24"/>
        </w:rPr>
        <w:t>,6 mld EUR.</w:t>
      </w:r>
    </w:p>
    <w:p w:rsidR="00E90063"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Pomoc humanitarna służy wspieraniu uchodźców znajdujących się</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naj</w:t>
      </w:r>
      <w:r w:rsidRPr="00DA7D28">
        <w:rPr>
          <w:rFonts w:ascii="Times New Roman" w:hAnsi="Times New Roman"/>
          <w:sz w:val="24"/>
        </w:rPr>
        <w:t>gorszej sytuacji poprzez zapewnianie przewidywalnych</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god</w:t>
      </w:r>
      <w:r w:rsidRPr="00DA7D28">
        <w:rPr>
          <w:rFonts w:ascii="Times New Roman" w:hAnsi="Times New Roman"/>
          <w:sz w:val="24"/>
        </w:rPr>
        <w:t>nych środków wsparcia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cel</w:t>
      </w:r>
      <w:r w:rsidRPr="00DA7D28">
        <w:rPr>
          <w:rFonts w:ascii="Times New Roman" w:hAnsi="Times New Roman"/>
          <w:sz w:val="24"/>
        </w:rPr>
        <w:t>u zaspokojenia ich podstawowych potrzeb oraz zagwarantowania im ochrony. Pomaga ona również wyeliminować luki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świ</w:t>
      </w:r>
      <w:r w:rsidRPr="00DA7D28">
        <w:rPr>
          <w:rFonts w:ascii="Times New Roman" w:hAnsi="Times New Roman"/>
          <w:sz w:val="24"/>
        </w:rPr>
        <w:t>adczeniu usług za pośrednictwem wyspecjalizowanych agencji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org</w:t>
      </w:r>
      <w:r w:rsidRPr="00DA7D28">
        <w:rPr>
          <w:rFonts w:ascii="Times New Roman" w:hAnsi="Times New Roman"/>
          <w:sz w:val="24"/>
        </w:rPr>
        <w:t>anizacji partnerskich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obs</w:t>
      </w:r>
      <w:r w:rsidRPr="00DA7D28">
        <w:rPr>
          <w:rFonts w:ascii="Times New Roman" w:hAnsi="Times New Roman"/>
          <w:sz w:val="24"/>
        </w:rPr>
        <w:t>zarze zdrowia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edu</w:t>
      </w:r>
      <w:r w:rsidRPr="00DA7D28">
        <w:rPr>
          <w:rFonts w:ascii="Times New Roman" w:hAnsi="Times New Roman"/>
          <w:sz w:val="24"/>
        </w:rPr>
        <w:t>kacji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syt</w:t>
      </w:r>
      <w:r w:rsidRPr="00DA7D28">
        <w:rPr>
          <w:rFonts w:ascii="Times New Roman" w:hAnsi="Times New Roman"/>
          <w:sz w:val="24"/>
        </w:rPr>
        <w:t>uacjach nadzwyczajnych.</w:t>
      </w:r>
    </w:p>
    <w:p w:rsidR="00E90063" w:rsidRPr="00DA7D28" w:rsidRDefault="00400919">
      <w:pPr>
        <w:spacing w:after="120"/>
        <w:jc w:val="both"/>
        <w:rPr>
          <w:rFonts w:ascii="Times New Roman" w:eastAsia="Times New Roman" w:hAnsi="Times New Roman"/>
          <w:sz w:val="24"/>
          <w:szCs w:val="24"/>
        </w:rPr>
      </w:pPr>
      <w:r w:rsidRPr="00DA7D28">
        <w:rPr>
          <w:rFonts w:ascii="Times New Roman" w:hAnsi="Times New Roman"/>
          <w:sz w:val="24"/>
        </w:rPr>
        <w:t>Pomoc rozwojowa służy natomiast zaspokajaniu bardziej długoterminowych potrzeb</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dzi</w:t>
      </w:r>
      <w:r w:rsidRPr="00DA7D28">
        <w:rPr>
          <w:rFonts w:ascii="Times New Roman" w:hAnsi="Times New Roman"/>
          <w:sz w:val="24"/>
        </w:rPr>
        <w:t>edzinie zdrowia, edukacji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roz</w:t>
      </w:r>
      <w:r w:rsidRPr="00DA7D28">
        <w:rPr>
          <w:rFonts w:ascii="Times New Roman" w:hAnsi="Times New Roman"/>
          <w:sz w:val="24"/>
        </w:rPr>
        <w:t>woju społeczno-ekonomicznego uchodźców, zwłaszcza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dostępu do usług publicznych</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źró</w:t>
      </w:r>
      <w:r w:rsidRPr="00DA7D28">
        <w:rPr>
          <w:rFonts w:ascii="Times New Roman" w:hAnsi="Times New Roman"/>
          <w:sz w:val="24"/>
        </w:rPr>
        <w:t>deł utrzymania. Koncentruje się również na grupach szczególnie wrażliwych</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poz</w:t>
      </w:r>
      <w:r w:rsidRPr="00DA7D28">
        <w:rPr>
          <w:rFonts w:ascii="Times New Roman" w:hAnsi="Times New Roman"/>
          <w:sz w:val="24"/>
        </w:rPr>
        <w:t>wala uwzględnić aspekt płci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poszczególnych interwencji, np. poprzez ochronę kobiet</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dzi</w:t>
      </w:r>
      <w:r w:rsidRPr="00DA7D28">
        <w:rPr>
          <w:rFonts w:ascii="Times New Roman" w:hAnsi="Times New Roman"/>
          <w:sz w:val="24"/>
        </w:rPr>
        <w:t>ewcząt przed przemocą seksualną</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prz</w:t>
      </w:r>
      <w:r w:rsidRPr="00DA7D28">
        <w:rPr>
          <w:rFonts w:ascii="Times New Roman" w:hAnsi="Times New Roman"/>
          <w:sz w:val="24"/>
        </w:rPr>
        <w:t>emocą ze względu na płeć oraz zapewnienie lepszego dostępu do opieki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zdrowia seksualnego</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rep</w:t>
      </w:r>
      <w:r w:rsidRPr="00DA7D28">
        <w:rPr>
          <w:rFonts w:ascii="Times New Roman" w:hAnsi="Times New Roman"/>
          <w:sz w:val="24"/>
        </w:rPr>
        <w:t xml:space="preserve">rodukcyjnego. </w:t>
      </w:r>
    </w:p>
    <w:p w:rsidR="00E90063"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Szczególną uwagę zwraca się na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oso</w:t>
      </w:r>
      <w:r w:rsidRPr="00DA7D28">
        <w:rPr>
          <w:rFonts w:ascii="Times New Roman" w:hAnsi="Times New Roman"/>
          <w:sz w:val="24"/>
        </w:rPr>
        <w:t>by ubiegające się</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azy</w:t>
      </w:r>
      <w:r w:rsidRPr="00DA7D28">
        <w:rPr>
          <w:rFonts w:ascii="Times New Roman" w:hAnsi="Times New Roman"/>
          <w:sz w:val="24"/>
        </w:rPr>
        <w:t>l pochodzące spoza Syrii. Podczas interwencji podejmowanych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 xml:space="preserve">ach instrumentu zawsze dąży się do angażowania lokalnych społeczności przyjmujących uchodźców. </w:t>
      </w:r>
    </w:p>
    <w:p w:rsidR="00C03954" w:rsidRPr="00DA7D28" w:rsidRDefault="00C03954" w:rsidP="00EC07AB">
      <w:pPr>
        <w:spacing w:after="120"/>
        <w:jc w:val="both"/>
        <w:rPr>
          <w:rFonts w:ascii="Times New Roman" w:eastAsia="Times New Roman" w:hAnsi="Times New Roman"/>
          <w:sz w:val="24"/>
          <w:szCs w:val="24"/>
        </w:rPr>
      </w:pPr>
      <w:r w:rsidRPr="00DA7D28">
        <w:rPr>
          <w:rFonts w:ascii="Times New Roman" w:hAnsi="Times New Roman"/>
          <w:sz w:val="24"/>
        </w:rPr>
        <w:t>W ramach pierwszej transzy instrumentu na lata 2016–2017 zaciągnięto zobowiązania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pod</w:t>
      </w:r>
      <w:r w:rsidRPr="00DA7D28">
        <w:rPr>
          <w:rFonts w:ascii="Times New Roman" w:hAnsi="Times New Roman"/>
          <w:sz w:val="24"/>
        </w:rPr>
        <w:t>pisano umowy na całą pulę środków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wys</w:t>
      </w:r>
      <w:r w:rsidRPr="00DA7D28">
        <w:rPr>
          <w:rFonts w:ascii="Times New Roman" w:hAnsi="Times New Roman"/>
          <w:sz w:val="24"/>
        </w:rPr>
        <w:t>okości 3 mld EUR</w:t>
      </w:r>
      <w:r w:rsidRPr="00DA7D28">
        <w:rPr>
          <w:rStyle w:val="FootnoteReference"/>
          <w:rFonts w:ascii="Times New Roman" w:hAnsi="Times New Roman"/>
        </w:rPr>
        <w:footnoteReference w:id="37"/>
      </w:r>
      <w:r w:rsidRPr="00DA7D28">
        <w:rPr>
          <w:rFonts w:ascii="Times New Roman" w:hAnsi="Times New Roman"/>
          <w:sz w:val="24"/>
        </w:rPr>
        <w:t>. Uruchomiono przy tym</w:t>
      </w:r>
      <w:r w:rsidR="008E2A80" w:rsidRPr="00DA7D28">
        <w:rPr>
          <w:rFonts w:ascii="Times New Roman" w:hAnsi="Times New Roman"/>
          <w:sz w:val="24"/>
        </w:rPr>
        <w:t> </w:t>
      </w:r>
      <w:r w:rsidRPr="00DA7D28">
        <w:rPr>
          <w:rFonts w:ascii="Times New Roman" w:hAnsi="Times New Roman"/>
          <w:sz w:val="24"/>
        </w:rPr>
        <w:t>72 projekty, które przyniosły wymierne rezultaty. Do końca 2018</w:t>
      </w:r>
      <w:r w:rsidR="008E2A80" w:rsidRPr="00DA7D28">
        <w:rPr>
          <w:rFonts w:ascii="Times New Roman" w:hAnsi="Times New Roman"/>
          <w:sz w:val="24"/>
        </w:rPr>
        <w:t> </w:t>
      </w:r>
      <w:r w:rsidRPr="00DA7D28">
        <w:rPr>
          <w:rFonts w:ascii="Times New Roman" w:hAnsi="Times New Roman"/>
          <w:sz w:val="24"/>
        </w:rPr>
        <w:t>r. ze wspomnianej kwoty 3 mld EUR wypłacono ponad 2,072 mld EUR, przy czym pozostała kwota zostanie wypłacona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tra</w:t>
      </w:r>
      <w:r w:rsidRPr="00DA7D28">
        <w:rPr>
          <w:rFonts w:ascii="Times New Roman" w:hAnsi="Times New Roman"/>
          <w:sz w:val="24"/>
        </w:rPr>
        <w:t>kcie realizacji projektów, co potrwa do połowy 2021</w:t>
      </w:r>
      <w:r w:rsidR="008E2A80" w:rsidRPr="00DA7D28">
        <w:rPr>
          <w:rFonts w:ascii="Times New Roman" w:hAnsi="Times New Roman"/>
          <w:sz w:val="24"/>
        </w:rPr>
        <w:t> </w:t>
      </w:r>
      <w:r w:rsidRPr="00DA7D28">
        <w:rPr>
          <w:rFonts w:ascii="Times New Roman" w:hAnsi="Times New Roman"/>
          <w:sz w:val="24"/>
        </w:rPr>
        <w:t>r.</w:t>
      </w:r>
    </w:p>
    <w:p w:rsidR="00E90063" w:rsidRPr="00DA7D28" w:rsidRDefault="00BE7F2C" w:rsidP="00EC07AB">
      <w:pPr>
        <w:spacing w:after="120"/>
        <w:jc w:val="both"/>
        <w:rPr>
          <w:rFonts w:ascii="Times New Roman" w:eastAsia="Times New Roman" w:hAnsi="Times New Roman"/>
          <w:sz w:val="24"/>
          <w:szCs w:val="24"/>
        </w:rPr>
      </w:pPr>
      <w:r w:rsidRPr="00DA7D28">
        <w:rPr>
          <w:rFonts w:ascii="Times New Roman" w:hAnsi="Times New Roman"/>
          <w:sz w:val="24"/>
        </w:rPr>
        <w:t>Szczegółowe informacje można znaleźć</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tab</w:t>
      </w:r>
      <w:r w:rsidRPr="00DA7D28">
        <w:rPr>
          <w:rFonts w:ascii="Times New Roman" w:hAnsi="Times New Roman"/>
          <w:sz w:val="24"/>
        </w:rPr>
        <w:t>eli projektów zamieszczonej</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int</w:t>
      </w:r>
      <w:r w:rsidRPr="00DA7D28">
        <w:rPr>
          <w:rFonts w:ascii="Times New Roman" w:hAnsi="Times New Roman"/>
          <w:sz w:val="24"/>
        </w:rPr>
        <w:t>ernecie</w:t>
      </w:r>
      <w:r w:rsidRPr="00DA7D28">
        <w:rPr>
          <w:rStyle w:val="FootnoteReference"/>
          <w:rFonts w:ascii="Times New Roman" w:hAnsi="Times New Roman"/>
          <w:sz w:val="24"/>
        </w:rPr>
        <w:footnoteReference w:id="38"/>
      </w:r>
      <w:r w:rsidRPr="00DA7D28">
        <w:rPr>
          <w:rFonts w:ascii="Times New Roman" w:hAnsi="Times New Roman"/>
          <w:sz w:val="24"/>
        </w:rPr>
        <w:t>.</w:t>
      </w:r>
    </w:p>
    <w:p w:rsidR="00BC4DF1" w:rsidRPr="00DA7D28" w:rsidRDefault="006C3DED" w:rsidP="00EC07AB">
      <w:pPr>
        <w:spacing w:after="120"/>
        <w:jc w:val="both"/>
        <w:rPr>
          <w:rFonts w:ascii="Times New Roman" w:eastAsia="Times New Roman" w:hAnsi="Times New Roman"/>
          <w:sz w:val="24"/>
          <w:szCs w:val="24"/>
        </w:rPr>
      </w:pPr>
      <w:r w:rsidRPr="00DA7D28">
        <w:rPr>
          <w:rFonts w:ascii="Times New Roman" w:hAnsi="Times New Roman"/>
          <w:sz w:val="24"/>
        </w:rPr>
        <w:t>Co się tyczy kwoty 3 mld EUR przeznaczonej na lata 2018–2019</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tra</w:t>
      </w:r>
      <w:r w:rsidRPr="00DA7D28">
        <w:rPr>
          <w:rFonts w:ascii="Times New Roman" w:hAnsi="Times New Roman"/>
          <w:sz w:val="24"/>
        </w:rPr>
        <w:t>mach drugiej transzy, do lutego 2019</w:t>
      </w:r>
      <w:r w:rsidR="008E2A80" w:rsidRPr="00DA7D28">
        <w:rPr>
          <w:rFonts w:ascii="Times New Roman" w:hAnsi="Times New Roman"/>
          <w:sz w:val="24"/>
        </w:rPr>
        <w:t> </w:t>
      </w:r>
      <w:r w:rsidRPr="00DA7D28">
        <w:rPr>
          <w:rFonts w:ascii="Times New Roman" w:hAnsi="Times New Roman"/>
          <w:sz w:val="24"/>
        </w:rPr>
        <w:t>r. zaciągnięto zobowiązania na kwotę 1,2 mld EUR,</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cze</w:t>
      </w:r>
      <w:r w:rsidRPr="00DA7D28">
        <w:rPr>
          <w:rFonts w:ascii="Times New Roman" w:hAnsi="Times New Roman"/>
          <w:sz w:val="24"/>
        </w:rPr>
        <w:t>go do końca 2018</w:t>
      </w:r>
      <w:r w:rsidR="008E2A80" w:rsidRPr="00DA7D28">
        <w:rPr>
          <w:rFonts w:ascii="Times New Roman" w:hAnsi="Times New Roman"/>
          <w:sz w:val="24"/>
        </w:rPr>
        <w:t> </w:t>
      </w:r>
      <w:r w:rsidRPr="00DA7D28">
        <w:rPr>
          <w:rFonts w:ascii="Times New Roman" w:hAnsi="Times New Roman"/>
          <w:sz w:val="24"/>
        </w:rPr>
        <w:t>r. zakontraktowano 450 mln EUR</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wyp</w:t>
      </w:r>
      <w:r w:rsidRPr="00DA7D28">
        <w:rPr>
          <w:rFonts w:ascii="Times New Roman" w:hAnsi="Times New Roman"/>
          <w:sz w:val="24"/>
        </w:rPr>
        <w:t>łacono 150 mln EUR.</w:t>
      </w:r>
    </w:p>
    <w:p w:rsidR="00325AAE" w:rsidRPr="00DA7D28" w:rsidRDefault="00BD0487" w:rsidP="00EC07AB">
      <w:pPr>
        <w:spacing w:after="120"/>
        <w:jc w:val="both"/>
        <w:rPr>
          <w:rFonts w:ascii="Times New Roman" w:eastAsia="Times New Roman" w:hAnsi="Times New Roman"/>
          <w:sz w:val="24"/>
          <w:szCs w:val="24"/>
        </w:rPr>
      </w:pPr>
      <w:r w:rsidRPr="00DA7D28">
        <w:rPr>
          <w:rFonts w:ascii="Times New Roman" w:hAnsi="Times New Roman"/>
          <w:sz w:val="24"/>
        </w:rPr>
        <w:t>Wsparcie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udzielane jest</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cał</w:t>
      </w:r>
      <w:r w:rsidRPr="00DA7D28">
        <w:rPr>
          <w:rFonts w:ascii="Times New Roman" w:hAnsi="Times New Roman"/>
          <w:sz w:val="24"/>
        </w:rPr>
        <w:t>ej Turcji, jednak najintensywniej</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dzi</w:t>
      </w:r>
      <w:r w:rsidRPr="00DA7D28">
        <w:rPr>
          <w:rFonts w:ascii="Times New Roman" w:hAnsi="Times New Roman"/>
          <w:sz w:val="24"/>
        </w:rPr>
        <w:t>esięciu prowincjach najbardziej dotkniętych problemem migracji, do których należą: Stambuł, Sanliurfa, Hatay, Gaziantep, Mersin, Adana, Bursa, Kilis, Izmir oraz Kahramanmaras</w:t>
      </w:r>
      <w:r w:rsidRPr="00DA7D28">
        <w:rPr>
          <w:rStyle w:val="FootnoteReference"/>
          <w:rFonts w:ascii="Times New Roman" w:hAnsi="Times New Roman"/>
          <w:sz w:val="24"/>
        </w:rPr>
        <w:footnoteReference w:id="39"/>
      </w:r>
      <w:r w:rsidRPr="00DA7D28">
        <w:rPr>
          <w:rFonts w:ascii="Times New Roman" w:hAnsi="Times New Roman"/>
          <w:sz w:val="24"/>
        </w:rPr>
        <w:t>. Pomoc trafia zazwyczaj do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mig</w:t>
      </w:r>
      <w:r w:rsidRPr="00DA7D28">
        <w:rPr>
          <w:rFonts w:ascii="Times New Roman" w:hAnsi="Times New Roman"/>
          <w:sz w:val="24"/>
        </w:rPr>
        <w:t>rantów poza terenem obozów.</w:t>
      </w:r>
    </w:p>
    <w:p w:rsidR="00E90063" w:rsidRPr="00DA7D28" w:rsidRDefault="00BC4DF1" w:rsidP="00BC6868">
      <w:pPr>
        <w:pStyle w:val="Heading2"/>
        <w:rPr>
          <w:rFonts w:eastAsia="Times New Roman"/>
          <w:b w:val="0"/>
          <w:szCs w:val="24"/>
        </w:rPr>
      </w:pPr>
      <w:bookmarkStart w:id="35" w:name="_Toc474488798"/>
      <w:bookmarkStart w:id="36" w:name="_Toc3193667"/>
      <w:bookmarkStart w:id="37" w:name="_Toc4776702"/>
      <w:r w:rsidRPr="00DA7D28">
        <w:t>5.1 Pomoc humanitarna</w:t>
      </w:r>
      <w:bookmarkEnd w:id="34"/>
      <w:bookmarkEnd w:id="35"/>
      <w:bookmarkEnd w:id="36"/>
      <w:bookmarkEnd w:id="37"/>
    </w:p>
    <w:p w:rsidR="00E90063" w:rsidRPr="00DA7D28" w:rsidRDefault="00BE7F2C" w:rsidP="00EC07AB">
      <w:pPr>
        <w:spacing w:after="120"/>
        <w:jc w:val="both"/>
        <w:rPr>
          <w:rFonts w:ascii="Times New Roman" w:eastAsia="Times New Roman" w:hAnsi="Times New Roman"/>
          <w:sz w:val="24"/>
          <w:szCs w:val="24"/>
        </w:rPr>
      </w:pPr>
      <w:r w:rsidRPr="00DA7D28">
        <w:rPr>
          <w:rFonts w:ascii="Times New Roman" w:hAnsi="Times New Roman"/>
          <w:sz w:val="24"/>
        </w:rPr>
        <w:t>Pomoc humanitarna UE jest świadczona zgodnie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Kon</w:t>
      </w:r>
      <w:r w:rsidRPr="00DA7D28">
        <w:rPr>
          <w:rFonts w:ascii="Times New Roman" w:hAnsi="Times New Roman"/>
          <w:sz w:val="24"/>
        </w:rPr>
        <w:t>sensusem europejskim</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spr</w:t>
      </w:r>
      <w:r w:rsidRPr="00DA7D28">
        <w:rPr>
          <w:rFonts w:ascii="Times New Roman" w:hAnsi="Times New Roman"/>
          <w:sz w:val="24"/>
        </w:rPr>
        <w:t>awie pomocy humanitarnej</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007</w:t>
      </w:r>
      <w:r w:rsidR="008E2A80" w:rsidRPr="00DA7D28">
        <w:rPr>
          <w:rFonts w:ascii="Times New Roman" w:hAnsi="Times New Roman"/>
          <w:sz w:val="24"/>
        </w:rPr>
        <w:t> </w:t>
      </w:r>
      <w:r w:rsidRPr="00DA7D28">
        <w:rPr>
          <w:rFonts w:ascii="Times New Roman" w:hAnsi="Times New Roman"/>
          <w:sz w:val="24"/>
        </w:rPr>
        <w:t>r.</w:t>
      </w:r>
      <w:r w:rsidRPr="00DA7D28">
        <w:rPr>
          <w:rStyle w:val="FootnoteReference"/>
          <w:rFonts w:ascii="Times New Roman" w:hAnsi="Times New Roman"/>
          <w:sz w:val="24"/>
        </w:rPr>
        <w:footnoteReference w:id="40"/>
      </w:r>
      <w:r w:rsidRPr="00DA7D28">
        <w:rPr>
          <w:rFonts w:ascii="Times New Roman" w:hAnsi="Times New Roman"/>
          <w:sz w:val="24"/>
        </w:rPr>
        <w:t>, który stanowi, że UE jako podmiot prowadzący działania humanitarne przestrzega zasad: humanitaryzmu, neutralności, bezstronności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nie</w:t>
      </w:r>
      <w:r w:rsidRPr="00DA7D28">
        <w:rPr>
          <w:rFonts w:ascii="Times New Roman" w:hAnsi="Times New Roman"/>
          <w:sz w:val="24"/>
        </w:rPr>
        <w:t>zależności, jak określono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art</w:t>
      </w:r>
      <w:r w:rsidRPr="00DA7D28">
        <w:rPr>
          <w:rFonts w:ascii="Times New Roman" w:hAnsi="Times New Roman"/>
          <w:sz w:val="24"/>
        </w:rPr>
        <w:t>. 214 TFUE oraz</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roz</w:t>
      </w:r>
      <w:r w:rsidRPr="00DA7D28">
        <w:rPr>
          <w:rFonts w:ascii="Times New Roman" w:hAnsi="Times New Roman"/>
          <w:sz w:val="24"/>
        </w:rPr>
        <w:t>porządzeniu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spr</w:t>
      </w:r>
      <w:r w:rsidRPr="00DA7D28">
        <w:rPr>
          <w:rFonts w:ascii="Times New Roman" w:hAnsi="Times New Roman"/>
          <w:sz w:val="24"/>
        </w:rPr>
        <w:t>awie pomocy humanitarnej (nr</w:t>
      </w:r>
      <w:r w:rsidR="008E2A80" w:rsidRPr="00DA7D28">
        <w:rPr>
          <w:rFonts w:ascii="Times New Roman" w:hAnsi="Times New Roman"/>
          <w:sz w:val="24"/>
        </w:rPr>
        <w:t> </w:t>
      </w:r>
      <w:r w:rsidRPr="00DA7D28">
        <w:rPr>
          <w:rFonts w:ascii="Times New Roman" w:hAnsi="Times New Roman"/>
          <w:sz w:val="24"/>
        </w:rPr>
        <w:t>1257/96)</w:t>
      </w:r>
      <w:r w:rsidRPr="00DA7D28">
        <w:rPr>
          <w:rStyle w:val="FootnoteReference"/>
          <w:rFonts w:ascii="Times New Roman" w:hAnsi="Times New Roman"/>
          <w:sz w:val="24"/>
        </w:rPr>
        <w:footnoteReference w:id="41"/>
      </w:r>
      <w:r w:rsidRPr="00DA7D28">
        <w:rPr>
          <w:rFonts w:ascii="Times New Roman" w:hAnsi="Times New Roman"/>
          <w:sz w:val="24"/>
        </w:rPr>
        <w:t xml:space="preserve"> </w:t>
      </w:r>
      <w:r w:rsidRPr="00DA7D28">
        <w:rPr>
          <w:rStyle w:val="FootnoteReference"/>
          <w:rFonts w:ascii="Times New Roman" w:hAnsi="Times New Roman"/>
          <w:sz w:val="24"/>
        </w:rPr>
        <w:footnoteReference w:id="42"/>
      </w:r>
      <w:r w:rsidRPr="00DA7D28">
        <w:rPr>
          <w:rFonts w:ascii="Times New Roman" w:hAnsi="Times New Roman"/>
          <w:sz w:val="24"/>
        </w:rPr>
        <w:t xml:space="preserve">. </w:t>
      </w:r>
    </w:p>
    <w:p w:rsidR="0033748D" w:rsidRPr="00DA7D28" w:rsidRDefault="0033748D" w:rsidP="00654291">
      <w:pPr>
        <w:spacing w:after="120"/>
        <w:jc w:val="both"/>
        <w:rPr>
          <w:rFonts w:ascii="Times New Roman" w:eastAsia="Times New Roman" w:hAnsi="Times New Roman"/>
          <w:sz w:val="24"/>
          <w:szCs w:val="24"/>
        </w:rPr>
      </w:pPr>
      <w:r w:rsidRPr="00DA7D28">
        <w:rPr>
          <w:rFonts w:ascii="Times New Roman" w:hAnsi="Times New Roman"/>
          <w:sz w:val="24"/>
        </w:rPr>
        <w:t>W ramach pierwszej transzy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komponentu humanitarnego instrumentu przydzielono kwotę 1,389 mld EUR</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pod</w:t>
      </w:r>
      <w:r w:rsidRPr="00DA7D28">
        <w:rPr>
          <w:rFonts w:ascii="Times New Roman" w:hAnsi="Times New Roman"/>
          <w:sz w:val="24"/>
        </w:rPr>
        <w:t>pisano umowy</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1</w:t>
      </w:r>
      <w:r w:rsidRPr="00DA7D28">
        <w:rPr>
          <w:rFonts w:ascii="Times New Roman" w:hAnsi="Times New Roman"/>
          <w:sz w:val="24"/>
        </w:rPr>
        <w:t>9 podmiotami partnerskimi na wszystkie 45 projektów</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resu pomocy humanitarnej, które mają na celu zaspokojenie podstawowych potrzeb uchodźców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 znajdujących się</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naj</w:t>
      </w:r>
      <w:r w:rsidRPr="00DA7D28">
        <w:rPr>
          <w:rFonts w:ascii="Times New Roman" w:hAnsi="Times New Roman"/>
          <w:sz w:val="24"/>
        </w:rPr>
        <w:t>gorszej sytuacji oraz zapewnienie im ochrony</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dos</w:t>
      </w:r>
      <w:r w:rsidRPr="00DA7D28">
        <w:rPr>
          <w:rFonts w:ascii="Times New Roman" w:hAnsi="Times New Roman"/>
          <w:sz w:val="24"/>
        </w:rPr>
        <w:t>tępu do edukacji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opi</w:t>
      </w:r>
      <w:r w:rsidRPr="00DA7D28">
        <w:rPr>
          <w:rFonts w:ascii="Times New Roman" w:hAnsi="Times New Roman"/>
          <w:sz w:val="24"/>
        </w:rPr>
        <w:t>eki zdrowotnej. Jak dotąd wypłacono kwotę 1,11 mld EUR,</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cze</w:t>
      </w:r>
      <w:r w:rsidRPr="00DA7D28">
        <w:rPr>
          <w:rFonts w:ascii="Times New Roman" w:hAnsi="Times New Roman"/>
          <w:sz w:val="24"/>
        </w:rPr>
        <w:t>go skorzystało ogółem 1 561 940 uchodźców</w:t>
      </w:r>
      <w:r w:rsidRPr="00DA7D28">
        <w:rPr>
          <w:rFonts w:ascii="Times New Roman" w:hAnsi="Times New Roman"/>
          <w:sz w:val="24"/>
          <w:vertAlign w:val="superscript"/>
        </w:rPr>
        <w:footnoteReference w:id="43"/>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drugiej transzy przeznaczono dotychczas 690 mln EUR na zaspokojenie podstawowych potrzeb oraz na ochronę, edukację</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zdr</w:t>
      </w:r>
      <w:r w:rsidRPr="00DA7D28">
        <w:rPr>
          <w:rFonts w:ascii="Times New Roman" w:hAnsi="Times New Roman"/>
          <w:sz w:val="24"/>
        </w:rPr>
        <w:t>owie. W 2018</w:t>
      </w:r>
      <w:r w:rsidR="008E2A80" w:rsidRPr="00DA7D28">
        <w:rPr>
          <w:rFonts w:ascii="Times New Roman" w:hAnsi="Times New Roman"/>
          <w:sz w:val="24"/>
        </w:rPr>
        <w:t> </w:t>
      </w:r>
      <w:r w:rsidRPr="00DA7D28">
        <w:rPr>
          <w:rFonts w:ascii="Times New Roman" w:hAnsi="Times New Roman"/>
          <w:sz w:val="24"/>
        </w:rPr>
        <w:t>r. podpisano umowy na pierwsze 50 mln EUR</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11 projektów realizowanych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dzi</w:t>
      </w:r>
      <w:r w:rsidRPr="00DA7D28">
        <w:rPr>
          <w:rFonts w:ascii="Times New Roman" w:hAnsi="Times New Roman"/>
          <w:sz w:val="24"/>
        </w:rPr>
        <w:t>edzinie zdrowia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och</w:t>
      </w:r>
      <w:r w:rsidRPr="00DA7D28">
        <w:rPr>
          <w:rFonts w:ascii="Times New Roman" w:hAnsi="Times New Roman"/>
          <w:sz w:val="24"/>
        </w:rPr>
        <w:t>rony</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pla</w:t>
      </w:r>
      <w:r w:rsidRPr="00DA7D28">
        <w:rPr>
          <w:rFonts w:ascii="Times New Roman" w:hAnsi="Times New Roman"/>
          <w:sz w:val="24"/>
        </w:rPr>
        <w:t>nie wdrażania pomocy humanitarnej na</w:t>
      </w:r>
      <w:r w:rsidR="008E2A80" w:rsidRPr="00DA7D28">
        <w:rPr>
          <w:rFonts w:ascii="Times New Roman" w:hAnsi="Times New Roman"/>
          <w:sz w:val="24"/>
        </w:rPr>
        <w:t> </w:t>
      </w:r>
      <w:r w:rsidRPr="00DA7D28">
        <w:rPr>
          <w:rFonts w:ascii="Times New Roman" w:hAnsi="Times New Roman"/>
          <w:sz w:val="24"/>
        </w:rPr>
        <w:t>2018</w:t>
      </w:r>
      <w:r w:rsidR="008E2A80" w:rsidRPr="00DA7D28">
        <w:rPr>
          <w:rFonts w:ascii="Times New Roman" w:hAnsi="Times New Roman"/>
          <w:sz w:val="24"/>
        </w:rPr>
        <w:t> </w:t>
      </w:r>
      <w:r w:rsidRPr="00DA7D28">
        <w:rPr>
          <w:rFonts w:ascii="Times New Roman" w:hAnsi="Times New Roman"/>
          <w:sz w:val="24"/>
        </w:rPr>
        <w:t>r. przewidziano na nią środki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wys</w:t>
      </w:r>
      <w:r w:rsidRPr="00DA7D28">
        <w:rPr>
          <w:rFonts w:ascii="Times New Roman" w:hAnsi="Times New Roman"/>
          <w:sz w:val="24"/>
        </w:rPr>
        <w:t>okości 51,17 mln EUR (50 mln EUR</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dru</w:t>
      </w:r>
      <w:r w:rsidRPr="00DA7D28">
        <w:rPr>
          <w:rFonts w:ascii="Times New Roman" w:hAnsi="Times New Roman"/>
          <w:sz w:val="24"/>
        </w:rPr>
        <w:t>giej transzy</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1</w:t>
      </w:r>
      <w:r w:rsidRPr="00DA7D28">
        <w:rPr>
          <w:rFonts w:ascii="Times New Roman" w:hAnsi="Times New Roman"/>
          <w:sz w:val="24"/>
        </w:rPr>
        <w:t>,17 mln EUR przesunięte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pul</w:t>
      </w:r>
      <w:r w:rsidRPr="00DA7D28">
        <w:rPr>
          <w:rFonts w:ascii="Times New Roman" w:hAnsi="Times New Roman"/>
          <w:sz w:val="24"/>
        </w:rPr>
        <w:t>i środków niewykorzystanych na projekty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pie</w:t>
      </w:r>
      <w:r w:rsidRPr="00DA7D28">
        <w:rPr>
          <w:rFonts w:ascii="Times New Roman" w:hAnsi="Times New Roman"/>
          <w:sz w:val="24"/>
        </w:rPr>
        <w:t>rwszej transzy)</w:t>
      </w:r>
      <w:r w:rsidRPr="00DA7D28">
        <w:rPr>
          <w:rFonts w:ascii="Times New Roman" w:hAnsi="Times New Roman"/>
          <w:sz w:val="24"/>
          <w:vertAlign w:val="superscript"/>
        </w:rPr>
        <w:footnoteReference w:id="44"/>
      </w:r>
      <w:r w:rsidRPr="00DA7D28">
        <w:rPr>
          <w:rFonts w:ascii="Times New Roman" w:hAnsi="Times New Roman"/>
          <w:sz w:val="24"/>
        </w:rPr>
        <w:t>. Niektóre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naj</w:t>
      </w:r>
      <w:r w:rsidRPr="00DA7D28">
        <w:rPr>
          <w:rFonts w:ascii="Times New Roman" w:hAnsi="Times New Roman"/>
          <w:sz w:val="24"/>
        </w:rPr>
        <w:t>ważniejszych osiągnięć</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udzielonej pomocy humanitarnej</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018 r.</w:t>
      </w:r>
      <w:r w:rsidRPr="00DA7D28">
        <w:rPr>
          <w:rFonts w:ascii="Times New Roman" w:hAnsi="Times New Roman"/>
          <w:sz w:val="24"/>
          <w:vertAlign w:val="superscript"/>
        </w:rPr>
        <w:footnoteReference w:id="45"/>
      </w:r>
      <w:r w:rsidRPr="00DA7D28">
        <w:rPr>
          <w:rFonts w:ascii="Times New Roman" w:hAnsi="Times New Roman"/>
          <w:sz w:val="24"/>
        </w:rPr>
        <w:t xml:space="preserve"> przedstawiono poniżej.</w:t>
      </w:r>
    </w:p>
    <w:p w:rsidR="00E90063" w:rsidRPr="00DA7D28" w:rsidRDefault="00BE7F2C" w:rsidP="000D59A1">
      <w:pPr>
        <w:spacing w:after="120"/>
        <w:jc w:val="both"/>
        <w:rPr>
          <w:rFonts w:ascii="Times New Roman" w:eastAsia="Times New Roman" w:hAnsi="Times New Roman"/>
          <w:b/>
          <w:sz w:val="24"/>
          <w:szCs w:val="24"/>
        </w:rPr>
      </w:pPr>
      <w:r w:rsidRPr="00DA7D28">
        <w:rPr>
          <w:rFonts w:ascii="Times New Roman" w:hAnsi="Times New Roman"/>
          <w:b/>
          <w:sz w:val="24"/>
        </w:rPr>
        <w:t>Siatka bezpieczeństwa socjalnego</w:t>
      </w:r>
      <w:r w:rsidR="00DA7D28" w:rsidRPr="00DA7D28">
        <w:rPr>
          <w:rFonts w:ascii="Times New Roman" w:hAnsi="Times New Roman"/>
          <w:b/>
          <w:sz w:val="24"/>
        </w:rPr>
        <w:t xml:space="preserve"> w</w:t>
      </w:r>
      <w:r w:rsidR="00DA7D28">
        <w:rPr>
          <w:rFonts w:ascii="Times New Roman" w:hAnsi="Times New Roman"/>
          <w:b/>
          <w:sz w:val="24"/>
        </w:rPr>
        <w:t> </w:t>
      </w:r>
      <w:r w:rsidR="00DA7D28" w:rsidRPr="00DA7D28">
        <w:rPr>
          <w:rFonts w:ascii="Times New Roman" w:hAnsi="Times New Roman"/>
          <w:b/>
          <w:sz w:val="24"/>
        </w:rPr>
        <w:t>syt</w:t>
      </w:r>
      <w:r w:rsidRPr="00DA7D28">
        <w:rPr>
          <w:rFonts w:ascii="Times New Roman" w:hAnsi="Times New Roman"/>
          <w:b/>
          <w:sz w:val="24"/>
        </w:rPr>
        <w:t>uacjach nadzwyczajnych</w:t>
      </w:r>
    </w:p>
    <w:p w:rsidR="00EC07AB" w:rsidRPr="00DA7D28" w:rsidRDefault="0033748D" w:rsidP="00E24441">
      <w:pPr>
        <w:spacing w:after="120"/>
        <w:jc w:val="both"/>
        <w:rPr>
          <w:rFonts w:ascii="Times New Roman" w:eastAsia="Times New Roman" w:hAnsi="Times New Roman"/>
          <w:sz w:val="24"/>
          <w:szCs w:val="24"/>
        </w:rPr>
      </w:pPr>
      <w:r w:rsidRPr="00DA7D28">
        <w:rPr>
          <w:rFonts w:ascii="Times New Roman" w:hAnsi="Times New Roman"/>
          <w:sz w:val="24"/>
        </w:rPr>
        <w:t>UE kontynuowała działania na rzecz zaspokojenia potrzeb uchodźców znajdujących się</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tru</w:t>
      </w:r>
      <w:r w:rsidRPr="00DA7D28">
        <w:rPr>
          <w:rFonts w:ascii="Times New Roman" w:hAnsi="Times New Roman"/>
          <w:sz w:val="24"/>
        </w:rPr>
        <w:t>dnej sytuacji społeczno-ekonomicznej za pośrednictwem siatki bezpieczeństwa socjalnego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syt</w:t>
      </w:r>
      <w:r w:rsidRPr="00DA7D28">
        <w:rPr>
          <w:rFonts w:ascii="Times New Roman" w:hAnsi="Times New Roman"/>
          <w:sz w:val="24"/>
        </w:rPr>
        <w:t>uacjach nadzwyczajnych. Jest to humanitarny program pomocy społecznej obejmujący kartę debetową, która umożliwia znajdującym się</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tru</w:t>
      </w:r>
      <w:r w:rsidRPr="00DA7D28">
        <w:rPr>
          <w:rFonts w:ascii="Times New Roman" w:hAnsi="Times New Roman"/>
          <w:sz w:val="24"/>
        </w:rPr>
        <w:t>dnej sytuacji uchodźcom wykorzystanie przekazywanej im co miesiąc bezpośrednio kwoty pieniędzy na dowolne, różnorakie cele. Według stanu na styczeń 2019</w:t>
      </w:r>
      <w:r w:rsidR="008E2A80" w:rsidRPr="00DA7D28">
        <w:rPr>
          <w:rFonts w:ascii="Times New Roman" w:hAnsi="Times New Roman"/>
          <w:sz w:val="24"/>
        </w:rPr>
        <w:t> </w:t>
      </w:r>
      <w:r w:rsidRPr="00DA7D28">
        <w:rPr>
          <w:rFonts w:ascii="Times New Roman" w:hAnsi="Times New Roman"/>
          <w:sz w:val="24"/>
        </w:rPr>
        <w:t>r.</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mie</w:t>
      </w:r>
      <w:r w:rsidRPr="00DA7D28">
        <w:rPr>
          <w:rFonts w:ascii="Times New Roman" w:hAnsi="Times New Roman"/>
          <w:sz w:val="24"/>
        </w:rPr>
        <w:t>sięcznych przekazów pieniężnych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 xml:space="preserve">ach programu skorzystało łącznie niemal 1,5 mln beneficjentów. </w:t>
      </w:r>
    </w:p>
    <w:p w:rsidR="00E90063" w:rsidRPr="00DA7D28" w:rsidRDefault="00BE7F2C">
      <w:pPr>
        <w:spacing w:after="120"/>
        <w:jc w:val="both"/>
        <w:rPr>
          <w:rFonts w:ascii="Times New Roman" w:eastAsia="Times New Roman" w:hAnsi="Times New Roman"/>
          <w:b/>
          <w:sz w:val="24"/>
          <w:szCs w:val="24"/>
        </w:rPr>
      </w:pPr>
      <w:r w:rsidRPr="00DA7D28">
        <w:rPr>
          <w:rFonts w:ascii="Times New Roman" w:hAnsi="Times New Roman"/>
          <w:b/>
          <w:sz w:val="24"/>
        </w:rPr>
        <w:t>Edukacja</w:t>
      </w:r>
      <w:r w:rsidR="00DA7D28" w:rsidRPr="00DA7D28">
        <w:rPr>
          <w:rFonts w:ascii="Times New Roman" w:hAnsi="Times New Roman"/>
          <w:b/>
          <w:sz w:val="24"/>
        </w:rPr>
        <w:t xml:space="preserve"> w</w:t>
      </w:r>
      <w:r w:rsidR="00DA7D28">
        <w:rPr>
          <w:rFonts w:ascii="Times New Roman" w:hAnsi="Times New Roman"/>
          <w:b/>
          <w:sz w:val="24"/>
        </w:rPr>
        <w:t> </w:t>
      </w:r>
      <w:r w:rsidR="00DA7D28" w:rsidRPr="00DA7D28">
        <w:rPr>
          <w:rFonts w:ascii="Times New Roman" w:hAnsi="Times New Roman"/>
          <w:b/>
          <w:sz w:val="24"/>
        </w:rPr>
        <w:t>syt</w:t>
      </w:r>
      <w:r w:rsidRPr="00DA7D28">
        <w:rPr>
          <w:rFonts w:ascii="Times New Roman" w:hAnsi="Times New Roman"/>
          <w:b/>
          <w:sz w:val="24"/>
        </w:rPr>
        <w:t>uacjach nadzwyczajnych</w:t>
      </w:r>
    </w:p>
    <w:p w:rsidR="0033748D" w:rsidRPr="00DA7D28" w:rsidRDefault="0033748D" w:rsidP="00E24441">
      <w:pPr>
        <w:spacing w:after="120"/>
        <w:jc w:val="both"/>
        <w:rPr>
          <w:rFonts w:ascii="Times New Roman" w:eastAsia="Times New Roman" w:hAnsi="Times New Roman"/>
          <w:sz w:val="24"/>
          <w:szCs w:val="24"/>
        </w:rPr>
      </w:pPr>
      <w:r w:rsidRPr="00DA7D28">
        <w:rPr>
          <w:rFonts w:ascii="Times New Roman" w:hAnsi="Times New Roman"/>
          <w:sz w:val="24"/>
        </w:rPr>
        <w:t>UE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dal</w:t>
      </w:r>
      <w:r w:rsidRPr="00DA7D28">
        <w:rPr>
          <w:rFonts w:ascii="Times New Roman" w:hAnsi="Times New Roman"/>
          <w:sz w:val="24"/>
        </w:rPr>
        <w:t>szym ciągu podejmuje działania na rzecz ułatwienia uchodźcom dostępu do systemów kształcenia formalnego poprzez zmniejszanie barier</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zap</w:t>
      </w:r>
      <w:r w:rsidRPr="00DA7D28">
        <w:rPr>
          <w:rFonts w:ascii="Times New Roman" w:hAnsi="Times New Roman"/>
          <w:sz w:val="24"/>
        </w:rPr>
        <w:t>ewnianie zagrożonym dzieciom środków umożliwiających im uczęszczanie do szkoły. Uruchomiony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017</w:t>
      </w:r>
      <w:r w:rsidR="008E2A80" w:rsidRPr="00DA7D28">
        <w:rPr>
          <w:rFonts w:ascii="Times New Roman" w:hAnsi="Times New Roman"/>
          <w:sz w:val="24"/>
        </w:rPr>
        <w:t> </w:t>
      </w:r>
      <w:r w:rsidRPr="00DA7D28">
        <w:rPr>
          <w:rFonts w:ascii="Times New Roman" w:hAnsi="Times New Roman"/>
          <w:sz w:val="24"/>
        </w:rPr>
        <w:t>r. program warunkowych transferów pieniężnych na rzecz edukacji</w:t>
      </w:r>
      <w:r w:rsidRPr="00DA7D28">
        <w:rPr>
          <w:rStyle w:val="FootnoteReference"/>
          <w:rFonts w:ascii="Times New Roman" w:hAnsi="Times New Roman"/>
        </w:rPr>
        <w:footnoteReference w:id="46"/>
      </w:r>
      <w:r w:rsidRPr="00DA7D28">
        <w:rPr>
          <w:rFonts w:ascii="Times New Roman" w:hAnsi="Times New Roman"/>
          <w:sz w:val="24"/>
        </w:rPr>
        <w:t xml:space="preserve"> jest największym</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his</w:t>
      </w:r>
      <w:r w:rsidRPr="00DA7D28">
        <w:rPr>
          <w:rFonts w:ascii="Times New Roman" w:hAnsi="Times New Roman"/>
          <w:sz w:val="24"/>
        </w:rPr>
        <w:t>torii programem finansowanym przez UE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obs</w:t>
      </w:r>
      <w:r w:rsidRPr="00DA7D28">
        <w:rPr>
          <w:rFonts w:ascii="Times New Roman" w:hAnsi="Times New Roman"/>
          <w:sz w:val="24"/>
        </w:rPr>
        <w:t>zarze edukacji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syt</w:t>
      </w:r>
      <w:r w:rsidRPr="00DA7D28">
        <w:rPr>
          <w:rFonts w:ascii="Times New Roman" w:hAnsi="Times New Roman"/>
          <w:sz w:val="24"/>
        </w:rPr>
        <w:t>uacjach nadzwyczajnych,</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jeg</w:t>
      </w:r>
      <w:r w:rsidRPr="00DA7D28">
        <w:rPr>
          <w:rFonts w:ascii="Times New Roman" w:hAnsi="Times New Roman"/>
          <w:sz w:val="24"/>
        </w:rPr>
        <w:t>o dotychczasowe rezultaty wykraczają poza pierwotnie wyznaczone cele. Według stanu na luty 2019</w:t>
      </w:r>
      <w:r w:rsidR="008E2A80" w:rsidRPr="00DA7D28">
        <w:rPr>
          <w:rFonts w:ascii="Times New Roman" w:hAnsi="Times New Roman"/>
          <w:sz w:val="24"/>
        </w:rPr>
        <w:t> </w:t>
      </w:r>
      <w:r w:rsidRPr="00DA7D28">
        <w:rPr>
          <w:rFonts w:ascii="Times New Roman" w:hAnsi="Times New Roman"/>
          <w:sz w:val="24"/>
        </w:rPr>
        <w:t>r. wsparciem finansowym</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tego programu objęte zostały rodziny ponad 470 tys. uczniów. Ponadto, według stanu na grudzień 2018</w:t>
      </w:r>
      <w:r w:rsidR="008E2A80" w:rsidRPr="00DA7D28">
        <w:rPr>
          <w:rFonts w:ascii="Times New Roman" w:hAnsi="Times New Roman"/>
          <w:sz w:val="24"/>
        </w:rPr>
        <w:t> </w:t>
      </w:r>
      <w:r w:rsidRPr="00DA7D28">
        <w:rPr>
          <w:rFonts w:ascii="Times New Roman" w:hAnsi="Times New Roman"/>
          <w:sz w:val="24"/>
        </w:rPr>
        <w:t>r., średnio 6 768 dzieci korzystało co miesiąc ze wsparcia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transportu szkolnego,</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9</w:t>
      </w:r>
      <w:r w:rsidRPr="00DA7D28">
        <w:rPr>
          <w:rFonts w:ascii="Times New Roman" w:hAnsi="Times New Roman"/>
          <w:sz w:val="24"/>
        </w:rPr>
        <w:t> 267 dzieci-uchodźców uczestniczyło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dzi</w:t>
      </w:r>
      <w:r w:rsidRPr="00DA7D28">
        <w:rPr>
          <w:rFonts w:ascii="Times New Roman" w:hAnsi="Times New Roman"/>
          <w:sz w:val="24"/>
        </w:rPr>
        <w:t>ałaniach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kształcenia pozaformalnego. Działania takie obejmują pozaformalne zajęcia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jęz</w:t>
      </w:r>
      <w:r w:rsidRPr="00DA7D28">
        <w:rPr>
          <w:rFonts w:ascii="Times New Roman" w:hAnsi="Times New Roman"/>
          <w:sz w:val="24"/>
        </w:rPr>
        <w:t>yku tureckim lub arabskim, przyspieszone programy nauczania, inicjatywy na rzecz uczenia się</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dom</w:t>
      </w:r>
      <w:r w:rsidRPr="00DA7D28">
        <w:rPr>
          <w:rFonts w:ascii="Times New Roman" w:hAnsi="Times New Roman"/>
          <w:sz w:val="24"/>
        </w:rPr>
        <w:t>u oraz kluby odrabiania zadań domowych. Programy te ułatwią dzieciom przejście do systemu kształcenia formalnego na poziomie odpowiadającym ich wiekowi.</w:t>
      </w:r>
    </w:p>
    <w:p w:rsidR="00E90063" w:rsidRPr="00DA7D28" w:rsidRDefault="00BE7F2C" w:rsidP="00EC07AB">
      <w:pPr>
        <w:spacing w:after="120"/>
        <w:jc w:val="both"/>
        <w:rPr>
          <w:rFonts w:ascii="Times New Roman" w:eastAsia="Times New Roman" w:hAnsi="Times New Roman"/>
          <w:b/>
          <w:sz w:val="24"/>
          <w:szCs w:val="24"/>
        </w:rPr>
      </w:pPr>
      <w:r w:rsidRPr="00DA7D28">
        <w:rPr>
          <w:rFonts w:ascii="Times New Roman" w:hAnsi="Times New Roman"/>
          <w:b/>
          <w:sz w:val="24"/>
        </w:rPr>
        <w:t>Zdrowie</w:t>
      </w:r>
    </w:p>
    <w:p w:rsidR="00E90063" w:rsidRPr="00DA7D28" w:rsidRDefault="0033748D" w:rsidP="00E24441">
      <w:pPr>
        <w:spacing w:after="120"/>
        <w:jc w:val="both"/>
        <w:rPr>
          <w:rFonts w:ascii="Times New Roman" w:eastAsia="Times New Roman" w:hAnsi="Times New Roman"/>
          <w:sz w:val="24"/>
          <w:szCs w:val="24"/>
        </w:rPr>
      </w:pPr>
      <w:r w:rsidRPr="00DA7D28">
        <w:rPr>
          <w:rFonts w:ascii="Times New Roman" w:hAnsi="Times New Roman"/>
          <w:sz w:val="24"/>
        </w:rPr>
        <w:t>UE skoncentrowała swoje wysiłki na wyeliminowaniu potencjalnych luk</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świ</w:t>
      </w:r>
      <w:r w:rsidRPr="00DA7D28">
        <w:rPr>
          <w:rFonts w:ascii="Times New Roman" w:hAnsi="Times New Roman"/>
          <w:sz w:val="24"/>
        </w:rPr>
        <w:t>adczeniu podstawowych usług opieki zdrowotnej oraz usług odpowiadających na szczególne potrzeby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inn</w:t>
      </w:r>
      <w:r w:rsidRPr="00DA7D28">
        <w:rPr>
          <w:rFonts w:ascii="Times New Roman" w:hAnsi="Times New Roman"/>
          <w:sz w:val="24"/>
        </w:rPr>
        <w:t>ych osób</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tru</w:t>
      </w:r>
      <w:r w:rsidRPr="00DA7D28">
        <w:rPr>
          <w:rFonts w:ascii="Times New Roman" w:hAnsi="Times New Roman"/>
          <w:sz w:val="24"/>
        </w:rPr>
        <w:t>dnej sytuacji</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pro</w:t>
      </w:r>
      <w:r w:rsidRPr="00DA7D28">
        <w:rPr>
          <w:rFonts w:ascii="Times New Roman" w:hAnsi="Times New Roman"/>
          <w:sz w:val="24"/>
        </w:rPr>
        <w:t>wincjach, gdzie przebywa najwięcej uchodźców, od początku istnienia instrumentu do października 2018</w:t>
      </w:r>
      <w:r w:rsidR="008E2A80" w:rsidRPr="00DA7D28">
        <w:rPr>
          <w:rFonts w:ascii="Times New Roman" w:hAnsi="Times New Roman"/>
          <w:sz w:val="24"/>
        </w:rPr>
        <w:t> </w:t>
      </w:r>
      <w:r w:rsidRPr="00DA7D28">
        <w:rPr>
          <w:rFonts w:ascii="Times New Roman" w:hAnsi="Times New Roman"/>
          <w:sz w:val="24"/>
        </w:rPr>
        <w:t>r. udzielono łącznie 873 365 konsultacji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podstawowej opieki zdrowotnej. Ponadto 40 705 kobiet</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cią</w:t>
      </w:r>
      <w:r w:rsidRPr="00DA7D28">
        <w:rPr>
          <w:rFonts w:ascii="Times New Roman" w:hAnsi="Times New Roman"/>
          <w:sz w:val="24"/>
        </w:rPr>
        <w:t>ży odbyło 84 714 konsultacji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opieki przedporodowej, 105 315 uchodźców skorzystało</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opi</w:t>
      </w:r>
      <w:r w:rsidRPr="00DA7D28">
        <w:rPr>
          <w:rFonts w:ascii="Times New Roman" w:hAnsi="Times New Roman"/>
          <w:sz w:val="24"/>
        </w:rPr>
        <w:t>eki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zdrowia psychicznego oraz ze wsparcia psychologiczno-społecznego,</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1</w:t>
      </w:r>
      <w:r w:rsidRPr="00DA7D28">
        <w:rPr>
          <w:rFonts w:ascii="Times New Roman" w:hAnsi="Times New Roman"/>
          <w:sz w:val="24"/>
        </w:rPr>
        <w:t>3 075 uchodźców –</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opi</w:t>
      </w:r>
      <w:r w:rsidRPr="00DA7D28">
        <w:rPr>
          <w:rFonts w:ascii="Times New Roman" w:hAnsi="Times New Roman"/>
          <w:sz w:val="24"/>
        </w:rPr>
        <w:t>eki pooperacyjnej</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usł</w:t>
      </w:r>
      <w:r w:rsidRPr="00DA7D28">
        <w:rPr>
          <w:rFonts w:ascii="Times New Roman" w:hAnsi="Times New Roman"/>
          <w:sz w:val="24"/>
        </w:rPr>
        <w:t xml:space="preserve">ug rehabilitacji. </w:t>
      </w:r>
    </w:p>
    <w:p w:rsidR="008D1920" w:rsidRPr="00DA7D28" w:rsidRDefault="008D1920" w:rsidP="00EC07AB">
      <w:pPr>
        <w:spacing w:after="120"/>
        <w:jc w:val="both"/>
        <w:rPr>
          <w:rFonts w:ascii="Times New Roman" w:eastAsia="Times New Roman" w:hAnsi="Times New Roman"/>
          <w:b/>
          <w:sz w:val="24"/>
          <w:szCs w:val="24"/>
        </w:rPr>
      </w:pPr>
      <w:r w:rsidRPr="00DA7D28">
        <w:rPr>
          <w:rFonts w:ascii="Times New Roman" w:hAnsi="Times New Roman"/>
          <w:b/>
          <w:sz w:val="24"/>
        </w:rPr>
        <w:t>Ochrona</w:t>
      </w:r>
    </w:p>
    <w:p w:rsidR="008D1920" w:rsidRPr="00DA7D28" w:rsidRDefault="008D1920" w:rsidP="00E24441">
      <w:pPr>
        <w:jc w:val="both"/>
        <w:rPr>
          <w:rFonts w:ascii="Times New Roman" w:eastAsia="Times New Roman" w:hAnsi="Times New Roman"/>
          <w:sz w:val="24"/>
          <w:szCs w:val="24"/>
        </w:rPr>
      </w:pPr>
      <w:r w:rsidRPr="00DA7D28">
        <w:rPr>
          <w:rFonts w:ascii="Times New Roman" w:hAnsi="Times New Roman"/>
          <w:sz w:val="24"/>
        </w:rPr>
        <w:t>UE nadal finansuje projekty mające na celu wspieranie dostępu uchodźców do rejestracji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usł</w:t>
      </w:r>
      <w:r w:rsidRPr="00DA7D28">
        <w:rPr>
          <w:rFonts w:ascii="Times New Roman" w:hAnsi="Times New Roman"/>
          <w:sz w:val="24"/>
        </w:rPr>
        <w:t>ug oraz zaspokajanie potrzeb grup</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osó</w:t>
      </w:r>
      <w:r w:rsidRPr="00DA7D28">
        <w:rPr>
          <w:rFonts w:ascii="Times New Roman" w:hAnsi="Times New Roman"/>
          <w:sz w:val="24"/>
        </w:rPr>
        <w:t>b zagrożonych. Dla przykładu – dzięki wsparciu ze strony instrumentu turecka Dyrekcja Generalna ds. Zarządzania Migracją zweryfikowała dane ponad 2,6 mln uchodźców przebywających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w:t>
      </w:r>
    </w:p>
    <w:p w:rsidR="00794864" w:rsidRPr="00DA7D28" w:rsidRDefault="00794864" w:rsidP="00E24441">
      <w:pPr>
        <w:jc w:val="both"/>
        <w:rPr>
          <w:rFonts w:ascii="Times New Roman" w:eastAsia="Times New Roman" w:hAnsi="Times New Roman"/>
          <w:sz w:val="24"/>
          <w:szCs w:val="24"/>
        </w:rPr>
      </w:pPr>
    </w:p>
    <w:p w:rsidR="00E90063" w:rsidRPr="00DA7D28" w:rsidRDefault="00BC4DF1">
      <w:pPr>
        <w:pStyle w:val="Heading2"/>
        <w:rPr>
          <w:rFonts w:eastAsia="Times New Roman"/>
          <w:b w:val="0"/>
          <w:szCs w:val="24"/>
        </w:rPr>
      </w:pPr>
      <w:bookmarkStart w:id="38" w:name="_Toc473205696"/>
      <w:bookmarkStart w:id="39" w:name="_Toc474488799"/>
      <w:bookmarkStart w:id="40" w:name="_Toc504983673"/>
      <w:bookmarkStart w:id="41" w:name="_Toc3193668"/>
      <w:bookmarkStart w:id="42" w:name="_Toc4776703"/>
      <w:r w:rsidRPr="00DA7D28">
        <w:t>5.2 Pomoc rozwojowa</w:t>
      </w:r>
      <w:bookmarkEnd w:id="38"/>
      <w:bookmarkEnd w:id="39"/>
      <w:bookmarkEnd w:id="40"/>
      <w:bookmarkEnd w:id="41"/>
      <w:bookmarkEnd w:id="42"/>
    </w:p>
    <w:p w:rsidR="00DC5C36" w:rsidRPr="00DA7D28" w:rsidRDefault="00DC5C36" w:rsidP="00EC07AB">
      <w:pPr>
        <w:widowControl w:val="0"/>
        <w:spacing w:after="120"/>
        <w:jc w:val="both"/>
        <w:rPr>
          <w:rFonts w:ascii="Times New Roman" w:eastAsia="Times New Roman" w:hAnsi="Times New Roman"/>
          <w:sz w:val="24"/>
          <w:szCs w:val="24"/>
        </w:rPr>
      </w:pPr>
      <w:r w:rsidRPr="00DA7D28">
        <w:rPr>
          <w:rFonts w:ascii="Times New Roman" w:eastAsiaTheme="minorHAnsi" w:hAnsi="Times New Roman"/>
          <w:sz w:val="24"/>
        </w:rPr>
        <w:t>W ramach komponentu dotyczącego pomocy rozwojowej pomyślnie postępuje realizacja 26 projektów, na które podpisano umowy</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ram</w:t>
      </w:r>
      <w:r w:rsidRPr="00DA7D28">
        <w:rPr>
          <w:rFonts w:ascii="Times New Roman" w:eastAsiaTheme="minorHAnsi" w:hAnsi="Times New Roman"/>
          <w:sz w:val="24"/>
        </w:rPr>
        <w:t>ach pierwszej transzy: dwie</w:t>
      </w:r>
      <w:r w:rsidR="00DA7D28" w:rsidRPr="00DA7D28">
        <w:rPr>
          <w:rFonts w:ascii="Times New Roman" w:eastAsiaTheme="minorHAnsi" w:hAnsi="Times New Roman"/>
          <w:sz w:val="24"/>
        </w:rPr>
        <w:t xml:space="preserve"> z</w:t>
      </w:r>
      <w:r w:rsidR="00DA7D28">
        <w:rPr>
          <w:rFonts w:ascii="Times New Roman" w:eastAsiaTheme="minorHAnsi" w:hAnsi="Times New Roman"/>
          <w:sz w:val="24"/>
        </w:rPr>
        <w:t> </w:t>
      </w:r>
      <w:r w:rsidR="00DA7D28" w:rsidRPr="00DA7D28">
        <w:rPr>
          <w:rFonts w:ascii="Times New Roman" w:eastAsiaTheme="minorHAnsi" w:hAnsi="Times New Roman"/>
          <w:sz w:val="24"/>
        </w:rPr>
        <w:t>nic</w:t>
      </w:r>
      <w:r w:rsidRPr="00DA7D28">
        <w:rPr>
          <w:rFonts w:ascii="Times New Roman" w:eastAsiaTheme="minorHAnsi" w:hAnsi="Times New Roman"/>
          <w:sz w:val="24"/>
        </w:rPr>
        <w:t>h już zrealizowano</w:t>
      </w:r>
      <w:r w:rsidR="00DA7D28" w:rsidRPr="00DA7D28">
        <w:rPr>
          <w:rFonts w:ascii="Times New Roman" w:eastAsiaTheme="minorHAnsi" w:hAnsi="Times New Roman"/>
          <w:sz w:val="24"/>
        </w:rPr>
        <w:t>. Z</w:t>
      </w:r>
      <w:r w:rsidR="00DA7D28">
        <w:rPr>
          <w:rFonts w:ascii="Times New Roman" w:eastAsiaTheme="minorHAnsi" w:hAnsi="Times New Roman"/>
          <w:sz w:val="24"/>
        </w:rPr>
        <w:t> </w:t>
      </w:r>
      <w:r w:rsidR="00DA7D28" w:rsidRPr="00DA7D28">
        <w:rPr>
          <w:rFonts w:ascii="Times New Roman" w:eastAsiaTheme="minorHAnsi" w:hAnsi="Times New Roman"/>
          <w:sz w:val="24"/>
        </w:rPr>
        <w:t>łąc</w:t>
      </w:r>
      <w:r w:rsidRPr="00DA7D28">
        <w:rPr>
          <w:rFonts w:ascii="Times New Roman" w:eastAsiaTheme="minorHAnsi" w:hAnsi="Times New Roman"/>
          <w:sz w:val="24"/>
        </w:rPr>
        <w:t>znej kwoty 1,6 mld EUR przeznaczonej na pomoc rozwojową</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ram</w:t>
      </w:r>
      <w:r w:rsidRPr="00DA7D28">
        <w:rPr>
          <w:rFonts w:ascii="Times New Roman" w:eastAsiaTheme="minorHAnsi" w:hAnsi="Times New Roman"/>
          <w:sz w:val="24"/>
        </w:rPr>
        <w:t>ach pierwszej transzy wypłacono już 943 mln EUR na rzecz partnerów wykonawczych</w:t>
      </w:r>
      <w:r w:rsidRPr="00DA7D28">
        <w:rPr>
          <w:rStyle w:val="FootnoteReference"/>
          <w:rFonts w:ascii="Times New Roman" w:hAnsi="Times New Roman"/>
          <w:sz w:val="24"/>
        </w:rPr>
        <w:footnoteReference w:id="47"/>
      </w:r>
      <w:r w:rsidR="00DA7D28" w:rsidRPr="00DA7D28">
        <w:rPr>
          <w:rFonts w:ascii="Times New Roman" w:eastAsiaTheme="minorHAnsi" w:hAnsi="Times New Roman"/>
          <w:sz w:val="24"/>
        </w:rPr>
        <w:t>. W</w:t>
      </w:r>
      <w:r w:rsidR="00DA7D28">
        <w:rPr>
          <w:rFonts w:ascii="Times New Roman" w:eastAsiaTheme="minorHAnsi" w:hAnsi="Times New Roman"/>
          <w:sz w:val="24"/>
        </w:rPr>
        <w:t> </w:t>
      </w:r>
      <w:r w:rsidR="00DA7D28" w:rsidRPr="00DA7D28">
        <w:rPr>
          <w:rFonts w:ascii="Times New Roman" w:eastAsiaTheme="minorHAnsi" w:hAnsi="Times New Roman"/>
          <w:sz w:val="24"/>
        </w:rPr>
        <w:t>ram</w:t>
      </w:r>
      <w:r w:rsidRPr="00DA7D28">
        <w:rPr>
          <w:rFonts w:ascii="Times New Roman" w:eastAsiaTheme="minorHAnsi" w:hAnsi="Times New Roman"/>
          <w:sz w:val="24"/>
        </w:rPr>
        <w:t>ach drugiej transzy podpisano umowy na</w:t>
      </w:r>
      <w:r w:rsidR="008E2A80" w:rsidRPr="00DA7D28">
        <w:rPr>
          <w:rFonts w:ascii="Times New Roman" w:eastAsiaTheme="minorHAnsi" w:hAnsi="Times New Roman"/>
          <w:sz w:val="24"/>
        </w:rPr>
        <w:t> </w:t>
      </w:r>
      <w:r w:rsidRPr="00DA7D28">
        <w:rPr>
          <w:rFonts w:ascii="Times New Roman" w:eastAsiaTheme="minorHAnsi" w:hAnsi="Times New Roman"/>
          <w:sz w:val="24"/>
        </w:rPr>
        <w:t>400 mln EUR na kontynuację działań poprawiających dostęp uchodźców</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Tur</w:t>
      </w:r>
      <w:r w:rsidRPr="00DA7D28">
        <w:rPr>
          <w:rFonts w:ascii="Times New Roman" w:eastAsiaTheme="minorHAnsi" w:hAnsi="Times New Roman"/>
          <w:sz w:val="24"/>
        </w:rPr>
        <w:t>cji do wysokiej jakości usług edukacyjnych, wspierających ich integrację</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ram</w:t>
      </w:r>
      <w:r w:rsidRPr="00DA7D28">
        <w:rPr>
          <w:rFonts w:ascii="Times New Roman" w:eastAsiaTheme="minorHAnsi" w:hAnsi="Times New Roman"/>
          <w:sz w:val="24"/>
        </w:rPr>
        <w:t>ach tureckiego systemu edukacji</w:t>
      </w:r>
      <w:r w:rsidR="00DA7D28" w:rsidRPr="00DA7D28">
        <w:rPr>
          <w:rFonts w:ascii="Times New Roman" w:eastAsiaTheme="minorHAnsi" w:hAnsi="Times New Roman"/>
          <w:sz w:val="24"/>
        </w:rPr>
        <w:t xml:space="preserve"> i</w:t>
      </w:r>
      <w:r w:rsidR="00DA7D28">
        <w:rPr>
          <w:rFonts w:ascii="Times New Roman" w:eastAsiaTheme="minorHAnsi" w:hAnsi="Times New Roman"/>
          <w:sz w:val="24"/>
        </w:rPr>
        <w:t> </w:t>
      </w:r>
      <w:r w:rsidR="00DA7D28" w:rsidRPr="00DA7D28">
        <w:rPr>
          <w:rFonts w:ascii="Times New Roman" w:eastAsiaTheme="minorHAnsi" w:hAnsi="Times New Roman"/>
          <w:sz w:val="24"/>
        </w:rPr>
        <w:t>pro</w:t>
      </w:r>
      <w:r w:rsidRPr="00DA7D28">
        <w:rPr>
          <w:rFonts w:ascii="Times New Roman" w:eastAsiaTheme="minorHAnsi" w:hAnsi="Times New Roman"/>
          <w:sz w:val="24"/>
        </w:rPr>
        <w:t>mujących spójność społeczną. Ponadto zaciągnięto zobowiązania na kwotę 100 mln EUR na wsparcie infrastruktury szkolnej</w:t>
      </w:r>
      <w:r w:rsidR="00DA7D28" w:rsidRPr="00DA7D28">
        <w:rPr>
          <w:rFonts w:ascii="Times New Roman" w:eastAsiaTheme="minorHAnsi" w:hAnsi="Times New Roman"/>
          <w:sz w:val="24"/>
        </w:rPr>
        <w:t xml:space="preserve"> i</w:t>
      </w:r>
      <w:r w:rsidR="00DA7D28">
        <w:rPr>
          <w:rFonts w:ascii="Times New Roman" w:eastAsiaTheme="minorHAnsi" w:hAnsi="Times New Roman"/>
          <w:sz w:val="24"/>
        </w:rPr>
        <w:t> </w:t>
      </w:r>
      <w:r w:rsidR="00DA7D28" w:rsidRPr="00DA7D28">
        <w:rPr>
          <w:rFonts w:ascii="Times New Roman" w:eastAsiaTheme="minorHAnsi" w:hAnsi="Times New Roman"/>
          <w:sz w:val="24"/>
        </w:rPr>
        <w:t>zas</w:t>
      </w:r>
      <w:r w:rsidRPr="00DA7D28">
        <w:rPr>
          <w:rFonts w:ascii="Times New Roman" w:eastAsiaTheme="minorHAnsi" w:hAnsi="Times New Roman"/>
          <w:sz w:val="24"/>
        </w:rPr>
        <w:t>pokojenie potrzeb</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zak</w:t>
      </w:r>
      <w:r w:rsidRPr="00DA7D28">
        <w:rPr>
          <w:rFonts w:ascii="Times New Roman" w:eastAsiaTheme="minorHAnsi" w:hAnsi="Times New Roman"/>
          <w:sz w:val="24"/>
        </w:rPr>
        <w:t>resie sal lekcyjnych</w:t>
      </w:r>
      <w:r w:rsidR="00DA7D28" w:rsidRPr="00DA7D28">
        <w:rPr>
          <w:rFonts w:ascii="Times New Roman" w:eastAsiaTheme="minorHAnsi" w:hAnsi="Times New Roman"/>
          <w:sz w:val="24"/>
        </w:rPr>
        <w:t xml:space="preserve"> i</w:t>
      </w:r>
      <w:r w:rsidR="00DA7D28">
        <w:rPr>
          <w:rFonts w:ascii="Times New Roman" w:eastAsiaTheme="minorHAnsi" w:hAnsi="Times New Roman"/>
          <w:sz w:val="24"/>
        </w:rPr>
        <w:t> </w:t>
      </w:r>
      <w:r w:rsidR="00DA7D28" w:rsidRPr="00DA7D28">
        <w:rPr>
          <w:rFonts w:ascii="Times New Roman" w:eastAsiaTheme="minorHAnsi" w:hAnsi="Times New Roman"/>
          <w:sz w:val="24"/>
        </w:rPr>
        <w:t>prz</w:t>
      </w:r>
      <w:r w:rsidRPr="00DA7D28">
        <w:rPr>
          <w:rFonts w:ascii="Times New Roman" w:eastAsiaTheme="minorHAnsi" w:hAnsi="Times New Roman"/>
          <w:sz w:val="24"/>
        </w:rPr>
        <w:t>estrzeni edukacyjnej</w:t>
      </w:r>
      <w:r w:rsidR="00DA7D28" w:rsidRPr="00DA7D28">
        <w:rPr>
          <w:rFonts w:ascii="Times New Roman" w:eastAsiaTheme="minorHAnsi" w:hAnsi="Times New Roman"/>
          <w:sz w:val="24"/>
        </w:rPr>
        <w:t>. W</w:t>
      </w:r>
      <w:r w:rsidR="00DA7D28">
        <w:rPr>
          <w:rFonts w:ascii="Times New Roman" w:eastAsiaTheme="minorHAnsi" w:hAnsi="Times New Roman"/>
          <w:sz w:val="24"/>
        </w:rPr>
        <w:t> </w:t>
      </w:r>
      <w:r w:rsidR="00DA7D28" w:rsidRPr="00DA7D28">
        <w:rPr>
          <w:rFonts w:ascii="Times New Roman" w:eastAsiaTheme="minorHAnsi" w:hAnsi="Times New Roman"/>
          <w:sz w:val="24"/>
        </w:rPr>
        <w:t>dzi</w:t>
      </w:r>
      <w:r w:rsidRPr="00DA7D28">
        <w:rPr>
          <w:rFonts w:ascii="Times New Roman" w:eastAsiaTheme="minorHAnsi" w:hAnsi="Times New Roman"/>
          <w:sz w:val="24"/>
        </w:rPr>
        <w:t>edzinie wsparcia społeczno-ekonomicznego</w:t>
      </w:r>
      <w:r w:rsidR="00DA7D28" w:rsidRPr="00DA7D28">
        <w:rPr>
          <w:rFonts w:ascii="Times New Roman" w:eastAsiaTheme="minorHAnsi" w:hAnsi="Times New Roman"/>
          <w:sz w:val="24"/>
        </w:rPr>
        <w:t xml:space="preserve"> i</w:t>
      </w:r>
      <w:r w:rsidR="00DA7D28">
        <w:rPr>
          <w:rFonts w:ascii="Times New Roman" w:eastAsiaTheme="minorHAnsi" w:hAnsi="Times New Roman"/>
          <w:sz w:val="24"/>
        </w:rPr>
        <w:t> </w:t>
      </w:r>
      <w:r w:rsidR="00DA7D28" w:rsidRPr="00DA7D28">
        <w:rPr>
          <w:rFonts w:ascii="Times New Roman" w:eastAsiaTheme="minorHAnsi" w:hAnsi="Times New Roman"/>
          <w:sz w:val="24"/>
        </w:rPr>
        <w:t>inf</w:t>
      </w:r>
      <w:r w:rsidRPr="00DA7D28">
        <w:rPr>
          <w:rFonts w:ascii="Times New Roman" w:eastAsiaTheme="minorHAnsi" w:hAnsi="Times New Roman"/>
          <w:sz w:val="24"/>
        </w:rPr>
        <w:t>rastruktury miejskiej przydzielono odpowiednio kwoty 465 mln EUR</w:t>
      </w:r>
      <w:r w:rsidR="00DA7D28" w:rsidRPr="00DA7D28">
        <w:rPr>
          <w:rFonts w:ascii="Times New Roman" w:eastAsiaTheme="minorHAnsi" w:hAnsi="Times New Roman"/>
          <w:sz w:val="24"/>
        </w:rPr>
        <w:t xml:space="preserve"> i</w:t>
      </w:r>
      <w:r w:rsidR="00DA7D28">
        <w:rPr>
          <w:rFonts w:ascii="Times New Roman" w:eastAsiaTheme="minorHAnsi" w:hAnsi="Times New Roman"/>
          <w:sz w:val="24"/>
        </w:rPr>
        <w:t> </w:t>
      </w:r>
      <w:r w:rsidR="00DA7D28" w:rsidRPr="00DA7D28">
        <w:rPr>
          <w:rFonts w:ascii="Times New Roman" w:eastAsiaTheme="minorHAnsi" w:hAnsi="Times New Roman"/>
          <w:sz w:val="24"/>
        </w:rPr>
        <w:t>3</w:t>
      </w:r>
      <w:r w:rsidRPr="00DA7D28">
        <w:rPr>
          <w:rFonts w:ascii="Times New Roman" w:eastAsiaTheme="minorHAnsi" w:hAnsi="Times New Roman"/>
          <w:sz w:val="24"/>
        </w:rPr>
        <w:t xml:space="preserve">80 mln EUR. </w:t>
      </w:r>
    </w:p>
    <w:p w:rsidR="00E90063" w:rsidRPr="00DA7D28" w:rsidRDefault="00BE7F2C" w:rsidP="00EC07AB">
      <w:pPr>
        <w:widowControl w:val="0"/>
        <w:spacing w:after="120"/>
        <w:jc w:val="both"/>
        <w:rPr>
          <w:rFonts w:ascii="Times New Roman" w:eastAsia="Times New Roman" w:hAnsi="Times New Roman"/>
          <w:sz w:val="24"/>
          <w:szCs w:val="24"/>
        </w:rPr>
      </w:pPr>
      <w:r w:rsidRPr="00DA7D28">
        <w:rPr>
          <w:rFonts w:ascii="Times New Roman" w:hAnsi="Times New Roman"/>
          <w:sz w:val="24"/>
        </w:rPr>
        <w:t>Oprócz środków, które są zarządzane bezpośrednio za pośrednictwem Instrumentu Pomocy Przedakcesyjnej</w:t>
      </w:r>
      <w:r w:rsidRPr="00DA7D28">
        <w:rPr>
          <w:rStyle w:val="FootnoteReference"/>
          <w:rFonts w:ascii="Times New Roman" w:hAnsi="Times New Roman"/>
          <w:sz w:val="24"/>
        </w:rPr>
        <w:footnoteReference w:id="48"/>
      </w:r>
      <w:r w:rsidRPr="00DA7D28">
        <w:rPr>
          <w:rFonts w:ascii="Times New Roman" w:hAnsi="Times New Roman"/>
          <w:sz w:val="24"/>
        </w:rPr>
        <w:t>,</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komponentu rozwojowego instrumentu wspiera się szereg oddolnych działań realizowanych za pośrednictwem 15 projektów na łączną kwotę 293 mln EUR, finansowanych</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reg</w:t>
      </w:r>
      <w:r w:rsidRPr="00DA7D28">
        <w:rPr>
          <w:rFonts w:ascii="Times New Roman" w:hAnsi="Times New Roman"/>
          <w:sz w:val="24"/>
        </w:rPr>
        <w:t>ionalnego funduszu powierniczego UE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odp</w:t>
      </w:r>
      <w:r w:rsidRPr="00DA7D28">
        <w:rPr>
          <w:rFonts w:ascii="Times New Roman" w:hAnsi="Times New Roman"/>
          <w:sz w:val="24"/>
        </w:rPr>
        <w:t>owiedzi na kryzys</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Syr</w:t>
      </w:r>
      <w:r w:rsidRPr="00DA7D28">
        <w:rPr>
          <w:rFonts w:ascii="Times New Roman" w:hAnsi="Times New Roman"/>
          <w:sz w:val="24"/>
        </w:rPr>
        <w:t xml:space="preserve">ii. </w:t>
      </w:r>
    </w:p>
    <w:p w:rsidR="00006781" w:rsidRPr="00DA7D28" w:rsidRDefault="00006781" w:rsidP="000D59A1">
      <w:pPr>
        <w:pStyle w:val="NoSpacing"/>
        <w:keepNext/>
        <w:jc w:val="both"/>
        <w:rPr>
          <w:rFonts w:ascii="Times New Roman" w:eastAsia="Times New Roman" w:hAnsi="Times New Roman"/>
          <w:sz w:val="24"/>
          <w:szCs w:val="24"/>
        </w:rPr>
      </w:pPr>
      <w:r w:rsidRPr="00DA7D28">
        <w:rPr>
          <w:rFonts w:ascii="Times New Roman" w:hAnsi="Times New Roman"/>
          <w:sz w:val="24"/>
        </w:rPr>
        <w:t>Poniżej przedstawiono środki instrumentu przydzielone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komponentu pozahumanitarnego,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pod</w:t>
      </w:r>
      <w:r w:rsidRPr="00DA7D28">
        <w:rPr>
          <w:rFonts w:ascii="Times New Roman" w:hAnsi="Times New Roman"/>
          <w:sz w:val="24"/>
        </w:rPr>
        <w:t>ziale na obszary priorytetowe:</w:t>
      </w:r>
    </w:p>
    <w:p w:rsidR="00DB1079" w:rsidRPr="00DA7D28" w:rsidRDefault="00F920DE" w:rsidP="00864003">
      <w:pPr>
        <w:spacing w:after="120"/>
        <w:jc w:val="center"/>
        <w:rPr>
          <w:rFonts w:ascii="Times New Roman" w:eastAsia="Times New Roman" w:hAnsi="Times New Roman"/>
          <w:sz w:val="24"/>
          <w:szCs w:val="24"/>
        </w:rPr>
      </w:pPr>
      <w:r w:rsidRPr="00DA7D28">
        <w:rPr>
          <w:noProof/>
          <w:lang w:val="en-GB" w:eastAsia="en-GB" w:bidi="ar-SA"/>
        </w:rPr>
        <w:drawing>
          <wp:inline distT="0" distB="0" distL="0" distR="0" wp14:anchorId="6C93CF7C" wp14:editId="7D8BB12B">
            <wp:extent cx="4873625" cy="25876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3625" cy="2587625"/>
                    </a:xfrm>
                    <a:prstGeom prst="rect">
                      <a:avLst/>
                    </a:prstGeom>
                    <a:noFill/>
                    <a:ln>
                      <a:noFill/>
                    </a:ln>
                  </pic:spPr>
                </pic:pic>
              </a:graphicData>
            </a:graphic>
          </wp:inline>
        </w:drawing>
      </w:r>
    </w:p>
    <w:p w:rsidR="00E90063" w:rsidRPr="00DA7D28" w:rsidRDefault="00BE7F2C">
      <w:pPr>
        <w:spacing w:after="120"/>
        <w:jc w:val="both"/>
        <w:rPr>
          <w:rFonts w:ascii="Times New Roman" w:eastAsia="Times New Roman" w:hAnsi="Times New Roman"/>
          <w:b/>
          <w:sz w:val="24"/>
          <w:szCs w:val="24"/>
        </w:rPr>
      </w:pPr>
      <w:r w:rsidRPr="00DA7D28">
        <w:rPr>
          <w:rFonts w:ascii="Times New Roman" w:hAnsi="Times New Roman"/>
          <w:b/>
          <w:sz w:val="24"/>
        </w:rPr>
        <w:t>Edukacja</w:t>
      </w:r>
    </w:p>
    <w:p w:rsidR="00E90063"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UE wspiera wszystkie szczeble systemu kształcenia, od wczesnej edukacji po szkolnictwo wyższe, tak aby nie zaprzepaścić szans całego pokolenia młodych ludzi.</w:t>
      </w:r>
    </w:p>
    <w:p w:rsidR="00044366" w:rsidRPr="00DA7D28" w:rsidRDefault="002C6752" w:rsidP="00EC07AB">
      <w:pPr>
        <w:widowControl w:val="0"/>
        <w:spacing w:after="120"/>
        <w:jc w:val="both"/>
        <w:rPr>
          <w:rFonts w:ascii="Times New Roman" w:eastAsiaTheme="minorHAnsi" w:hAnsi="Times New Roman"/>
          <w:sz w:val="24"/>
        </w:rPr>
      </w:pPr>
      <w:r w:rsidRPr="00DA7D28">
        <w:rPr>
          <w:rFonts w:ascii="Times New Roman" w:eastAsiaTheme="minorHAnsi" w:hAnsi="Times New Roman"/>
          <w:sz w:val="24"/>
        </w:rPr>
        <w:t>W ciągu roku szkolnego 2018 kontynuowano realizację projektu PICTES</w:t>
      </w:r>
      <w:r w:rsidRPr="00DA7D28">
        <w:rPr>
          <w:rFonts w:ascii="Times New Roman" w:eastAsiaTheme="minorHAnsi" w:hAnsi="Times New Roman"/>
          <w:sz w:val="24"/>
          <w:vertAlign w:val="superscript"/>
        </w:rPr>
        <w:footnoteReference w:id="49"/>
      </w:r>
      <w:r w:rsidRPr="00DA7D28">
        <w:rPr>
          <w:rFonts w:ascii="Times New Roman" w:eastAsiaTheme="minorHAnsi" w:hAnsi="Times New Roman"/>
          <w:sz w:val="24"/>
        </w:rPr>
        <w:t>, mającego na celu promowanie integracji dzieci syryjskich</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tur</w:t>
      </w:r>
      <w:r w:rsidRPr="00DA7D28">
        <w:rPr>
          <w:rFonts w:ascii="Times New Roman" w:eastAsiaTheme="minorHAnsi" w:hAnsi="Times New Roman"/>
          <w:sz w:val="24"/>
        </w:rPr>
        <w:t>eckim systemie szkolnictwa, finansowanego za pomocą bezpośredniej dotacji</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wys</w:t>
      </w:r>
      <w:r w:rsidRPr="00DA7D28">
        <w:rPr>
          <w:rFonts w:ascii="Times New Roman" w:eastAsiaTheme="minorHAnsi" w:hAnsi="Times New Roman"/>
          <w:sz w:val="24"/>
        </w:rPr>
        <w:t>okości 300 mln EUR udzielonej tureckiemu Ministerstwu Edukacji Narodowej</w:t>
      </w:r>
      <w:r w:rsidR="00DA7D28" w:rsidRPr="00DA7D28">
        <w:rPr>
          <w:rFonts w:ascii="Times New Roman" w:eastAsiaTheme="minorHAnsi" w:hAnsi="Times New Roman"/>
          <w:sz w:val="24"/>
        </w:rPr>
        <w:t>. W</w:t>
      </w:r>
      <w:r w:rsidR="00DA7D28">
        <w:rPr>
          <w:rFonts w:ascii="Times New Roman" w:eastAsiaTheme="minorHAnsi" w:hAnsi="Times New Roman"/>
          <w:sz w:val="24"/>
        </w:rPr>
        <w:t> </w:t>
      </w:r>
      <w:r w:rsidR="00DA7D28" w:rsidRPr="00DA7D28">
        <w:rPr>
          <w:rFonts w:ascii="Times New Roman" w:eastAsiaTheme="minorHAnsi" w:hAnsi="Times New Roman"/>
          <w:sz w:val="24"/>
        </w:rPr>
        <w:t>wie</w:t>
      </w:r>
      <w:r w:rsidRPr="00DA7D28">
        <w:rPr>
          <w:rFonts w:ascii="Times New Roman" w:eastAsiaTheme="minorHAnsi" w:hAnsi="Times New Roman"/>
          <w:sz w:val="24"/>
        </w:rPr>
        <w:t>lu obszarach tej inicjatywy udało się przekroczyć zakładane wskaźniki. Na przykład do końca września 2018</w:t>
      </w:r>
      <w:r w:rsidR="008E2A80" w:rsidRPr="00DA7D28">
        <w:rPr>
          <w:rFonts w:ascii="Times New Roman" w:eastAsiaTheme="minorHAnsi" w:hAnsi="Times New Roman"/>
          <w:sz w:val="24"/>
        </w:rPr>
        <w:t> </w:t>
      </w:r>
      <w:r w:rsidRPr="00DA7D28">
        <w:rPr>
          <w:rFonts w:ascii="Times New Roman" w:eastAsiaTheme="minorHAnsi" w:hAnsi="Times New Roman"/>
          <w:sz w:val="24"/>
        </w:rPr>
        <w:t>r.</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egz</w:t>
      </w:r>
      <w:r w:rsidRPr="00DA7D28">
        <w:rPr>
          <w:rFonts w:ascii="Times New Roman" w:eastAsiaTheme="minorHAnsi" w:hAnsi="Times New Roman"/>
          <w:sz w:val="24"/>
        </w:rPr>
        <w:t>aminach sprawdzających znajomość języka tureckiego zorganizowanych na zakończenie kursów językowych wzięło udział prawie 400 tys. uczniów. Ponad 16 tys. uczniów łącznie wzięło udział</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kur</w:t>
      </w:r>
      <w:r w:rsidRPr="00DA7D28">
        <w:rPr>
          <w:rFonts w:ascii="Times New Roman" w:eastAsiaTheme="minorHAnsi" w:hAnsi="Times New Roman"/>
          <w:sz w:val="24"/>
        </w:rPr>
        <w:t>sach wyrównawczych,</w:t>
      </w:r>
      <w:r w:rsidR="00DA7D28" w:rsidRPr="00DA7D28">
        <w:rPr>
          <w:rFonts w:ascii="Times New Roman" w:eastAsiaTheme="minorHAnsi" w:hAnsi="Times New Roman"/>
          <w:sz w:val="24"/>
        </w:rPr>
        <w:t xml:space="preserve"> a</w:t>
      </w:r>
      <w:r w:rsidR="00DA7D28">
        <w:rPr>
          <w:rFonts w:ascii="Times New Roman" w:eastAsiaTheme="minorHAnsi" w:hAnsi="Times New Roman"/>
          <w:sz w:val="24"/>
        </w:rPr>
        <w:t> </w:t>
      </w:r>
      <w:r w:rsidR="00DA7D28" w:rsidRPr="00DA7D28">
        <w:rPr>
          <w:rFonts w:ascii="Times New Roman" w:eastAsiaTheme="minorHAnsi" w:hAnsi="Times New Roman"/>
          <w:sz w:val="24"/>
        </w:rPr>
        <w:t>pon</w:t>
      </w:r>
      <w:r w:rsidRPr="00DA7D28">
        <w:rPr>
          <w:rFonts w:ascii="Times New Roman" w:eastAsiaTheme="minorHAnsi" w:hAnsi="Times New Roman"/>
          <w:sz w:val="24"/>
        </w:rPr>
        <w:t>ad 43 tys. –</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dod</w:t>
      </w:r>
      <w:r w:rsidRPr="00DA7D28">
        <w:rPr>
          <w:rFonts w:ascii="Times New Roman" w:eastAsiaTheme="minorHAnsi" w:hAnsi="Times New Roman"/>
          <w:sz w:val="24"/>
        </w:rPr>
        <w:t>atkowych kursach uzupełniających. Do końca września 2018</w:t>
      </w:r>
      <w:r w:rsidR="008E2A80" w:rsidRPr="00DA7D28">
        <w:rPr>
          <w:rFonts w:ascii="Times New Roman" w:eastAsiaTheme="minorHAnsi" w:hAnsi="Times New Roman"/>
          <w:sz w:val="24"/>
        </w:rPr>
        <w:t> </w:t>
      </w:r>
      <w:r w:rsidRPr="00DA7D28">
        <w:rPr>
          <w:rFonts w:ascii="Times New Roman" w:eastAsiaTheme="minorHAnsi" w:hAnsi="Times New Roman"/>
          <w:sz w:val="24"/>
        </w:rPr>
        <w:t>r. przeszkolono też</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ram</w:t>
      </w:r>
      <w:r w:rsidRPr="00DA7D28">
        <w:rPr>
          <w:rFonts w:ascii="Times New Roman" w:eastAsiaTheme="minorHAnsi" w:hAnsi="Times New Roman"/>
          <w:sz w:val="24"/>
        </w:rPr>
        <w:t>ach tego projektu ponad 19 tys. nauczycieli</w:t>
      </w:r>
      <w:r w:rsidR="00DA7D28" w:rsidRPr="00DA7D28">
        <w:rPr>
          <w:rFonts w:ascii="Times New Roman" w:eastAsiaTheme="minorHAnsi" w:hAnsi="Times New Roman"/>
          <w:sz w:val="24"/>
        </w:rPr>
        <w:t xml:space="preserve"> i</w:t>
      </w:r>
      <w:r w:rsidR="00DA7D28">
        <w:rPr>
          <w:rFonts w:ascii="Times New Roman" w:eastAsiaTheme="minorHAnsi" w:hAnsi="Times New Roman"/>
          <w:sz w:val="24"/>
        </w:rPr>
        <w:t> </w:t>
      </w:r>
      <w:r w:rsidR="00DA7D28" w:rsidRPr="00DA7D28">
        <w:rPr>
          <w:rFonts w:ascii="Times New Roman" w:eastAsiaTheme="minorHAnsi" w:hAnsi="Times New Roman"/>
          <w:sz w:val="24"/>
        </w:rPr>
        <w:t>adm</w:t>
      </w:r>
      <w:r w:rsidRPr="00DA7D28">
        <w:rPr>
          <w:rFonts w:ascii="Times New Roman" w:eastAsiaTheme="minorHAnsi" w:hAnsi="Times New Roman"/>
          <w:sz w:val="24"/>
        </w:rPr>
        <w:t>inistratorów</w:t>
      </w:r>
      <w:r w:rsidR="00DA7D28" w:rsidRPr="00DA7D28">
        <w:rPr>
          <w:rFonts w:ascii="Times New Roman" w:eastAsiaTheme="minorHAnsi" w:hAnsi="Times New Roman"/>
          <w:sz w:val="24"/>
        </w:rPr>
        <w:t xml:space="preserve"> z</w:t>
      </w:r>
      <w:r w:rsidR="00DA7D28">
        <w:rPr>
          <w:rFonts w:ascii="Times New Roman" w:eastAsiaTheme="minorHAnsi" w:hAnsi="Times New Roman"/>
          <w:sz w:val="24"/>
        </w:rPr>
        <w:t> </w:t>
      </w:r>
      <w:r w:rsidR="00DA7D28" w:rsidRPr="00DA7D28">
        <w:rPr>
          <w:rFonts w:ascii="Times New Roman" w:eastAsiaTheme="minorHAnsi" w:hAnsi="Times New Roman"/>
          <w:sz w:val="24"/>
        </w:rPr>
        <w:t>ram</w:t>
      </w:r>
      <w:r w:rsidRPr="00DA7D28">
        <w:rPr>
          <w:rFonts w:ascii="Times New Roman" w:eastAsiaTheme="minorHAnsi" w:hAnsi="Times New Roman"/>
          <w:sz w:val="24"/>
        </w:rPr>
        <w:t>ienia Ministerstwa Edukacji Narodowej. Dotychczasowe działania będą kontynuowane</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ram</w:t>
      </w:r>
      <w:r w:rsidRPr="00DA7D28">
        <w:rPr>
          <w:rFonts w:ascii="Times New Roman" w:eastAsiaTheme="minorHAnsi" w:hAnsi="Times New Roman"/>
          <w:sz w:val="24"/>
        </w:rPr>
        <w:t>ach umowy PIKTES II</w:t>
      </w:r>
      <w:r w:rsidRPr="00DA7D28">
        <w:rPr>
          <w:rStyle w:val="FootnoteReference"/>
          <w:rFonts w:ascii="Times New Roman" w:eastAsiaTheme="minorHAnsi" w:hAnsi="Times New Roman"/>
        </w:rPr>
        <w:footnoteReference w:id="50"/>
      </w:r>
      <w:r w:rsidRPr="00DA7D28">
        <w:rPr>
          <w:rFonts w:ascii="Times New Roman" w:eastAsiaTheme="minorHAnsi" w:hAnsi="Times New Roman"/>
          <w:sz w:val="24"/>
        </w:rPr>
        <w:t>, podpisanej</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gru</w:t>
      </w:r>
      <w:r w:rsidRPr="00DA7D28">
        <w:rPr>
          <w:rFonts w:ascii="Times New Roman" w:eastAsiaTheme="minorHAnsi" w:hAnsi="Times New Roman"/>
          <w:sz w:val="24"/>
        </w:rPr>
        <w:t>dniu 2018</w:t>
      </w:r>
      <w:r w:rsidR="008E2A80" w:rsidRPr="00DA7D28">
        <w:rPr>
          <w:rFonts w:ascii="Times New Roman" w:eastAsiaTheme="minorHAnsi" w:hAnsi="Times New Roman"/>
          <w:sz w:val="24"/>
        </w:rPr>
        <w:t> </w:t>
      </w:r>
      <w:r w:rsidRPr="00DA7D28">
        <w:rPr>
          <w:rFonts w:ascii="Times New Roman" w:eastAsiaTheme="minorHAnsi" w:hAnsi="Times New Roman"/>
          <w:sz w:val="24"/>
        </w:rPr>
        <w:t>r. Dzięki tej umowie, której łączna wartość wynosi 400 mln EUR, przez kolejne trzy lata szkolne dzieci-uchodźcy mieszkające</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Tur</w:t>
      </w:r>
      <w:r w:rsidRPr="00DA7D28">
        <w:rPr>
          <w:rFonts w:ascii="Times New Roman" w:eastAsiaTheme="minorHAnsi" w:hAnsi="Times New Roman"/>
          <w:sz w:val="24"/>
        </w:rPr>
        <w:t>cji będą miały zapewniony dostęp do wysokiej jakości edukacji integracyjnej. PIKTES II będzie też wspierać ich integrację</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tur</w:t>
      </w:r>
      <w:r w:rsidRPr="00DA7D28">
        <w:rPr>
          <w:rFonts w:ascii="Times New Roman" w:eastAsiaTheme="minorHAnsi" w:hAnsi="Times New Roman"/>
          <w:sz w:val="24"/>
        </w:rPr>
        <w:t>eckim systemie edukacji</w:t>
      </w:r>
      <w:r w:rsidR="00DA7D28" w:rsidRPr="00DA7D28">
        <w:rPr>
          <w:rFonts w:ascii="Times New Roman" w:eastAsiaTheme="minorHAnsi" w:hAnsi="Times New Roman"/>
          <w:sz w:val="24"/>
        </w:rPr>
        <w:t xml:space="preserve"> i</w:t>
      </w:r>
      <w:r w:rsidR="00DA7D28">
        <w:rPr>
          <w:rFonts w:ascii="Times New Roman" w:eastAsiaTheme="minorHAnsi" w:hAnsi="Times New Roman"/>
          <w:sz w:val="24"/>
        </w:rPr>
        <w:t> </w:t>
      </w:r>
      <w:r w:rsidR="00DA7D28" w:rsidRPr="00DA7D28">
        <w:rPr>
          <w:rFonts w:ascii="Times New Roman" w:eastAsiaTheme="minorHAnsi" w:hAnsi="Times New Roman"/>
          <w:sz w:val="24"/>
        </w:rPr>
        <w:t>pro</w:t>
      </w:r>
      <w:r w:rsidRPr="00DA7D28">
        <w:rPr>
          <w:rFonts w:ascii="Times New Roman" w:eastAsiaTheme="minorHAnsi" w:hAnsi="Times New Roman"/>
          <w:sz w:val="24"/>
        </w:rPr>
        <w:t>mować spójność społeczną,</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tym w</w:t>
      </w:r>
      <w:r w:rsidR="00DA7D28">
        <w:rPr>
          <w:rFonts w:ascii="Times New Roman" w:eastAsiaTheme="minorHAnsi" w:hAnsi="Times New Roman"/>
          <w:sz w:val="24"/>
        </w:rPr>
        <w:t> </w:t>
      </w:r>
      <w:r w:rsidR="00DA7D28" w:rsidRPr="00DA7D28">
        <w:rPr>
          <w:rFonts w:ascii="Times New Roman" w:eastAsiaTheme="minorHAnsi" w:hAnsi="Times New Roman"/>
          <w:sz w:val="24"/>
        </w:rPr>
        <w:t>odn</w:t>
      </w:r>
      <w:r w:rsidRPr="00DA7D28">
        <w:rPr>
          <w:rFonts w:ascii="Times New Roman" w:eastAsiaTheme="minorHAnsi" w:hAnsi="Times New Roman"/>
          <w:sz w:val="24"/>
        </w:rPr>
        <w:t>iesieniu do dorosłych. Drugie działanie</w:t>
      </w:r>
      <w:r w:rsidR="00DA7D28" w:rsidRPr="00DA7D28">
        <w:rPr>
          <w:rFonts w:ascii="Times New Roman" w:eastAsiaTheme="minorHAnsi" w:hAnsi="Times New Roman"/>
          <w:sz w:val="24"/>
        </w:rPr>
        <w:t xml:space="preserve"> o</w:t>
      </w:r>
      <w:r w:rsidR="00DA7D28">
        <w:rPr>
          <w:rFonts w:ascii="Times New Roman" w:eastAsiaTheme="minorHAnsi" w:hAnsi="Times New Roman"/>
          <w:sz w:val="24"/>
        </w:rPr>
        <w:t> </w:t>
      </w:r>
      <w:r w:rsidR="00DA7D28" w:rsidRPr="00DA7D28">
        <w:rPr>
          <w:rFonts w:ascii="Times New Roman" w:eastAsiaTheme="minorHAnsi" w:hAnsi="Times New Roman"/>
          <w:sz w:val="24"/>
        </w:rPr>
        <w:t>war</w:t>
      </w:r>
      <w:r w:rsidRPr="00DA7D28">
        <w:rPr>
          <w:rFonts w:ascii="Times New Roman" w:eastAsiaTheme="minorHAnsi" w:hAnsi="Times New Roman"/>
          <w:sz w:val="24"/>
        </w:rPr>
        <w:t>tości 100 mln EUR zwiększy zakres interwencji</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inf</w:t>
      </w:r>
      <w:r w:rsidRPr="00DA7D28">
        <w:rPr>
          <w:rFonts w:ascii="Times New Roman" w:eastAsiaTheme="minorHAnsi" w:hAnsi="Times New Roman"/>
          <w:sz w:val="24"/>
        </w:rPr>
        <w:t>rastrukturę szkolną na obszarach</w:t>
      </w:r>
      <w:r w:rsidR="00DA7D28" w:rsidRPr="00DA7D28">
        <w:rPr>
          <w:rFonts w:ascii="Times New Roman" w:eastAsiaTheme="minorHAnsi" w:hAnsi="Times New Roman"/>
          <w:sz w:val="24"/>
        </w:rPr>
        <w:t xml:space="preserve"> o</w:t>
      </w:r>
      <w:r w:rsidR="00DA7D28">
        <w:rPr>
          <w:rFonts w:ascii="Times New Roman" w:eastAsiaTheme="minorHAnsi" w:hAnsi="Times New Roman"/>
          <w:sz w:val="24"/>
        </w:rPr>
        <w:t> </w:t>
      </w:r>
      <w:r w:rsidR="00DA7D28" w:rsidRPr="00DA7D28">
        <w:rPr>
          <w:rFonts w:ascii="Times New Roman" w:eastAsiaTheme="minorHAnsi" w:hAnsi="Times New Roman"/>
          <w:sz w:val="24"/>
        </w:rPr>
        <w:t>wys</w:t>
      </w:r>
      <w:r w:rsidRPr="00DA7D28">
        <w:rPr>
          <w:rFonts w:ascii="Times New Roman" w:eastAsiaTheme="minorHAnsi" w:hAnsi="Times New Roman"/>
          <w:sz w:val="24"/>
        </w:rPr>
        <w:t>okiej koncentracji uchodźców. Postępuje budowa szkół</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ram</w:t>
      </w:r>
      <w:r w:rsidRPr="00DA7D28">
        <w:rPr>
          <w:rFonts w:ascii="Times New Roman" w:eastAsiaTheme="minorHAnsi" w:hAnsi="Times New Roman"/>
          <w:sz w:val="24"/>
        </w:rPr>
        <w:t>ach istniejących programów. Powstaje 136 budynków szkolnych</w:t>
      </w:r>
      <w:r w:rsidR="00DA7D28" w:rsidRPr="00DA7D28">
        <w:rPr>
          <w:rFonts w:ascii="Times New Roman" w:eastAsiaTheme="minorHAnsi" w:hAnsi="Times New Roman"/>
          <w:sz w:val="24"/>
        </w:rPr>
        <w:t xml:space="preserve"> o</w:t>
      </w:r>
      <w:r w:rsidR="00DA7D28">
        <w:rPr>
          <w:rFonts w:ascii="Times New Roman" w:eastAsiaTheme="minorHAnsi" w:hAnsi="Times New Roman"/>
          <w:sz w:val="24"/>
        </w:rPr>
        <w:t> </w:t>
      </w:r>
      <w:r w:rsidR="00DA7D28" w:rsidRPr="00DA7D28">
        <w:rPr>
          <w:rFonts w:ascii="Times New Roman" w:eastAsiaTheme="minorHAnsi" w:hAnsi="Times New Roman"/>
          <w:sz w:val="24"/>
        </w:rPr>
        <w:t>trw</w:t>
      </w:r>
      <w:r w:rsidRPr="00DA7D28">
        <w:rPr>
          <w:rFonts w:ascii="Times New Roman" w:eastAsiaTheme="minorHAnsi" w:hAnsi="Times New Roman"/>
          <w:sz w:val="24"/>
        </w:rPr>
        <w:t>ałej konstrukcji</w:t>
      </w:r>
      <w:r w:rsidR="00DA7D28" w:rsidRPr="00DA7D28">
        <w:rPr>
          <w:rFonts w:ascii="Times New Roman" w:eastAsiaTheme="minorHAnsi" w:hAnsi="Times New Roman"/>
          <w:sz w:val="24"/>
        </w:rPr>
        <w:t xml:space="preserve"> i</w:t>
      </w:r>
      <w:r w:rsidR="00DA7D28">
        <w:rPr>
          <w:rFonts w:ascii="Times New Roman" w:eastAsiaTheme="minorHAnsi" w:hAnsi="Times New Roman"/>
          <w:sz w:val="24"/>
        </w:rPr>
        <w:t> </w:t>
      </w:r>
      <w:r w:rsidR="00DA7D28" w:rsidRPr="00DA7D28">
        <w:rPr>
          <w:rFonts w:ascii="Times New Roman" w:eastAsiaTheme="minorHAnsi" w:hAnsi="Times New Roman"/>
          <w:sz w:val="24"/>
        </w:rPr>
        <w:t>5</w:t>
      </w:r>
      <w:r w:rsidRPr="00DA7D28">
        <w:rPr>
          <w:rFonts w:ascii="Times New Roman" w:eastAsiaTheme="minorHAnsi" w:hAnsi="Times New Roman"/>
          <w:sz w:val="24"/>
        </w:rPr>
        <w:t>0 budynków</w:t>
      </w:r>
      <w:r w:rsidR="00DA7D28" w:rsidRPr="00DA7D28">
        <w:rPr>
          <w:rFonts w:ascii="Times New Roman" w:eastAsiaTheme="minorHAnsi" w:hAnsi="Times New Roman"/>
          <w:sz w:val="24"/>
        </w:rPr>
        <w:t xml:space="preserve"> z</w:t>
      </w:r>
      <w:r w:rsidR="00DA7D28">
        <w:rPr>
          <w:rFonts w:ascii="Times New Roman" w:eastAsiaTheme="minorHAnsi" w:hAnsi="Times New Roman"/>
          <w:sz w:val="24"/>
        </w:rPr>
        <w:t> </w:t>
      </w:r>
      <w:r w:rsidR="00DA7D28" w:rsidRPr="00DA7D28">
        <w:rPr>
          <w:rFonts w:ascii="Times New Roman" w:eastAsiaTheme="minorHAnsi" w:hAnsi="Times New Roman"/>
          <w:sz w:val="24"/>
        </w:rPr>
        <w:t>pre</w:t>
      </w:r>
      <w:r w:rsidRPr="00DA7D28">
        <w:rPr>
          <w:rFonts w:ascii="Times New Roman" w:eastAsiaTheme="minorHAnsi" w:hAnsi="Times New Roman"/>
          <w:sz w:val="24"/>
        </w:rPr>
        <w:t>fabrykatów – prace budowlane są</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tok</w:t>
      </w:r>
      <w:r w:rsidRPr="00DA7D28">
        <w:rPr>
          <w:rFonts w:ascii="Times New Roman" w:eastAsiaTheme="minorHAnsi" w:hAnsi="Times New Roman"/>
          <w:sz w:val="24"/>
        </w:rPr>
        <w:t>u. Do grudnia 2018</w:t>
      </w:r>
      <w:r w:rsidR="008E2A80" w:rsidRPr="00DA7D28">
        <w:rPr>
          <w:rFonts w:ascii="Times New Roman" w:eastAsiaTheme="minorHAnsi" w:hAnsi="Times New Roman"/>
          <w:sz w:val="24"/>
        </w:rPr>
        <w:t> </w:t>
      </w:r>
      <w:r w:rsidRPr="00DA7D28">
        <w:rPr>
          <w:rFonts w:ascii="Times New Roman" w:eastAsiaTheme="minorHAnsi" w:hAnsi="Times New Roman"/>
          <w:sz w:val="24"/>
        </w:rPr>
        <w:t>r. ukończono 33 budynków szkolnych</w:t>
      </w:r>
      <w:r w:rsidR="00DA7D28" w:rsidRPr="00DA7D28">
        <w:rPr>
          <w:rFonts w:ascii="Times New Roman" w:eastAsiaTheme="minorHAnsi" w:hAnsi="Times New Roman"/>
          <w:sz w:val="24"/>
        </w:rPr>
        <w:t xml:space="preserve"> z</w:t>
      </w:r>
      <w:r w:rsidR="00DA7D28">
        <w:rPr>
          <w:rFonts w:ascii="Times New Roman" w:eastAsiaTheme="minorHAnsi" w:hAnsi="Times New Roman"/>
          <w:sz w:val="24"/>
        </w:rPr>
        <w:t> </w:t>
      </w:r>
      <w:r w:rsidR="00DA7D28" w:rsidRPr="00DA7D28">
        <w:rPr>
          <w:rFonts w:ascii="Times New Roman" w:eastAsiaTheme="minorHAnsi" w:hAnsi="Times New Roman"/>
          <w:sz w:val="24"/>
        </w:rPr>
        <w:t>pre</w:t>
      </w:r>
      <w:r w:rsidRPr="00DA7D28">
        <w:rPr>
          <w:rFonts w:ascii="Times New Roman" w:eastAsiaTheme="minorHAnsi" w:hAnsi="Times New Roman"/>
          <w:sz w:val="24"/>
        </w:rPr>
        <w:t>fabrykatów,</w:t>
      </w:r>
      <w:r w:rsidR="00DA7D28" w:rsidRPr="00DA7D28">
        <w:rPr>
          <w:rFonts w:ascii="Times New Roman" w:eastAsiaTheme="minorHAnsi" w:hAnsi="Times New Roman"/>
          <w:sz w:val="24"/>
        </w:rPr>
        <w:t xml:space="preserve"> a</w:t>
      </w:r>
      <w:r w:rsidR="00DA7D28">
        <w:rPr>
          <w:rFonts w:ascii="Times New Roman" w:eastAsiaTheme="minorHAnsi" w:hAnsi="Times New Roman"/>
          <w:sz w:val="24"/>
        </w:rPr>
        <w:t> </w:t>
      </w:r>
      <w:r w:rsidR="00DA7D28" w:rsidRPr="00DA7D28">
        <w:rPr>
          <w:rFonts w:ascii="Times New Roman" w:eastAsiaTheme="minorHAnsi" w:hAnsi="Times New Roman"/>
          <w:sz w:val="24"/>
        </w:rPr>
        <w:t>bud</w:t>
      </w:r>
      <w:r w:rsidRPr="00DA7D28">
        <w:rPr>
          <w:rFonts w:ascii="Times New Roman" w:eastAsiaTheme="minorHAnsi" w:hAnsi="Times New Roman"/>
          <w:sz w:val="24"/>
        </w:rPr>
        <w:t>owa trzech budynków</w:t>
      </w:r>
      <w:r w:rsidR="00DA7D28" w:rsidRPr="00DA7D28">
        <w:rPr>
          <w:rFonts w:ascii="Times New Roman" w:eastAsiaTheme="minorHAnsi" w:hAnsi="Times New Roman"/>
          <w:sz w:val="24"/>
        </w:rPr>
        <w:t xml:space="preserve"> o</w:t>
      </w:r>
      <w:r w:rsidR="00DA7D28">
        <w:rPr>
          <w:rFonts w:ascii="Times New Roman" w:eastAsiaTheme="minorHAnsi" w:hAnsi="Times New Roman"/>
          <w:sz w:val="24"/>
        </w:rPr>
        <w:t> </w:t>
      </w:r>
      <w:r w:rsidR="00DA7D28" w:rsidRPr="00DA7D28">
        <w:rPr>
          <w:rFonts w:ascii="Times New Roman" w:eastAsiaTheme="minorHAnsi" w:hAnsi="Times New Roman"/>
          <w:sz w:val="24"/>
        </w:rPr>
        <w:t>trw</w:t>
      </w:r>
      <w:r w:rsidRPr="00DA7D28">
        <w:rPr>
          <w:rFonts w:ascii="Times New Roman" w:eastAsiaTheme="minorHAnsi" w:hAnsi="Times New Roman"/>
          <w:sz w:val="24"/>
        </w:rPr>
        <w:t xml:space="preserve">ałej konstrukcji jest na zaawansowanym etapie. </w:t>
      </w:r>
    </w:p>
    <w:p w:rsidR="002C6752" w:rsidRPr="00DA7D28" w:rsidRDefault="00FF442B" w:rsidP="00EC07AB">
      <w:pPr>
        <w:widowControl w:val="0"/>
        <w:spacing w:after="120"/>
        <w:jc w:val="both"/>
        <w:rPr>
          <w:rFonts w:ascii="Times New Roman" w:eastAsiaTheme="minorHAnsi" w:hAnsi="Times New Roman"/>
          <w:sz w:val="24"/>
        </w:rPr>
      </w:pPr>
      <w:r w:rsidRPr="00DA7D28">
        <w:rPr>
          <w:rFonts w:ascii="Times New Roman" w:eastAsiaTheme="minorHAnsi" w:hAnsi="Times New Roman"/>
          <w:sz w:val="24"/>
        </w:rPr>
        <w:t>Ponadto, według stanu na grudzień 2018</w:t>
      </w:r>
      <w:r w:rsidR="008E2A80" w:rsidRPr="00DA7D28">
        <w:rPr>
          <w:rFonts w:ascii="Times New Roman" w:eastAsiaTheme="minorHAnsi" w:hAnsi="Times New Roman"/>
          <w:sz w:val="24"/>
        </w:rPr>
        <w:t> </w:t>
      </w:r>
      <w:r w:rsidRPr="00DA7D28">
        <w:rPr>
          <w:rFonts w:ascii="Times New Roman" w:eastAsiaTheme="minorHAnsi" w:hAnsi="Times New Roman"/>
          <w:sz w:val="24"/>
        </w:rPr>
        <w:t>r., około 6 tys. syryjskich nauczycieli-wolontariuszy otrzymało wsparcie</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pos</w:t>
      </w:r>
      <w:r w:rsidRPr="00DA7D28">
        <w:rPr>
          <w:rFonts w:ascii="Times New Roman" w:eastAsiaTheme="minorHAnsi" w:hAnsi="Times New Roman"/>
          <w:sz w:val="24"/>
        </w:rPr>
        <w:t>taci comiesięcznych zachęt,</w:t>
      </w:r>
      <w:r w:rsidR="00DA7D28" w:rsidRPr="00DA7D28">
        <w:rPr>
          <w:rFonts w:ascii="Times New Roman" w:eastAsiaTheme="minorHAnsi" w:hAnsi="Times New Roman"/>
          <w:sz w:val="24"/>
        </w:rPr>
        <w:t xml:space="preserve"> a</w:t>
      </w:r>
      <w:r w:rsidR="00DA7D28">
        <w:rPr>
          <w:rFonts w:ascii="Times New Roman" w:eastAsiaTheme="minorHAnsi" w:hAnsi="Times New Roman"/>
          <w:sz w:val="24"/>
        </w:rPr>
        <w:t> </w:t>
      </w:r>
      <w:r w:rsidR="00DA7D28" w:rsidRPr="00DA7D28">
        <w:rPr>
          <w:rFonts w:ascii="Times New Roman" w:eastAsiaTheme="minorHAnsi" w:hAnsi="Times New Roman"/>
          <w:sz w:val="24"/>
        </w:rPr>
        <w:t>pon</w:t>
      </w:r>
      <w:r w:rsidRPr="00DA7D28">
        <w:rPr>
          <w:rFonts w:ascii="Times New Roman" w:eastAsiaTheme="minorHAnsi" w:hAnsi="Times New Roman"/>
          <w:sz w:val="24"/>
        </w:rPr>
        <w:t>ad 14 tys. dzieci skorzystało</w:t>
      </w:r>
      <w:r w:rsidR="00DA7D28" w:rsidRPr="00DA7D28">
        <w:rPr>
          <w:rFonts w:ascii="Times New Roman" w:eastAsiaTheme="minorHAnsi" w:hAnsi="Times New Roman"/>
          <w:sz w:val="24"/>
        </w:rPr>
        <w:t xml:space="preserve"> z</w:t>
      </w:r>
      <w:r w:rsidR="00DA7D28">
        <w:rPr>
          <w:rFonts w:ascii="Times New Roman" w:eastAsiaTheme="minorHAnsi" w:hAnsi="Times New Roman"/>
          <w:sz w:val="24"/>
        </w:rPr>
        <w:t> </w:t>
      </w:r>
      <w:r w:rsidR="00DA7D28" w:rsidRPr="00DA7D28">
        <w:rPr>
          <w:rFonts w:ascii="Times New Roman" w:eastAsiaTheme="minorHAnsi" w:hAnsi="Times New Roman"/>
          <w:sz w:val="24"/>
        </w:rPr>
        <w:t>usł</w:t>
      </w:r>
      <w:r w:rsidRPr="00DA7D28">
        <w:rPr>
          <w:rFonts w:ascii="Times New Roman" w:eastAsiaTheme="minorHAnsi" w:hAnsi="Times New Roman"/>
          <w:sz w:val="24"/>
        </w:rPr>
        <w:t>ug wczesnej edukacji zapewnianych na poziomie społeczności lub</w:t>
      </w:r>
      <w:r w:rsidR="00DA7D28" w:rsidRPr="00DA7D28">
        <w:rPr>
          <w:rFonts w:ascii="Times New Roman" w:eastAsiaTheme="minorHAnsi" w:hAnsi="Times New Roman"/>
          <w:sz w:val="24"/>
        </w:rPr>
        <w:t xml:space="preserve"> w</w:t>
      </w:r>
      <w:r w:rsidR="00DA7D28">
        <w:rPr>
          <w:rFonts w:ascii="Times New Roman" w:eastAsiaTheme="minorHAnsi" w:hAnsi="Times New Roman"/>
          <w:sz w:val="24"/>
        </w:rPr>
        <w:t> </w:t>
      </w:r>
      <w:r w:rsidR="00DA7D28" w:rsidRPr="00DA7D28">
        <w:rPr>
          <w:rFonts w:ascii="Times New Roman" w:eastAsiaTheme="minorHAnsi" w:hAnsi="Times New Roman"/>
          <w:sz w:val="24"/>
        </w:rPr>
        <w:t>dom</w:t>
      </w:r>
      <w:r w:rsidRPr="00DA7D28">
        <w:rPr>
          <w:rFonts w:ascii="Times New Roman" w:eastAsiaTheme="minorHAnsi" w:hAnsi="Times New Roman"/>
          <w:sz w:val="24"/>
        </w:rPr>
        <w:t xml:space="preserve">u. </w:t>
      </w:r>
    </w:p>
    <w:p w:rsidR="00E90063" w:rsidRPr="00DA7D28" w:rsidRDefault="00BE7F2C" w:rsidP="00E24441">
      <w:pPr>
        <w:spacing w:after="120"/>
        <w:jc w:val="both"/>
        <w:rPr>
          <w:rFonts w:ascii="Times New Roman" w:eastAsia="Times New Roman" w:hAnsi="Times New Roman"/>
          <w:sz w:val="24"/>
          <w:szCs w:val="24"/>
        </w:rPr>
      </w:pPr>
      <w:r w:rsidRPr="00DA7D28">
        <w:rPr>
          <w:rFonts w:ascii="Times New Roman" w:hAnsi="Times New Roman"/>
          <w:sz w:val="24"/>
        </w:rPr>
        <w:t>476 studentów otrzymuje stypendia uniwersyteckie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trzech projektów, co ma zapewnić uchodźcom odpowiednie możliwości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szk</w:t>
      </w:r>
      <w:r w:rsidRPr="00DA7D28">
        <w:rPr>
          <w:rFonts w:ascii="Times New Roman" w:hAnsi="Times New Roman"/>
          <w:sz w:val="24"/>
        </w:rPr>
        <w:t>olnictwie wyższym. Liczba studentów objętych wsparciem ma wzrosnąć</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rok</w:t>
      </w:r>
      <w:r w:rsidRPr="00DA7D28">
        <w:rPr>
          <w:rFonts w:ascii="Times New Roman" w:hAnsi="Times New Roman"/>
          <w:sz w:val="24"/>
        </w:rPr>
        <w:t xml:space="preserve">u akademickim 2019. </w:t>
      </w:r>
    </w:p>
    <w:p w:rsidR="00E90063" w:rsidRPr="00DA7D28" w:rsidRDefault="00BE7F2C" w:rsidP="00EC07AB">
      <w:pPr>
        <w:spacing w:after="120"/>
        <w:jc w:val="both"/>
        <w:rPr>
          <w:rFonts w:ascii="Times New Roman" w:eastAsia="Times New Roman" w:hAnsi="Times New Roman"/>
          <w:b/>
          <w:sz w:val="24"/>
          <w:szCs w:val="24"/>
        </w:rPr>
      </w:pPr>
      <w:r w:rsidRPr="00DA7D28">
        <w:rPr>
          <w:rFonts w:ascii="Times New Roman" w:hAnsi="Times New Roman"/>
          <w:b/>
          <w:sz w:val="24"/>
        </w:rPr>
        <w:t>Zdrowie</w:t>
      </w:r>
    </w:p>
    <w:p w:rsidR="007E2168" w:rsidRPr="00DA7D28" w:rsidRDefault="00BE7F2C" w:rsidP="00E24441">
      <w:pPr>
        <w:spacing w:after="120"/>
        <w:jc w:val="both"/>
        <w:rPr>
          <w:rFonts w:ascii="Times New Roman" w:eastAsia="Times New Roman" w:hAnsi="Times New Roman"/>
          <w:sz w:val="24"/>
          <w:szCs w:val="24"/>
        </w:rPr>
      </w:pPr>
      <w:r w:rsidRPr="00DA7D28">
        <w:rPr>
          <w:rFonts w:ascii="Times New Roman" w:hAnsi="Times New Roman"/>
          <w:sz w:val="24"/>
        </w:rPr>
        <w:t>Głównym filarem pomocy zapewnianej</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pri</w:t>
      </w:r>
      <w:r w:rsidRPr="00DA7D28">
        <w:rPr>
          <w:rFonts w:ascii="Times New Roman" w:hAnsi="Times New Roman"/>
          <w:sz w:val="24"/>
        </w:rPr>
        <w:t>orytetowym obszarze zdrowia jest projekt SIHHAT</w:t>
      </w:r>
      <w:r w:rsidRPr="00DA7D28">
        <w:rPr>
          <w:rStyle w:val="FootnoteReference"/>
          <w:rFonts w:ascii="Times New Roman" w:hAnsi="Times New Roman"/>
        </w:rPr>
        <w:footnoteReference w:id="51"/>
      </w:r>
      <w:r w:rsidRPr="00DA7D28">
        <w:rPr>
          <w:rFonts w:ascii="Times New Roman" w:hAnsi="Times New Roman"/>
          <w:sz w:val="24"/>
        </w:rPr>
        <w:t>, mający postać bezpośredniej dotacji dla tureckiego Ministerstwa Zdrowia</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war</w:t>
      </w:r>
      <w:r w:rsidRPr="00DA7D28">
        <w:rPr>
          <w:rFonts w:ascii="Times New Roman" w:hAnsi="Times New Roman"/>
          <w:sz w:val="24"/>
        </w:rPr>
        <w:t>tości 300 mln EUR, służący zagwarantowaniu uchodźcom dostępu do usług opieki zdrowotnej. Według stanu na grudzień 2018</w:t>
      </w:r>
      <w:r w:rsidR="008E2A80" w:rsidRPr="00DA7D28">
        <w:rPr>
          <w:rFonts w:ascii="Times New Roman" w:hAnsi="Times New Roman"/>
          <w:sz w:val="24"/>
        </w:rPr>
        <w:t> </w:t>
      </w:r>
      <w:r w:rsidRPr="00DA7D28">
        <w:rPr>
          <w:rFonts w:ascii="Times New Roman" w:hAnsi="Times New Roman"/>
          <w:sz w:val="24"/>
        </w:rPr>
        <w:t>r. dzięki instrumentowi zatrudniono 2 569 pracowników medycznych</w:t>
      </w:r>
      <w:r w:rsidRPr="00DA7D28">
        <w:rPr>
          <w:rFonts w:ascii="Times New Roman" w:hAnsi="Times New Roman"/>
          <w:sz w:val="24"/>
          <w:vertAlign w:val="superscript"/>
        </w:rPr>
        <w:footnoteReference w:id="52"/>
      </w:r>
      <w:r w:rsidRPr="00DA7D28">
        <w:rPr>
          <w:rFonts w:ascii="Times New Roman" w:hAnsi="Times New Roman"/>
          <w:sz w:val="24"/>
        </w:rPr>
        <w:t xml:space="preserve"> (z czego 69 % to uchodźcy syryjscy), którzy świadczą usługi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1</w:t>
      </w:r>
      <w:r w:rsidRPr="00DA7D28">
        <w:rPr>
          <w:rFonts w:ascii="Times New Roman" w:hAnsi="Times New Roman"/>
          <w:sz w:val="24"/>
        </w:rPr>
        <w:t>78 ośrodkach opieki zdrowotnej dla migrantów. 45</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tyc</w:t>
      </w:r>
      <w:r w:rsidRPr="00DA7D28">
        <w:rPr>
          <w:rFonts w:ascii="Times New Roman" w:hAnsi="Times New Roman"/>
          <w:sz w:val="24"/>
        </w:rPr>
        <w:t>h ośrodków zapewnia również podstawową specjalistyczną opiekę zdrowotną. Postępuje również realizacja projektów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infrastruktury zdrowotnej. Trwają przetargi na budowę dwóch szpitali państwowych (w Kilis</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Hat</w:t>
      </w:r>
      <w:r w:rsidRPr="00DA7D28">
        <w:rPr>
          <w:rFonts w:ascii="Times New Roman" w:hAnsi="Times New Roman"/>
          <w:sz w:val="24"/>
        </w:rPr>
        <w:t>ay). Otwarcie obu placówek, które łącznie mają zapewnić 500 łóżek szpitalnych, przewidywane jest na czerwiec 2021</w:t>
      </w:r>
      <w:r w:rsidR="008E2A80" w:rsidRPr="00DA7D28">
        <w:rPr>
          <w:rFonts w:ascii="Times New Roman" w:hAnsi="Times New Roman"/>
          <w:sz w:val="24"/>
        </w:rPr>
        <w:t> </w:t>
      </w:r>
      <w:r w:rsidRPr="00DA7D28">
        <w:rPr>
          <w:rFonts w:ascii="Times New Roman" w:hAnsi="Times New Roman"/>
          <w:sz w:val="24"/>
        </w:rPr>
        <w:t>r.</w:t>
      </w:r>
    </w:p>
    <w:p w:rsidR="00E90063" w:rsidRPr="00DA7D28" w:rsidRDefault="00BE7F2C" w:rsidP="00EC07AB">
      <w:pPr>
        <w:spacing w:after="120"/>
        <w:jc w:val="both"/>
        <w:rPr>
          <w:rFonts w:ascii="Times New Roman" w:eastAsia="Times New Roman" w:hAnsi="Times New Roman"/>
          <w:b/>
          <w:sz w:val="24"/>
          <w:szCs w:val="24"/>
          <w:u w:val="single"/>
        </w:rPr>
      </w:pPr>
      <w:r w:rsidRPr="00DA7D28">
        <w:rPr>
          <w:rFonts w:ascii="Times New Roman" w:hAnsi="Times New Roman"/>
          <w:b/>
          <w:sz w:val="24"/>
        </w:rPr>
        <w:t>Wsparcie społeczno-ekonomiczne</w:t>
      </w:r>
    </w:p>
    <w:p w:rsidR="00E90063" w:rsidRPr="00DA7D28" w:rsidRDefault="007E2168" w:rsidP="00EC07AB">
      <w:pPr>
        <w:spacing w:after="120"/>
        <w:jc w:val="both"/>
        <w:rPr>
          <w:rFonts w:ascii="Times New Roman" w:eastAsia="Times New Roman" w:hAnsi="Times New Roman"/>
          <w:sz w:val="24"/>
          <w:szCs w:val="24"/>
        </w:rPr>
      </w:pPr>
      <w:r w:rsidRPr="00DA7D28">
        <w:rPr>
          <w:rFonts w:ascii="Times New Roman" w:hAnsi="Times New Roman"/>
          <w:sz w:val="24"/>
        </w:rPr>
        <w:t>Dla integracji uchodźców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spo</w:t>
      </w:r>
      <w:r w:rsidRPr="00DA7D28">
        <w:rPr>
          <w:rFonts w:ascii="Times New Roman" w:hAnsi="Times New Roman"/>
          <w:sz w:val="24"/>
        </w:rPr>
        <w:t>łeczeństwie tureckim zasadnicze znaczenie mają działania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źródeł utrzymania oraz wsparcie społeczno-ekonomiczne, które sprzyja bardzo potrzebnej spójności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obu</w:t>
      </w:r>
      <w:r w:rsidRPr="00DA7D28">
        <w:rPr>
          <w:rFonts w:ascii="Times New Roman" w:hAnsi="Times New Roman"/>
          <w:sz w:val="24"/>
        </w:rPr>
        <w:t xml:space="preserve"> tych obszarach. Ponieważ najpoważniejszą przeszkodą na drodze do skutecznej integracji jest bariera językowa,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uchodźcy uczestniczą</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zaj</w:t>
      </w:r>
      <w:r w:rsidRPr="00DA7D28">
        <w:rPr>
          <w:rFonts w:ascii="Times New Roman" w:hAnsi="Times New Roman"/>
          <w:sz w:val="24"/>
        </w:rPr>
        <w:t>ęciach</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jęz</w:t>
      </w:r>
      <w:r w:rsidRPr="00DA7D28">
        <w:rPr>
          <w:rFonts w:ascii="Times New Roman" w:hAnsi="Times New Roman"/>
          <w:sz w:val="24"/>
        </w:rPr>
        <w:t>yka tureckiego</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pierwszej transzy łączna pomoc</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tej</w:t>
      </w:r>
      <w:r w:rsidRPr="00DA7D28">
        <w:rPr>
          <w:rFonts w:ascii="Times New Roman" w:hAnsi="Times New Roman"/>
          <w:sz w:val="24"/>
        </w:rPr>
        <w:t xml:space="preserve"> dziedzinie wyniosła 196,6 mln EUR</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obj</w:t>
      </w:r>
      <w:r w:rsidRPr="00DA7D28">
        <w:rPr>
          <w:rFonts w:ascii="Times New Roman" w:hAnsi="Times New Roman"/>
          <w:sz w:val="24"/>
        </w:rPr>
        <w:t>ęła osiem projektów</w:t>
      </w:r>
      <w:r w:rsidRPr="00DA7D28">
        <w:rPr>
          <w:rStyle w:val="FootnoteReference"/>
          <w:rFonts w:ascii="Times New Roman" w:hAnsi="Times New Roman"/>
        </w:rPr>
        <w:footnoteReference w:id="53"/>
      </w:r>
      <w:r w:rsidRPr="00DA7D28">
        <w:rPr>
          <w:rFonts w:ascii="Times New Roman" w:hAnsi="Times New Roman"/>
          <w:sz w:val="24"/>
        </w:rPr>
        <w:t>. Należy znacznie zwiększyć skalę wsparcia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drugiej transzy, aby zapewnić trwałe rezultaty</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dal</w:t>
      </w:r>
      <w:r w:rsidRPr="00DA7D28">
        <w:rPr>
          <w:rFonts w:ascii="Times New Roman" w:hAnsi="Times New Roman"/>
          <w:sz w:val="24"/>
        </w:rPr>
        <w:t>szą integrację uchodźców</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gru</w:t>
      </w:r>
      <w:r w:rsidRPr="00DA7D28">
        <w:rPr>
          <w:rFonts w:ascii="Times New Roman" w:hAnsi="Times New Roman"/>
          <w:sz w:val="24"/>
        </w:rPr>
        <w:t>dniu 2018</w:t>
      </w:r>
      <w:r w:rsidR="008E2A80" w:rsidRPr="00DA7D28">
        <w:rPr>
          <w:rFonts w:ascii="Times New Roman" w:hAnsi="Times New Roman"/>
          <w:sz w:val="24"/>
        </w:rPr>
        <w:t> </w:t>
      </w:r>
      <w:r w:rsidRPr="00DA7D28">
        <w:rPr>
          <w:rFonts w:ascii="Times New Roman" w:hAnsi="Times New Roman"/>
          <w:sz w:val="24"/>
        </w:rPr>
        <w:t>r. ogłoszono zaproszenie do wyrażenia zainteresowania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dzi</w:t>
      </w:r>
      <w:r w:rsidRPr="00DA7D28">
        <w:rPr>
          <w:rFonts w:ascii="Times New Roman" w:hAnsi="Times New Roman"/>
          <w:sz w:val="24"/>
        </w:rPr>
        <w:t>edzinie wsparcia społeczno-ekonomicznego</w:t>
      </w:r>
      <w:r w:rsidRPr="00DA7D28">
        <w:rPr>
          <w:rStyle w:val="FootnoteReference"/>
          <w:rFonts w:ascii="Times New Roman" w:hAnsi="Times New Roman"/>
        </w:rPr>
        <w:footnoteReference w:id="54"/>
      </w:r>
      <w:r w:rsidRPr="00DA7D28">
        <w:rPr>
          <w:rFonts w:ascii="Times New Roman" w:hAnsi="Times New Roman"/>
          <w:sz w:val="24"/>
        </w:rPr>
        <w:t>, przeznaczając 465 mln EUR na projekty, które mają poprawić odporność</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sam</w:t>
      </w:r>
      <w:r w:rsidRPr="00DA7D28">
        <w:rPr>
          <w:rFonts w:ascii="Times New Roman" w:hAnsi="Times New Roman"/>
          <w:sz w:val="24"/>
        </w:rPr>
        <w:t>odzielność uchodźców.</w:t>
      </w:r>
      <w:r w:rsidR="00464275" w:rsidRPr="00DA7D28">
        <w:rPr>
          <w:rFonts w:ascii="Times New Roman" w:hAnsi="Times New Roman"/>
          <w:sz w:val="24"/>
        </w:rPr>
        <w:t xml:space="preserve"> </w:t>
      </w:r>
    </w:p>
    <w:p w:rsidR="00794864" w:rsidRPr="00DA7D28" w:rsidRDefault="00DD368A" w:rsidP="00794864">
      <w:pPr>
        <w:spacing w:before="120"/>
        <w:jc w:val="both"/>
        <w:rPr>
          <w:rFonts w:ascii="Times New Roman" w:eastAsia="Times New Roman" w:hAnsi="Times New Roman"/>
          <w:color w:val="000000"/>
          <w:sz w:val="24"/>
          <w:szCs w:val="24"/>
        </w:rPr>
      </w:pPr>
      <w:r w:rsidRPr="00DA7D28">
        <w:rPr>
          <w:rFonts w:ascii="Times New Roman" w:hAnsi="Times New Roman"/>
          <w:color w:val="000000"/>
          <w:sz w:val="24"/>
        </w:rPr>
        <w:t>Projekt</w:t>
      </w:r>
      <w:r w:rsidR="00DA7D28" w:rsidRPr="00DA7D28">
        <w:rPr>
          <w:rFonts w:ascii="Times New Roman" w:hAnsi="Times New Roman"/>
          <w:color w:val="000000"/>
          <w:sz w:val="24"/>
        </w:rPr>
        <w:t xml:space="preserve"> o</w:t>
      </w:r>
      <w:r w:rsidR="00DA7D28">
        <w:rPr>
          <w:rFonts w:ascii="Times New Roman" w:hAnsi="Times New Roman"/>
          <w:color w:val="000000"/>
          <w:sz w:val="24"/>
        </w:rPr>
        <w:t> </w:t>
      </w:r>
      <w:r w:rsidR="00DA7D28" w:rsidRPr="00DA7D28">
        <w:rPr>
          <w:rFonts w:ascii="Times New Roman" w:hAnsi="Times New Roman"/>
          <w:color w:val="000000"/>
          <w:sz w:val="24"/>
        </w:rPr>
        <w:t>war</w:t>
      </w:r>
      <w:r w:rsidRPr="00DA7D28">
        <w:rPr>
          <w:rFonts w:ascii="Times New Roman" w:hAnsi="Times New Roman"/>
          <w:color w:val="000000"/>
          <w:sz w:val="24"/>
        </w:rPr>
        <w:t>tości 50 mln EUR realizowany przez Kreditanstalt für Wiederaufbau (KfW) zapewnia uchodźcom oraz tureckim nastolatkom lepszy dostęp do wysokiej jakości integracyjnego kształcenia</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szk</w:t>
      </w:r>
      <w:r w:rsidRPr="00DA7D28">
        <w:rPr>
          <w:rFonts w:ascii="Times New Roman" w:hAnsi="Times New Roman"/>
          <w:color w:val="000000"/>
          <w:sz w:val="24"/>
        </w:rPr>
        <w:t>olenia zawodowego</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zaw</w:t>
      </w:r>
      <w:r w:rsidRPr="00DA7D28">
        <w:rPr>
          <w:rFonts w:ascii="Times New Roman" w:hAnsi="Times New Roman"/>
          <w:color w:val="000000"/>
          <w:sz w:val="24"/>
        </w:rPr>
        <w:t>odach, na które jest duży popyt na rynku pracy</w:t>
      </w:r>
      <w:r w:rsidR="00DA7D28" w:rsidRPr="00DA7D28">
        <w:rPr>
          <w:rFonts w:ascii="Times New Roman" w:hAnsi="Times New Roman"/>
          <w:color w:val="000000"/>
          <w:sz w:val="24"/>
        </w:rPr>
        <w:t>. Z</w:t>
      </w:r>
      <w:r w:rsidR="00DA7D28">
        <w:rPr>
          <w:rFonts w:ascii="Times New Roman" w:hAnsi="Times New Roman"/>
          <w:color w:val="000000"/>
          <w:sz w:val="24"/>
        </w:rPr>
        <w:t> </w:t>
      </w:r>
      <w:r w:rsidR="00DA7D28" w:rsidRPr="00DA7D28">
        <w:rPr>
          <w:rFonts w:ascii="Times New Roman" w:hAnsi="Times New Roman"/>
          <w:color w:val="000000"/>
          <w:sz w:val="24"/>
        </w:rPr>
        <w:t>kol</w:t>
      </w:r>
      <w:r w:rsidRPr="00DA7D28">
        <w:rPr>
          <w:rFonts w:ascii="Times New Roman" w:hAnsi="Times New Roman"/>
          <w:color w:val="000000"/>
          <w:sz w:val="24"/>
        </w:rPr>
        <w:t>ei</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ram</w:t>
      </w:r>
      <w:r w:rsidRPr="00DA7D28">
        <w:rPr>
          <w:rFonts w:ascii="Times New Roman" w:hAnsi="Times New Roman"/>
          <w:color w:val="000000"/>
          <w:sz w:val="24"/>
        </w:rPr>
        <w:t>ach projektu wdrażanego przez Bank Światowy, również</w:t>
      </w:r>
      <w:r w:rsidR="00DA7D28" w:rsidRPr="00DA7D28">
        <w:rPr>
          <w:rFonts w:ascii="Times New Roman" w:hAnsi="Times New Roman"/>
          <w:color w:val="000000"/>
          <w:sz w:val="24"/>
        </w:rPr>
        <w:t xml:space="preserve"> o</w:t>
      </w:r>
      <w:r w:rsidR="00DA7D28">
        <w:rPr>
          <w:rFonts w:ascii="Times New Roman" w:hAnsi="Times New Roman"/>
          <w:color w:val="000000"/>
          <w:sz w:val="24"/>
        </w:rPr>
        <w:t> </w:t>
      </w:r>
      <w:r w:rsidR="00DA7D28" w:rsidRPr="00DA7D28">
        <w:rPr>
          <w:rFonts w:ascii="Times New Roman" w:hAnsi="Times New Roman"/>
          <w:color w:val="000000"/>
          <w:sz w:val="24"/>
        </w:rPr>
        <w:t>war</w:t>
      </w:r>
      <w:r w:rsidRPr="00DA7D28">
        <w:rPr>
          <w:rFonts w:ascii="Times New Roman" w:hAnsi="Times New Roman"/>
          <w:color w:val="000000"/>
          <w:sz w:val="24"/>
        </w:rPr>
        <w:t>tości 50 mln EUR, dąży się do zwiększenia szans na zatrudnienie</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int</w:t>
      </w:r>
      <w:r w:rsidRPr="00DA7D28">
        <w:rPr>
          <w:rFonts w:ascii="Times New Roman" w:hAnsi="Times New Roman"/>
          <w:color w:val="000000"/>
          <w:sz w:val="24"/>
        </w:rPr>
        <w:t>egracji na rynku pracy uchodźców</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czł</w:t>
      </w:r>
      <w:r w:rsidRPr="00DA7D28">
        <w:rPr>
          <w:rFonts w:ascii="Times New Roman" w:hAnsi="Times New Roman"/>
          <w:color w:val="000000"/>
          <w:sz w:val="24"/>
        </w:rPr>
        <w:t>onków społeczności przyjmujących</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Tur</w:t>
      </w:r>
      <w:r w:rsidRPr="00DA7D28">
        <w:rPr>
          <w:rFonts w:ascii="Times New Roman" w:hAnsi="Times New Roman"/>
          <w:color w:val="000000"/>
          <w:sz w:val="24"/>
        </w:rPr>
        <w:t>cji. Wsparcie instytucjonalne na rzecz służb zatrudnienia przyczynia się do wzmocnienia zdolności tureckiej agencji pośrednictwa pracy</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zak</w:t>
      </w:r>
      <w:r w:rsidRPr="00DA7D28">
        <w:rPr>
          <w:rFonts w:ascii="Times New Roman" w:hAnsi="Times New Roman"/>
          <w:color w:val="000000"/>
          <w:sz w:val="24"/>
        </w:rPr>
        <w:t>resie zapewniania doradztwa</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pom</w:t>
      </w:r>
      <w:r w:rsidRPr="00DA7D28">
        <w:rPr>
          <w:rFonts w:ascii="Times New Roman" w:hAnsi="Times New Roman"/>
          <w:color w:val="000000"/>
          <w:sz w:val="24"/>
        </w:rPr>
        <w:t>ocy</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zna</w:t>
      </w:r>
      <w:r w:rsidRPr="00DA7D28">
        <w:rPr>
          <w:rFonts w:ascii="Times New Roman" w:hAnsi="Times New Roman"/>
          <w:color w:val="000000"/>
          <w:sz w:val="24"/>
        </w:rPr>
        <w:t>lezieniu pracy,</w:t>
      </w:r>
      <w:r w:rsidR="00DA7D28" w:rsidRPr="00DA7D28">
        <w:rPr>
          <w:rFonts w:ascii="Times New Roman" w:hAnsi="Times New Roman"/>
          <w:color w:val="000000"/>
          <w:sz w:val="24"/>
        </w:rPr>
        <w:t xml:space="preserve"> a</w:t>
      </w:r>
      <w:r w:rsidR="00DA7D28">
        <w:rPr>
          <w:rFonts w:ascii="Times New Roman" w:hAnsi="Times New Roman"/>
          <w:color w:val="000000"/>
          <w:sz w:val="24"/>
        </w:rPr>
        <w:t> </w:t>
      </w:r>
      <w:r w:rsidR="00DA7D28" w:rsidRPr="00DA7D28">
        <w:rPr>
          <w:rFonts w:ascii="Times New Roman" w:hAnsi="Times New Roman"/>
          <w:color w:val="000000"/>
          <w:sz w:val="24"/>
        </w:rPr>
        <w:t>tak</w:t>
      </w:r>
      <w:r w:rsidRPr="00DA7D28">
        <w:rPr>
          <w:rFonts w:ascii="Times New Roman" w:hAnsi="Times New Roman"/>
          <w:color w:val="000000"/>
          <w:sz w:val="24"/>
        </w:rPr>
        <w:t>że do wzmocnienia zdolności tureckiego Ministerstwa Rodziny, Pracy</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Pol</w:t>
      </w:r>
      <w:r w:rsidRPr="00DA7D28">
        <w:rPr>
          <w:rFonts w:ascii="Times New Roman" w:hAnsi="Times New Roman"/>
          <w:color w:val="000000"/>
          <w:sz w:val="24"/>
        </w:rPr>
        <w:t>ityki Społecznej</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obs</w:t>
      </w:r>
      <w:r w:rsidRPr="00DA7D28">
        <w:rPr>
          <w:rFonts w:ascii="Times New Roman" w:hAnsi="Times New Roman"/>
          <w:color w:val="000000"/>
          <w:sz w:val="24"/>
        </w:rPr>
        <w:t>zarze monitorowania udzielania zezwoleń na pracę</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świ</w:t>
      </w:r>
      <w:r w:rsidRPr="00DA7D28">
        <w:rPr>
          <w:rFonts w:ascii="Times New Roman" w:hAnsi="Times New Roman"/>
          <w:color w:val="000000"/>
          <w:sz w:val="24"/>
        </w:rPr>
        <w:t>adczenia usług dotyczących zatrudnienia.</w:t>
      </w:r>
      <w:r w:rsidRPr="00DA7D28">
        <w:rPr>
          <w:rFonts w:ascii="Times New Roman" w:hAnsi="Times New Roman"/>
          <w:sz w:val="24"/>
        </w:rPr>
        <w:t xml:space="preserve"> </w:t>
      </w:r>
      <w:r w:rsidRPr="00DA7D28">
        <w:rPr>
          <w:rFonts w:ascii="Times New Roman" w:hAnsi="Times New Roman"/>
          <w:color w:val="000000"/>
          <w:sz w:val="24"/>
        </w:rPr>
        <w:t>Władze tureckie otrzymują ponadto wsparcie na zwiększenie zdolności</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zak</w:t>
      </w:r>
      <w:r w:rsidRPr="00DA7D28">
        <w:rPr>
          <w:rFonts w:ascii="Times New Roman" w:hAnsi="Times New Roman"/>
          <w:color w:val="000000"/>
          <w:sz w:val="24"/>
        </w:rPr>
        <w:t>resie oceny zapotrzebowania na umiejętności</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wyb</w:t>
      </w:r>
      <w:r w:rsidRPr="00DA7D28">
        <w:rPr>
          <w:rFonts w:ascii="Times New Roman" w:hAnsi="Times New Roman"/>
          <w:color w:val="000000"/>
          <w:sz w:val="24"/>
        </w:rPr>
        <w:t>ranych prowincjach,</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któ</w:t>
      </w:r>
      <w:r w:rsidRPr="00DA7D28">
        <w:rPr>
          <w:rFonts w:ascii="Times New Roman" w:hAnsi="Times New Roman"/>
          <w:color w:val="000000"/>
          <w:sz w:val="24"/>
        </w:rPr>
        <w:t>rych liczba uchodźców jest wysoka, oraz na promowanie działań wspierających tworzenie miejsc pracy</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prz</w:t>
      </w:r>
      <w:r w:rsidRPr="00DA7D28">
        <w:rPr>
          <w:rFonts w:ascii="Times New Roman" w:hAnsi="Times New Roman"/>
          <w:color w:val="000000"/>
          <w:sz w:val="24"/>
        </w:rPr>
        <w:t xml:space="preserve">edsiębiorczość. </w:t>
      </w:r>
    </w:p>
    <w:p w:rsidR="00794864" w:rsidRPr="00DA7D28" w:rsidRDefault="00DD368A" w:rsidP="00794864">
      <w:pPr>
        <w:spacing w:before="120" w:after="120"/>
        <w:jc w:val="both"/>
        <w:rPr>
          <w:rFonts w:ascii="Times New Roman" w:eastAsia="Times New Roman" w:hAnsi="Times New Roman"/>
          <w:color w:val="000000"/>
          <w:sz w:val="24"/>
          <w:szCs w:val="24"/>
        </w:rPr>
      </w:pPr>
      <w:r w:rsidRPr="00DA7D28">
        <w:rPr>
          <w:rFonts w:ascii="Times New Roman" w:hAnsi="Times New Roman"/>
          <w:color w:val="000000"/>
          <w:sz w:val="24"/>
        </w:rPr>
        <w:t>Za pośrednictwem regionalnego funduszu powierniczego UE</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odp</w:t>
      </w:r>
      <w:r w:rsidRPr="00DA7D28">
        <w:rPr>
          <w:rFonts w:ascii="Times New Roman" w:hAnsi="Times New Roman"/>
          <w:color w:val="000000"/>
          <w:sz w:val="24"/>
        </w:rPr>
        <w:t>owiedzi na kryzys</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Syr</w:t>
      </w:r>
      <w:r w:rsidRPr="00DA7D28">
        <w:rPr>
          <w:rFonts w:ascii="Times New Roman" w:hAnsi="Times New Roman"/>
          <w:color w:val="000000"/>
          <w:sz w:val="24"/>
        </w:rPr>
        <w:t>ii finansowanych jest szereg projektów</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klu</w:t>
      </w:r>
      <w:r w:rsidRPr="00DA7D28">
        <w:rPr>
          <w:rFonts w:ascii="Times New Roman" w:hAnsi="Times New Roman"/>
          <w:color w:val="000000"/>
          <w:sz w:val="24"/>
        </w:rPr>
        <w:t>czowych obszarach takich jak nauka języka tureckiego dla dorosłych, certyfikacja kompetencji</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por</w:t>
      </w:r>
      <w:r w:rsidRPr="00DA7D28">
        <w:rPr>
          <w:rFonts w:ascii="Times New Roman" w:hAnsi="Times New Roman"/>
          <w:color w:val="000000"/>
          <w:sz w:val="24"/>
        </w:rPr>
        <w:t>adnictwo zawodowe, usługi dopasowywania ofert zatrudnienia</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osó</w:t>
      </w:r>
      <w:r w:rsidRPr="00DA7D28">
        <w:rPr>
          <w:rFonts w:ascii="Times New Roman" w:hAnsi="Times New Roman"/>
          <w:color w:val="000000"/>
          <w:sz w:val="24"/>
        </w:rPr>
        <w:t xml:space="preserve">b poszukujących pracy, wsparcie dla MŚP, przedsiębiorczość, tworzenie miejsc pracy, itp. </w:t>
      </w:r>
    </w:p>
    <w:p w:rsidR="00A640F4" w:rsidRPr="00DA7D28" w:rsidRDefault="001F2559" w:rsidP="00EC07AB">
      <w:pPr>
        <w:spacing w:after="120"/>
        <w:jc w:val="both"/>
        <w:rPr>
          <w:rFonts w:ascii="Times New Roman" w:eastAsia="Times New Roman" w:hAnsi="Times New Roman"/>
          <w:sz w:val="24"/>
          <w:szCs w:val="24"/>
        </w:rPr>
      </w:pPr>
      <w:r w:rsidRPr="00DA7D28">
        <w:rPr>
          <w:rFonts w:ascii="Times New Roman" w:hAnsi="Times New Roman"/>
          <w:sz w:val="24"/>
        </w:rPr>
        <w:t>Ośrodki społeczności lokalnej finansowane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również zapewniają szeroki wachlarz usług, począwszy od szkoleń, przez informowanie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kon</w:t>
      </w:r>
      <w:r w:rsidRPr="00DA7D28">
        <w:rPr>
          <w:rFonts w:ascii="Times New Roman" w:hAnsi="Times New Roman"/>
          <w:sz w:val="24"/>
        </w:rPr>
        <w:t>sultacje, po wydarzenia kulturalne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imp</w:t>
      </w:r>
      <w:r w:rsidRPr="00DA7D28">
        <w:rPr>
          <w:rFonts w:ascii="Times New Roman" w:hAnsi="Times New Roman"/>
          <w:sz w:val="24"/>
        </w:rPr>
        <w:t>rezy służące nawiązywaniu kontaktów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cel</w:t>
      </w:r>
      <w:r w:rsidRPr="00DA7D28">
        <w:rPr>
          <w:rFonts w:ascii="Times New Roman" w:hAnsi="Times New Roman"/>
          <w:sz w:val="24"/>
        </w:rPr>
        <w:t>u zwiększenia odporności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sam</w:t>
      </w:r>
      <w:r w:rsidRPr="00DA7D28">
        <w:rPr>
          <w:rFonts w:ascii="Times New Roman" w:hAnsi="Times New Roman"/>
          <w:sz w:val="24"/>
        </w:rPr>
        <w:t>odzielności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spo</w:t>
      </w:r>
      <w:r w:rsidRPr="00DA7D28">
        <w:rPr>
          <w:rFonts w:ascii="Times New Roman" w:hAnsi="Times New Roman"/>
          <w:sz w:val="24"/>
        </w:rPr>
        <w:t xml:space="preserve">łeczności przyjmujących. </w:t>
      </w:r>
      <w:r w:rsidRPr="00DA7D28">
        <w:rPr>
          <w:rFonts w:ascii="Times New Roman" w:hAnsi="Times New Roman"/>
          <w:color w:val="000000"/>
          <w:sz w:val="24"/>
        </w:rPr>
        <w:t>Ponadto</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sty</w:t>
      </w:r>
      <w:r w:rsidRPr="00DA7D28">
        <w:rPr>
          <w:rFonts w:ascii="Times New Roman" w:hAnsi="Times New Roman"/>
          <w:color w:val="000000"/>
          <w:sz w:val="24"/>
        </w:rPr>
        <w:t>czniu 2019</w:t>
      </w:r>
      <w:r w:rsidR="008E2A80" w:rsidRPr="00DA7D28">
        <w:rPr>
          <w:rFonts w:ascii="Times New Roman" w:hAnsi="Times New Roman"/>
          <w:color w:val="000000"/>
          <w:sz w:val="24"/>
        </w:rPr>
        <w:t> </w:t>
      </w:r>
      <w:r w:rsidRPr="00DA7D28">
        <w:rPr>
          <w:rFonts w:ascii="Times New Roman" w:hAnsi="Times New Roman"/>
          <w:color w:val="000000"/>
          <w:sz w:val="24"/>
        </w:rPr>
        <w:t>r. –</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kon</w:t>
      </w:r>
      <w:r w:rsidRPr="00DA7D28">
        <w:rPr>
          <w:rFonts w:ascii="Times New Roman" w:hAnsi="Times New Roman"/>
          <w:color w:val="000000"/>
          <w:sz w:val="24"/>
        </w:rPr>
        <w:t>tekście trwającego projektu UN Women, którego celem jest upodmiotowienie</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wzm</w:t>
      </w:r>
      <w:r w:rsidRPr="00DA7D28">
        <w:rPr>
          <w:rFonts w:ascii="Times New Roman" w:hAnsi="Times New Roman"/>
          <w:color w:val="000000"/>
          <w:sz w:val="24"/>
        </w:rPr>
        <w:t>ocnienie odporności syryjskich kobiet</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dzi</w:t>
      </w:r>
      <w:r w:rsidRPr="00DA7D28">
        <w:rPr>
          <w:rFonts w:ascii="Times New Roman" w:hAnsi="Times New Roman"/>
          <w:color w:val="000000"/>
          <w:sz w:val="24"/>
        </w:rPr>
        <w:t>ewcząt oraz budowanie spójności społecznej</w:t>
      </w:r>
      <w:r w:rsidR="00DA7D28" w:rsidRPr="00DA7D28">
        <w:rPr>
          <w:rFonts w:ascii="Times New Roman" w:hAnsi="Times New Roman"/>
          <w:color w:val="000000"/>
          <w:sz w:val="24"/>
        </w:rPr>
        <w:t xml:space="preserve"> z</w:t>
      </w:r>
      <w:r w:rsidR="00DA7D28">
        <w:rPr>
          <w:rFonts w:ascii="Times New Roman" w:hAnsi="Times New Roman"/>
          <w:color w:val="000000"/>
          <w:sz w:val="24"/>
        </w:rPr>
        <w:t> </w:t>
      </w:r>
      <w:r w:rsidR="00DA7D28" w:rsidRPr="00DA7D28">
        <w:rPr>
          <w:rFonts w:ascii="Times New Roman" w:hAnsi="Times New Roman"/>
          <w:color w:val="000000"/>
          <w:sz w:val="24"/>
        </w:rPr>
        <w:t>prz</w:t>
      </w:r>
      <w:r w:rsidRPr="00DA7D28">
        <w:rPr>
          <w:rFonts w:ascii="Times New Roman" w:hAnsi="Times New Roman"/>
          <w:color w:val="000000"/>
          <w:sz w:val="24"/>
        </w:rPr>
        <w:t>yjmującymi je społecznościami</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Tur</w:t>
      </w:r>
      <w:r w:rsidRPr="00DA7D28">
        <w:rPr>
          <w:rFonts w:ascii="Times New Roman" w:hAnsi="Times New Roman"/>
          <w:color w:val="000000"/>
          <w:sz w:val="24"/>
        </w:rPr>
        <w:t>cji – zorganizowano konferencję poświęconą sposobom szerszego uwzględnienia problematyki płci</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dzi</w:t>
      </w:r>
      <w:r w:rsidRPr="00DA7D28">
        <w:rPr>
          <w:rFonts w:ascii="Times New Roman" w:hAnsi="Times New Roman"/>
          <w:color w:val="000000"/>
          <w:sz w:val="24"/>
        </w:rPr>
        <w:t>ałaniach podejmowanych</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zwi</w:t>
      </w:r>
      <w:r w:rsidRPr="00DA7D28">
        <w:rPr>
          <w:rFonts w:ascii="Times New Roman" w:hAnsi="Times New Roman"/>
          <w:color w:val="000000"/>
          <w:sz w:val="24"/>
        </w:rPr>
        <w:t>ązku</w:t>
      </w:r>
      <w:r w:rsidR="00DA7D28" w:rsidRPr="00DA7D28">
        <w:rPr>
          <w:rFonts w:ascii="Times New Roman" w:hAnsi="Times New Roman"/>
          <w:color w:val="000000"/>
          <w:sz w:val="24"/>
        </w:rPr>
        <w:t xml:space="preserve"> z</w:t>
      </w:r>
      <w:r w:rsidR="00DA7D28">
        <w:rPr>
          <w:rFonts w:ascii="Times New Roman" w:hAnsi="Times New Roman"/>
          <w:color w:val="000000"/>
          <w:sz w:val="24"/>
        </w:rPr>
        <w:t> </w:t>
      </w:r>
      <w:r w:rsidR="00DA7D28" w:rsidRPr="00DA7D28">
        <w:rPr>
          <w:rFonts w:ascii="Times New Roman" w:hAnsi="Times New Roman"/>
          <w:color w:val="000000"/>
          <w:sz w:val="24"/>
        </w:rPr>
        <w:t>nap</w:t>
      </w:r>
      <w:r w:rsidRPr="00DA7D28">
        <w:rPr>
          <w:rFonts w:ascii="Times New Roman" w:hAnsi="Times New Roman"/>
          <w:color w:val="000000"/>
          <w:sz w:val="24"/>
        </w:rPr>
        <w:t xml:space="preserve">ływem uchodźców do Turcji. </w:t>
      </w:r>
    </w:p>
    <w:p w:rsidR="00867EB4" w:rsidRPr="00DA7D28" w:rsidRDefault="00A640F4" w:rsidP="00867EB4">
      <w:pPr>
        <w:spacing w:line="240" w:lineRule="atLeast"/>
        <w:rPr>
          <w:rFonts w:ascii="Times New Roman" w:eastAsia="Times New Roman" w:hAnsi="Times New Roman"/>
          <w:b/>
          <w:color w:val="000000"/>
          <w:sz w:val="24"/>
          <w:szCs w:val="24"/>
        </w:rPr>
      </w:pPr>
      <w:r w:rsidRPr="00DA7D28">
        <w:rPr>
          <w:rFonts w:ascii="Times New Roman" w:hAnsi="Times New Roman"/>
          <w:b/>
          <w:color w:val="000000"/>
          <w:sz w:val="24"/>
        </w:rPr>
        <w:t>Aspekty płci</w:t>
      </w:r>
      <w:r w:rsidR="00DA7D28" w:rsidRPr="00DA7D28">
        <w:rPr>
          <w:rFonts w:ascii="Times New Roman" w:hAnsi="Times New Roman"/>
          <w:b/>
          <w:color w:val="000000"/>
          <w:sz w:val="24"/>
        </w:rPr>
        <w:t xml:space="preserve"> w</w:t>
      </w:r>
      <w:r w:rsidR="00DA7D28">
        <w:rPr>
          <w:rFonts w:ascii="Times New Roman" w:hAnsi="Times New Roman"/>
          <w:b/>
          <w:color w:val="000000"/>
          <w:sz w:val="24"/>
        </w:rPr>
        <w:t> </w:t>
      </w:r>
      <w:r w:rsidR="00DA7D28" w:rsidRPr="00DA7D28">
        <w:rPr>
          <w:rFonts w:ascii="Times New Roman" w:hAnsi="Times New Roman"/>
          <w:b/>
          <w:color w:val="000000"/>
          <w:sz w:val="24"/>
        </w:rPr>
        <w:t>pro</w:t>
      </w:r>
      <w:r w:rsidRPr="00DA7D28">
        <w:rPr>
          <w:rFonts w:ascii="Times New Roman" w:hAnsi="Times New Roman"/>
          <w:b/>
          <w:color w:val="000000"/>
          <w:sz w:val="24"/>
        </w:rPr>
        <w:t>jektach realizowanych</w:t>
      </w:r>
      <w:r w:rsidR="00DA7D28" w:rsidRPr="00DA7D28">
        <w:rPr>
          <w:rFonts w:ascii="Times New Roman" w:hAnsi="Times New Roman"/>
          <w:b/>
          <w:color w:val="000000"/>
          <w:sz w:val="24"/>
        </w:rPr>
        <w:t xml:space="preserve"> w</w:t>
      </w:r>
      <w:r w:rsidR="00DA7D28">
        <w:rPr>
          <w:rFonts w:ascii="Times New Roman" w:hAnsi="Times New Roman"/>
          <w:b/>
          <w:color w:val="000000"/>
          <w:sz w:val="24"/>
        </w:rPr>
        <w:t> </w:t>
      </w:r>
      <w:r w:rsidR="00DA7D28" w:rsidRPr="00DA7D28">
        <w:rPr>
          <w:rFonts w:ascii="Times New Roman" w:hAnsi="Times New Roman"/>
          <w:b/>
          <w:color w:val="000000"/>
          <w:sz w:val="24"/>
        </w:rPr>
        <w:t>ram</w:t>
      </w:r>
      <w:r w:rsidRPr="00DA7D28">
        <w:rPr>
          <w:rFonts w:ascii="Times New Roman" w:hAnsi="Times New Roman"/>
          <w:b/>
          <w:color w:val="000000"/>
          <w:sz w:val="24"/>
        </w:rPr>
        <w:t>ach instrumentu</w:t>
      </w:r>
    </w:p>
    <w:p w:rsidR="00867EB4" w:rsidRPr="00DA7D28" w:rsidRDefault="00867EB4" w:rsidP="00867EB4">
      <w:pPr>
        <w:spacing w:line="240" w:lineRule="atLeast"/>
        <w:rPr>
          <w:rFonts w:ascii="Times New Roman" w:eastAsia="Times New Roman" w:hAnsi="Times New Roman"/>
          <w:b/>
          <w:color w:val="000000"/>
          <w:sz w:val="24"/>
          <w:szCs w:val="24"/>
        </w:rPr>
      </w:pPr>
    </w:p>
    <w:tbl>
      <w:tblPr>
        <w:tblStyle w:val="TableGrid"/>
        <w:tblW w:w="0" w:type="auto"/>
        <w:tblLook w:val="04A0" w:firstRow="1" w:lastRow="0" w:firstColumn="1" w:lastColumn="0" w:noHBand="0" w:noVBand="1"/>
      </w:tblPr>
      <w:tblGrid>
        <w:gridCol w:w="9286"/>
      </w:tblGrid>
      <w:tr w:rsidR="00A640F4" w:rsidRPr="00DA7D28" w:rsidTr="001E59AD">
        <w:tc>
          <w:tcPr>
            <w:tcW w:w="9288" w:type="dxa"/>
          </w:tcPr>
          <w:p w:rsidR="00A640F4" w:rsidRPr="00DA7D28" w:rsidRDefault="00A640F4" w:rsidP="00A67DE6">
            <w:pPr>
              <w:spacing w:after="120" w:line="240" w:lineRule="atLeast"/>
              <w:jc w:val="both"/>
              <w:rPr>
                <w:rFonts w:ascii="Times New Roman" w:eastAsia="Times New Roman" w:hAnsi="Times New Roman"/>
                <w:color w:val="000000"/>
                <w:sz w:val="24"/>
                <w:szCs w:val="24"/>
              </w:rPr>
            </w:pPr>
            <w:r w:rsidRPr="00DA7D28">
              <w:rPr>
                <w:rFonts w:ascii="Times New Roman" w:hAnsi="Times New Roman"/>
                <w:color w:val="000000"/>
                <w:sz w:val="24"/>
              </w:rPr>
              <w:t>Problematyka płci jest ważnym elementem uwzględnianym</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pro</w:t>
            </w:r>
            <w:r w:rsidRPr="00DA7D28">
              <w:rPr>
                <w:rFonts w:ascii="Times New Roman" w:hAnsi="Times New Roman"/>
                <w:color w:val="000000"/>
                <w:sz w:val="24"/>
              </w:rPr>
              <w:t>gramowaniu projektów realizowanych</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ram</w:t>
            </w:r>
            <w:r w:rsidRPr="00DA7D28">
              <w:rPr>
                <w:rFonts w:ascii="Times New Roman" w:hAnsi="Times New Roman"/>
                <w:color w:val="000000"/>
                <w:sz w:val="24"/>
              </w:rPr>
              <w:t>ach Instrumentu Pomocy dla Uchodźców</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Tur</w:t>
            </w:r>
            <w:r w:rsidRPr="00DA7D28">
              <w:rPr>
                <w:rFonts w:ascii="Times New Roman" w:hAnsi="Times New Roman"/>
                <w:color w:val="000000"/>
                <w:sz w:val="24"/>
              </w:rPr>
              <w:t>cji. Podejmowane interwencje mają promować równe szanse dla kobiet</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męż</w:t>
            </w:r>
            <w:r w:rsidRPr="00DA7D28">
              <w:rPr>
                <w:rFonts w:ascii="Times New Roman" w:hAnsi="Times New Roman"/>
                <w:color w:val="000000"/>
                <w:sz w:val="24"/>
              </w:rPr>
              <w:t>czyzn, jak również dla dziewcząt</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chł</w:t>
            </w:r>
            <w:r w:rsidRPr="00DA7D28">
              <w:rPr>
                <w:rFonts w:ascii="Times New Roman" w:hAnsi="Times New Roman"/>
                <w:color w:val="000000"/>
                <w:sz w:val="24"/>
              </w:rPr>
              <w:t>opców, zawsze, gdy to możliwe</w:t>
            </w:r>
            <w:r w:rsidR="00DA7D28" w:rsidRPr="00DA7D28">
              <w:rPr>
                <w:rFonts w:ascii="Times New Roman" w:hAnsi="Times New Roman"/>
                <w:color w:val="000000"/>
                <w:sz w:val="24"/>
              </w:rPr>
              <w:t>. W</w:t>
            </w:r>
            <w:r w:rsidR="00DA7D28">
              <w:rPr>
                <w:rFonts w:ascii="Times New Roman" w:hAnsi="Times New Roman"/>
                <w:color w:val="000000"/>
                <w:sz w:val="24"/>
              </w:rPr>
              <w:t> </w:t>
            </w:r>
            <w:r w:rsidR="00DA7D28" w:rsidRPr="00DA7D28">
              <w:rPr>
                <w:rFonts w:ascii="Times New Roman" w:hAnsi="Times New Roman"/>
                <w:color w:val="000000"/>
                <w:sz w:val="24"/>
              </w:rPr>
              <w:t>cel</w:t>
            </w:r>
            <w:r w:rsidRPr="00DA7D28">
              <w:rPr>
                <w:rFonts w:ascii="Times New Roman" w:hAnsi="Times New Roman"/>
                <w:color w:val="000000"/>
                <w:sz w:val="24"/>
              </w:rPr>
              <w:t>u monitorowania tego aspektu gromadzone dane są segregowane ze względu na płeć. Opracowano również pewne ukierunkowane dziania</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tym</w:t>
            </w:r>
            <w:r w:rsidRPr="00DA7D28">
              <w:rPr>
                <w:rFonts w:ascii="Times New Roman" w:hAnsi="Times New Roman"/>
                <w:color w:val="000000"/>
                <w:sz w:val="24"/>
              </w:rPr>
              <w:t xml:space="preserve"> obszarze. Podjęto też wysiłki na rzecz dostosowania działań wdrażanych</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ram</w:t>
            </w:r>
            <w:r w:rsidRPr="00DA7D28">
              <w:rPr>
                <w:rFonts w:ascii="Times New Roman" w:hAnsi="Times New Roman"/>
                <w:color w:val="000000"/>
                <w:sz w:val="24"/>
              </w:rPr>
              <w:t>ach instrumentu</w:t>
            </w:r>
            <w:r w:rsidR="00DA7D28" w:rsidRPr="00DA7D28">
              <w:rPr>
                <w:rFonts w:ascii="Times New Roman" w:hAnsi="Times New Roman"/>
                <w:color w:val="000000"/>
                <w:sz w:val="24"/>
              </w:rPr>
              <w:t xml:space="preserve"> z</w:t>
            </w:r>
            <w:r w:rsidR="00DA7D28">
              <w:rPr>
                <w:rFonts w:ascii="Times New Roman" w:hAnsi="Times New Roman"/>
                <w:color w:val="000000"/>
                <w:sz w:val="24"/>
              </w:rPr>
              <w:t> </w:t>
            </w:r>
            <w:r w:rsidR="00DA7D28" w:rsidRPr="00DA7D28">
              <w:rPr>
                <w:rFonts w:ascii="Times New Roman" w:hAnsi="Times New Roman"/>
                <w:color w:val="000000"/>
                <w:sz w:val="24"/>
              </w:rPr>
              <w:t>cel</w:t>
            </w:r>
            <w:r w:rsidRPr="00DA7D28">
              <w:rPr>
                <w:rFonts w:ascii="Times New Roman" w:hAnsi="Times New Roman"/>
                <w:color w:val="000000"/>
                <w:sz w:val="24"/>
              </w:rPr>
              <w:t>ami tematycznymi określonymi</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Uni</w:t>
            </w:r>
            <w:r w:rsidRPr="00DA7D28">
              <w:rPr>
                <w:rFonts w:ascii="Times New Roman" w:hAnsi="Times New Roman"/>
                <w:color w:val="000000"/>
                <w:sz w:val="24"/>
              </w:rPr>
              <w:t>jnym planie działania</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spr</w:t>
            </w:r>
            <w:r w:rsidRPr="00DA7D28">
              <w:rPr>
                <w:rFonts w:ascii="Times New Roman" w:hAnsi="Times New Roman"/>
                <w:color w:val="000000"/>
                <w:sz w:val="24"/>
              </w:rPr>
              <w:t>awie równości płci oraz wzmocnienia pozycji kobiet</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kon</w:t>
            </w:r>
            <w:r w:rsidRPr="00DA7D28">
              <w:rPr>
                <w:rFonts w:ascii="Times New Roman" w:hAnsi="Times New Roman"/>
                <w:color w:val="000000"/>
                <w:sz w:val="24"/>
              </w:rPr>
              <w:t>tekście współpracy na rzecz rozwoju na lata 2016–2020. Obejmują one walkę</w:t>
            </w:r>
            <w:r w:rsidR="00DA7D28" w:rsidRPr="00DA7D28">
              <w:rPr>
                <w:rFonts w:ascii="Times New Roman" w:hAnsi="Times New Roman"/>
                <w:color w:val="000000"/>
                <w:sz w:val="24"/>
              </w:rPr>
              <w:t xml:space="preserve"> z</w:t>
            </w:r>
            <w:r w:rsidR="00DA7D28">
              <w:rPr>
                <w:rFonts w:ascii="Times New Roman" w:hAnsi="Times New Roman"/>
                <w:color w:val="000000"/>
                <w:sz w:val="24"/>
              </w:rPr>
              <w:t> </w:t>
            </w:r>
            <w:r w:rsidR="00DA7D28" w:rsidRPr="00DA7D28">
              <w:rPr>
                <w:rFonts w:ascii="Times New Roman" w:hAnsi="Times New Roman"/>
                <w:color w:val="000000"/>
                <w:sz w:val="24"/>
              </w:rPr>
              <w:t>prz</w:t>
            </w:r>
            <w:r w:rsidRPr="00DA7D28">
              <w:rPr>
                <w:rFonts w:ascii="Times New Roman" w:hAnsi="Times New Roman"/>
                <w:color w:val="000000"/>
                <w:sz w:val="24"/>
              </w:rPr>
              <w:t>emocą wobec kobiet</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dzi</w:t>
            </w:r>
            <w:r w:rsidRPr="00DA7D28">
              <w:rPr>
                <w:rFonts w:ascii="Times New Roman" w:hAnsi="Times New Roman"/>
                <w:color w:val="000000"/>
                <w:sz w:val="24"/>
              </w:rPr>
              <w:t>ewcząt, zapewnienie kobietom</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dzi</w:t>
            </w:r>
            <w:r w:rsidRPr="00DA7D28">
              <w:rPr>
                <w:rFonts w:ascii="Times New Roman" w:hAnsi="Times New Roman"/>
                <w:color w:val="000000"/>
                <w:sz w:val="24"/>
              </w:rPr>
              <w:t>ewczętom równego dostępu do wysokiej jakości edukacji</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ksz</w:t>
            </w:r>
            <w:r w:rsidRPr="00DA7D28">
              <w:rPr>
                <w:rFonts w:ascii="Times New Roman" w:hAnsi="Times New Roman"/>
                <w:color w:val="000000"/>
                <w:sz w:val="24"/>
              </w:rPr>
              <w:t>tałcenia</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szk</w:t>
            </w:r>
            <w:r w:rsidRPr="00DA7D28">
              <w:rPr>
                <w:rFonts w:ascii="Times New Roman" w:hAnsi="Times New Roman"/>
                <w:color w:val="000000"/>
                <w:sz w:val="24"/>
              </w:rPr>
              <w:t>olenia zawodowego, wolnych od dyskryminacji, jak również wspieranie organizacji kobiecych</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org</w:t>
            </w:r>
            <w:r w:rsidRPr="00DA7D28">
              <w:rPr>
                <w:rFonts w:ascii="Times New Roman" w:hAnsi="Times New Roman"/>
                <w:color w:val="000000"/>
                <w:sz w:val="24"/>
              </w:rPr>
              <w:t>anizacji społecznych działających na rzecz równouprawnienia płci oraz upodmiotowienia kobiet</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dzi</w:t>
            </w:r>
            <w:r w:rsidRPr="00DA7D28">
              <w:rPr>
                <w:rFonts w:ascii="Times New Roman" w:hAnsi="Times New Roman"/>
                <w:color w:val="000000"/>
                <w:sz w:val="24"/>
              </w:rPr>
              <w:t>ewcząt. Instrument współpracuje</w:t>
            </w:r>
            <w:r w:rsidR="00DA7D28" w:rsidRPr="00DA7D28">
              <w:rPr>
                <w:rFonts w:ascii="Times New Roman" w:hAnsi="Times New Roman"/>
                <w:color w:val="000000"/>
                <w:sz w:val="24"/>
              </w:rPr>
              <w:t xml:space="preserve"> z</w:t>
            </w:r>
            <w:r w:rsidR="00DA7D28">
              <w:rPr>
                <w:rFonts w:ascii="Times New Roman" w:hAnsi="Times New Roman"/>
                <w:color w:val="000000"/>
                <w:sz w:val="24"/>
              </w:rPr>
              <w:t> </w:t>
            </w:r>
            <w:r w:rsidR="00DA7D28" w:rsidRPr="00DA7D28">
              <w:rPr>
                <w:rFonts w:ascii="Times New Roman" w:hAnsi="Times New Roman"/>
                <w:color w:val="000000"/>
                <w:sz w:val="24"/>
              </w:rPr>
              <w:t>par</w:t>
            </w:r>
            <w:r w:rsidRPr="00DA7D28">
              <w:rPr>
                <w:rFonts w:ascii="Times New Roman" w:hAnsi="Times New Roman"/>
                <w:color w:val="000000"/>
                <w:sz w:val="24"/>
              </w:rPr>
              <w:t>tnerami wykonawczymi mającymi ugruntowane doświadczenie</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tej</w:t>
            </w:r>
            <w:r w:rsidRPr="00DA7D28">
              <w:rPr>
                <w:rFonts w:ascii="Times New Roman" w:hAnsi="Times New Roman"/>
                <w:color w:val="000000"/>
                <w:sz w:val="24"/>
              </w:rPr>
              <w:t xml:space="preserve"> dziedzinie, m.in.</w:t>
            </w:r>
            <w:r w:rsidR="00DA7D28" w:rsidRPr="00DA7D28">
              <w:rPr>
                <w:rFonts w:ascii="Times New Roman" w:hAnsi="Times New Roman"/>
                <w:color w:val="000000"/>
                <w:sz w:val="24"/>
              </w:rPr>
              <w:t xml:space="preserve"> z</w:t>
            </w:r>
            <w:r w:rsidR="00DA7D28">
              <w:rPr>
                <w:rFonts w:ascii="Times New Roman" w:hAnsi="Times New Roman"/>
                <w:color w:val="000000"/>
                <w:sz w:val="24"/>
              </w:rPr>
              <w:t> </w:t>
            </w:r>
            <w:r w:rsidR="00DA7D28" w:rsidRPr="00DA7D28">
              <w:rPr>
                <w:rFonts w:ascii="Times New Roman" w:hAnsi="Times New Roman"/>
                <w:color w:val="000000"/>
                <w:sz w:val="24"/>
              </w:rPr>
              <w:t>Fun</w:t>
            </w:r>
            <w:r w:rsidRPr="00DA7D28">
              <w:rPr>
                <w:rFonts w:ascii="Times New Roman" w:hAnsi="Times New Roman"/>
                <w:color w:val="000000"/>
                <w:sz w:val="24"/>
              </w:rPr>
              <w:t>duszem Narodów Zjednoczonych na rzecz Dzieci (UNICEF), UN Women oraz Międzynarodową Organizacją Pracy (MOP). Przykładowo UNICEF oferuje podstawowe usługi społeczne skierowane do dzieci,</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szc</w:t>
            </w:r>
            <w:r w:rsidRPr="00DA7D28">
              <w:rPr>
                <w:rFonts w:ascii="Times New Roman" w:hAnsi="Times New Roman"/>
                <w:color w:val="000000"/>
                <w:sz w:val="24"/>
              </w:rPr>
              <w:t>zególności dziewcząt</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kob</w:t>
            </w:r>
            <w:r w:rsidRPr="00DA7D28">
              <w:rPr>
                <w:rFonts w:ascii="Times New Roman" w:hAnsi="Times New Roman"/>
                <w:color w:val="000000"/>
                <w:sz w:val="24"/>
              </w:rPr>
              <w:t>iet oraz ich rodzin,</w:t>
            </w:r>
            <w:r w:rsidR="00DA7D28" w:rsidRPr="00DA7D28">
              <w:rPr>
                <w:rFonts w:ascii="Times New Roman" w:hAnsi="Times New Roman"/>
                <w:color w:val="000000"/>
                <w:sz w:val="24"/>
              </w:rPr>
              <w:t xml:space="preserve"> w</w:t>
            </w:r>
            <w:r w:rsidR="00DA7D28">
              <w:rPr>
                <w:rFonts w:ascii="Times New Roman" w:hAnsi="Times New Roman"/>
                <w:color w:val="000000"/>
                <w:sz w:val="24"/>
              </w:rPr>
              <w:t> </w:t>
            </w:r>
            <w:r w:rsidR="00DA7D28" w:rsidRPr="00DA7D28">
              <w:rPr>
                <w:rFonts w:ascii="Times New Roman" w:hAnsi="Times New Roman"/>
                <w:color w:val="000000"/>
                <w:sz w:val="24"/>
              </w:rPr>
              <w:t>opa</w:t>
            </w:r>
            <w:r w:rsidRPr="00DA7D28">
              <w:rPr>
                <w:rFonts w:ascii="Times New Roman" w:hAnsi="Times New Roman"/>
                <w:color w:val="000000"/>
                <w:sz w:val="24"/>
              </w:rPr>
              <w:t>rciu</w:t>
            </w:r>
            <w:r w:rsidR="00DA7D28" w:rsidRPr="00DA7D28">
              <w:rPr>
                <w:rFonts w:ascii="Times New Roman" w:hAnsi="Times New Roman"/>
                <w:color w:val="000000"/>
                <w:sz w:val="24"/>
              </w:rPr>
              <w:t xml:space="preserve"> o</w:t>
            </w:r>
            <w:r w:rsidR="00DA7D28">
              <w:rPr>
                <w:rFonts w:ascii="Times New Roman" w:hAnsi="Times New Roman"/>
                <w:color w:val="000000"/>
                <w:sz w:val="24"/>
              </w:rPr>
              <w:t> </w:t>
            </w:r>
            <w:r w:rsidR="00DA7D28" w:rsidRPr="00DA7D28">
              <w:rPr>
                <w:rFonts w:ascii="Times New Roman" w:hAnsi="Times New Roman"/>
                <w:color w:val="000000"/>
                <w:sz w:val="24"/>
              </w:rPr>
              <w:t>pod</w:t>
            </w:r>
            <w:r w:rsidRPr="00DA7D28">
              <w:rPr>
                <w:rFonts w:ascii="Times New Roman" w:hAnsi="Times New Roman"/>
                <w:color w:val="000000"/>
                <w:sz w:val="24"/>
              </w:rPr>
              <w:t>ejście uwzględniające bardziej całościowe rozumienie rodzinnych</w:t>
            </w:r>
            <w:r w:rsidR="00DA7D28" w:rsidRPr="00DA7D28">
              <w:rPr>
                <w:rFonts w:ascii="Times New Roman" w:hAnsi="Times New Roman"/>
                <w:color w:val="000000"/>
                <w:sz w:val="24"/>
              </w:rPr>
              <w:t xml:space="preserve"> i</w:t>
            </w:r>
            <w:r w:rsidR="00DA7D28">
              <w:rPr>
                <w:rFonts w:ascii="Times New Roman" w:hAnsi="Times New Roman"/>
                <w:color w:val="000000"/>
                <w:sz w:val="24"/>
              </w:rPr>
              <w:t> </w:t>
            </w:r>
            <w:r w:rsidR="00DA7D28" w:rsidRPr="00DA7D28">
              <w:rPr>
                <w:rFonts w:ascii="Times New Roman" w:hAnsi="Times New Roman"/>
                <w:color w:val="000000"/>
                <w:sz w:val="24"/>
              </w:rPr>
              <w:t>spo</w:t>
            </w:r>
            <w:r w:rsidRPr="00DA7D28">
              <w:rPr>
                <w:rFonts w:ascii="Times New Roman" w:hAnsi="Times New Roman"/>
                <w:color w:val="000000"/>
                <w:sz w:val="24"/>
              </w:rPr>
              <w:t>łecznych ról związanych</w:t>
            </w:r>
            <w:r w:rsidR="00DA7D28" w:rsidRPr="00DA7D28">
              <w:rPr>
                <w:rFonts w:ascii="Times New Roman" w:hAnsi="Times New Roman"/>
                <w:color w:val="000000"/>
                <w:sz w:val="24"/>
              </w:rPr>
              <w:t xml:space="preserve"> z</w:t>
            </w:r>
            <w:r w:rsidR="00DA7D28">
              <w:rPr>
                <w:rFonts w:ascii="Times New Roman" w:hAnsi="Times New Roman"/>
                <w:color w:val="000000"/>
                <w:sz w:val="24"/>
              </w:rPr>
              <w:t> </w:t>
            </w:r>
            <w:r w:rsidR="00DA7D28" w:rsidRPr="00DA7D28">
              <w:rPr>
                <w:rFonts w:ascii="Times New Roman" w:hAnsi="Times New Roman"/>
                <w:color w:val="000000"/>
                <w:sz w:val="24"/>
              </w:rPr>
              <w:t>płc</w:t>
            </w:r>
            <w:r w:rsidRPr="00DA7D28">
              <w:rPr>
                <w:rFonts w:ascii="Times New Roman" w:hAnsi="Times New Roman"/>
                <w:color w:val="000000"/>
                <w:sz w:val="24"/>
              </w:rPr>
              <w:t xml:space="preserve">ią. </w:t>
            </w:r>
          </w:p>
        </w:tc>
      </w:tr>
    </w:tbl>
    <w:p w:rsidR="00E90063" w:rsidRPr="00DA7D28" w:rsidRDefault="00BE7F2C" w:rsidP="00E24441">
      <w:pPr>
        <w:spacing w:before="120" w:after="120"/>
        <w:jc w:val="both"/>
        <w:rPr>
          <w:rFonts w:ascii="Times New Roman" w:eastAsia="Times New Roman" w:hAnsi="Times New Roman"/>
          <w:b/>
          <w:sz w:val="24"/>
          <w:szCs w:val="24"/>
        </w:rPr>
      </w:pPr>
      <w:r w:rsidRPr="00DA7D28">
        <w:rPr>
          <w:rFonts w:ascii="Times New Roman" w:hAnsi="Times New Roman"/>
          <w:b/>
          <w:sz w:val="24"/>
        </w:rPr>
        <w:t xml:space="preserve">Zarządzanie migracjami </w:t>
      </w:r>
    </w:p>
    <w:p w:rsidR="00BC6868"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W ramach instrumentu pokryte zostały koszty poniesione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zwi</w:t>
      </w:r>
      <w:r w:rsidRPr="00DA7D28">
        <w:rPr>
          <w:rFonts w:ascii="Times New Roman" w:hAnsi="Times New Roman"/>
          <w:sz w:val="24"/>
        </w:rPr>
        <w:t>ązku</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zar</w:t>
      </w:r>
      <w:r w:rsidRPr="00DA7D28">
        <w:rPr>
          <w:rFonts w:ascii="Times New Roman" w:hAnsi="Times New Roman"/>
          <w:sz w:val="24"/>
        </w:rPr>
        <w:t>ządzaniem powrotami (transport, zakwaterowanie) 212 Syryjczyków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1</w:t>
      </w:r>
      <w:r w:rsidRPr="00DA7D28">
        <w:rPr>
          <w:rFonts w:ascii="Times New Roman" w:hAnsi="Times New Roman"/>
          <w:sz w:val="24"/>
        </w:rPr>
        <w:t> 076 osób innych narodowości,</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tak</w:t>
      </w:r>
      <w:r w:rsidRPr="00DA7D28">
        <w:rPr>
          <w:rFonts w:ascii="Times New Roman" w:hAnsi="Times New Roman"/>
          <w:sz w:val="24"/>
        </w:rPr>
        <w:t>że zakup sprzętu logistycznego</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kos</w:t>
      </w:r>
      <w:r w:rsidRPr="00DA7D28">
        <w:rPr>
          <w:rFonts w:ascii="Times New Roman" w:hAnsi="Times New Roman"/>
          <w:sz w:val="24"/>
        </w:rPr>
        <w:t>zty budowy obiektów dla</w:t>
      </w:r>
      <w:r w:rsidR="008E2A80" w:rsidRPr="00DA7D28">
        <w:rPr>
          <w:rFonts w:ascii="Times New Roman" w:hAnsi="Times New Roman"/>
          <w:sz w:val="24"/>
        </w:rPr>
        <w:t> </w:t>
      </w:r>
      <w:r w:rsidRPr="00DA7D28">
        <w:rPr>
          <w:rFonts w:ascii="Times New Roman" w:hAnsi="Times New Roman"/>
          <w:sz w:val="24"/>
        </w:rPr>
        <w:t>750 osób. Od sierpnia 2017</w:t>
      </w:r>
      <w:r w:rsidR="008E2A80" w:rsidRPr="00DA7D28">
        <w:rPr>
          <w:rFonts w:ascii="Times New Roman" w:hAnsi="Times New Roman"/>
          <w:sz w:val="24"/>
        </w:rPr>
        <w:t> </w:t>
      </w:r>
      <w:r w:rsidRPr="00DA7D28">
        <w:rPr>
          <w:rFonts w:ascii="Times New Roman" w:hAnsi="Times New Roman"/>
          <w:sz w:val="24"/>
        </w:rPr>
        <w:t>r. do końca września 2018</w:t>
      </w:r>
      <w:r w:rsidR="008E2A80" w:rsidRPr="00DA7D28">
        <w:rPr>
          <w:rFonts w:ascii="Times New Roman" w:hAnsi="Times New Roman"/>
          <w:sz w:val="24"/>
        </w:rPr>
        <w:t> </w:t>
      </w:r>
      <w:r w:rsidRPr="00DA7D28">
        <w:rPr>
          <w:rFonts w:ascii="Times New Roman" w:hAnsi="Times New Roman"/>
          <w:sz w:val="24"/>
        </w:rPr>
        <w:t>r. pomoc tego typu finansowaną ze środków instrumentu otrzymało 119 173 migrantów. Dzięki unijnemu wsparciu udzielanemu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wzmocniono również zdolności tureckiej straży przybrzeżnej do przeprowadzania operacji poszukiwawczo-ratowniczych. Na jej rzecz przekazano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018</w:t>
      </w:r>
      <w:r w:rsidR="008E2A80" w:rsidRPr="00DA7D28">
        <w:rPr>
          <w:rFonts w:ascii="Times New Roman" w:hAnsi="Times New Roman"/>
          <w:sz w:val="24"/>
        </w:rPr>
        <w:t> </w:t>
      </w:r>
      <w:r w:rsidRPr="00DA7D28">
        <w:rPr>
          <w:rFonts w:ascii="Times New Roman" w:hAnsi="Times New Roman"/>
          <w:sz w:val="24"/>
        </w:rPr>
        <w:t>r. sześć łodzi. Przeszkolono też 1 081 funkcjonariuszy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standardów humanitarnych. Oba projekty były finansowane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pierwszej transzy instrumentu</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drugiej transzy nie przewidziano żadnego specjalnego przydziału środków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tej</w:t>
      </w:r>
      <w:r w:rsidRPr="00DA7D28">
        <w:rPr>
          <w:rFonts w:ascii="Times New Roman" w:hAnsi="Times New Roman"/>
          <w:sz w:val="24"/>
        </w:rPr>
        <w:t xml:space="preserve"> dziedzinie.</w:t>
      </w:r>
    </w:p>
    <w:p w:rsidR="00E90063" w:rsidRPr="00DA7D28" w:rsidRDefault="00E24441">
      <w:pPr>
        <w:pStyle w:val="Heading1"/>
        <w:jc w:val="both"/>
        <w:rPr>
          <w:rFonts w:eastAsia="Times New Roman"/>
          <w:szCs w:val="24"/>
        </w:rPr>
      </w:pPr>
      <w:bookmarkStart w:id="43" w:name="_Toc473205697"/>
      <w:bookmarkStart w:id="44" w:name="_Toc474488800"/>
      <w:bookmarkStart w:id="45" w:name="_Toc3193669"/>
      <w:bookmarkStart w:id="46" w:name="_Toc4776704"/>
      <w:r w:rsidRPr="00DA7D28">
        <w:t>Monitorowanie</w:t>
      </w:r>
      <w:r w:rsidR="00DA7D28" w:rsidRPr="00DA7D28">
        <w:t xml:space="preserve"> i</w:t>
      </w:r>
      <w:r w:rsidR="00DA7D28">
        <w:t> </w:t>
      </w:r>
      <w:r w:rsidR="00DA7D28" w:rsidRPr="00DA7D28">
        <w:t>oce</w:t>
      </w:r>
      <w:r w:rsidRPr="00DA7D28">
        <w:t>na</w:t>
      </w:r>
      <w:bookmarkEnd w:id="43"/>
      <w:bookmarkEnd w:id="44"/>
      <w:bookmarkEnd w:id="45"/>
      <w:bookmarkEnd w:id="46"/>
    </w:p>
    <w:p w:rsidR="00E86A3E" w:rsidRPr="00DA7D28" w:rsidRDefault="00D935D8" w:rsidP="00E86A3E">
      <w:pPr>
        <w:jc w:val="both"/>
        <w:rPr>
          <w:rFonts w:ascii="Times New Roman" w:hAnsi="Times New Roman"/>
          <w:sz w:val="24"/>
          <w:szCs w:val="24"/>
        </w:rPr>
      </w:pPr>
      <w:bookmarkStart w:id="47" w:name="_Toc473205699"/>
      <w:bookmarkStart w:id="48" w:name="_Toc473555909"/>
      <w:bookmarkStart w:id="49" w:name="_Toc474488802"/>
      <w:r w:rsidRPr="00DA7D28">
        <w:rPr>
          <w:rFonts w:ascii="Times New Roman" w:hAnsi="Times New Roman"/>
          <w:sz w:val="24"/>
        </w:rPr>
        <w:t>System monitorowania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oce</w:t>
      </w:r>
      <w:r w:rsidRPr="00DA7D28">
        <w:rPr>
          <w:rFonts w:ascii="Times New Roman" w:hAnsi="Times New Roman"/>
          <w:sz w:val="24"/>
        </w:rPr>
        <w:t>ny instrumentu zaprojektowano</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myś</w:t>
      </w:r>
      <w:r w:rsidRPr="00DA7D28">
        <w:rPr>
          <w:rFonts w:ascii="Times New Roman" w:hAnsi="Times New Roman"/>
          <w:sz w:val="24"/>
        </w:rPr>
        <w:t>lą</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jeg</w:t>
      </w:r>
      <w:r w:rsidRPr="00DA7D28">
        <w:rPr>
          <w:rFonts w:ascii="Times New Roman" w:hAnsi="Times New Roman"/>
          <w:sz w:val="24"/>
        </w:rPr>
        <w:t xml:space="preserve">o stopniowym wdrażaniu. </w:t>
      </w:r>
    </w:p>
    <w:p w:rsidR="00E86A3E" w:rsidRPr="00DA7D28" w:rsidRDefault="00E86A3E" w:rsidP="00E86A3E">
      <w:pPr>
        <w:jc w:val="both"/>
        <w:rPr>
          <w:rFonts w:ascii="Times New Roman" w:hAnsi="Times New Roman"/>
          <w:sz w:val="24"/>
          <w:szCs w:val="24"/>
        </w:rPr>
      </w:pPr>
    </w:p>
    <w:p w:rsidR="00D935D8" w:rsidRPr="00DA7D28" w:rsidRDefault="00D935D8" w:rsidP="00E86A3E">
      <w:pPr>
        <w:jc w:val="both"/>
        <w:rPr>
          <w:rFonts w:ascii="Times New Roman" w:eastAsia="Times New Roman" w:hAnsi="Times New Roman"/>
          <w:b/>
          <w:sz w:val="24"/>
          <w:szCs w:val="24"/>
        </w:rPr>
      </w:pPr>
      <w:r w:rsidRPr="00DA7D28">
        <w:rPr>
          <w:rFonts w:ascii="Times New Roman" w:hAnsi="Times New Roman"/>
          <w:b/>
          <w:sz w:val="24"/>
        </w:rPr>
        <w:t>Ramy wyników instrumentu</w:t>
      </w:r>
    </w:p>
    <w:p w:rsidR="00D935D8" w:rsidRPr="00DA7D28" w:rsidRDefault="00D935D8" w:rsidP="00E86A3E">
      <w:pPr>
        <w:spacing w:before="120"/>
        <w:jc w:val="both"/>
        <w:rPr>
          <w:rFonts w:ascii="Times New Roman" w:hAnsi="Times New Roman"/>
          <w:sz w:val="24"/>
          <w:szCs w:val="24"/>
        </w:rPr>
      </w:pPr>
      <w:r w:rsidRPr="00DA7D28">
        <w:rPr>
          <w:rFonts w:ascii="Times New Roman" w:hAnsi="Times New Roman"/>
          <w:sz w:val="24"/>
        </w:rPr>
        <w:t>Ramy wyników instrumentu odzwierciedlają jego logikę interwencji. Uwzględniają one ramy strategiczne instrumentu oraz planowane działania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ich</w:t>
      </w:r>
      <w:r w:rsidRPr="00DA7D28">
        <w:rPr>
          <w:rFonts w:ascii="Times New Roman" w:hAnsi="Times New Roman"/>
          <w:sz w:val="24"/>
        </w:rPr>
        <w:t xml:space="preserve"> założenia koncepcyjne. Ramy te opracowano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okr</w:t>
      </w:r>
      <w:r w:rsidRPr="00DA7D28">
        <w:rPr>
          <w:rFonts w:ascii="Times New Roman" w:hAnsi="Times New Roman"/>
          <w:sz w:val="24"/>
        </w:rPr>
        <w:t>esie od sierpnia 2016</w:t>
      </w:r>
      <w:r w:rsidR="008E2A80" w:rsidRPr="00DA7D28">
        <w:rPr>
          <w:rFonts w:ascii="Times New Roman" w:hAnsi="Times New Roman"/>
          <w:sz w:val="24"/>
        </w:rPr>
        <w:t> </w:t>
      </w:r>
      <w:r w:rsidRPr="00DA7D28">
        <w:rPr>
          <w:rFonts w:ascii="Times New Roman" w:hAnsi="Times New Roman"/>
          <w:sz w:val="24"/>
        </w:rPr>
        <w:t>r. do marca 2017</w:t>
      </w:r>
      <w:r w:rsidR="008E2A80" w:rsidRPr="00DA7D28">
        <w:rPr>
          <w:rFonts w:ascii="Times New Roman" w:hAnsi="Times New Roman"/>
          <w:sz w:val="24"/>
        </w:rPr>
        <w:t> </w:t>
      </w:r>
      <w:r w:rsidRPr="00DA7D28">
        <w:rPr>
          <w:rFonts w:ascii="Times New Roman" w:hAnsi="Times New Roman"/>
          <w:sz w:val="24"/>
        </w:rPr>
        <w:t>r.</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kon</w:t>
      </w:r>
      <w:r w:rsidRPr="00DA7D28">
        <w:rPr>
          <w:rFonts w:ascii="Times New Roman" w:hAnsi="Times New Roman"/>
          <w:sz w:val="24"/>
        </w:rPr>
        <w:t>sultacji</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naj</w:t>
      </w:r>
      <w:r w:rsidRPr="00DA7D28">
        <w:rPr>
          <w:rFonts w:ascii="Times New Roman" w:hAnsi="Times New Roman"/>
          <w:sz w:val="24"/>
        </w:rPr>
        <w:t>ważniejszymi zainteresowanymi stronami, takimi jak komitet sterujący instrumentu, odpowiednie organy tureckie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wła</w:t>
      </w:r>
      <w:r w:rsidRPr="00DA7D28">
        <w:rPr>
          <w:rFonts w:ascii="Times New Roman" w:hAnsi="Times New Roman"/>
          <w:sz w:val="24"/>
        </w:rPr>
        <w:t>ściwe służby Komisji. Ich ostateczny projekt przekazano komitetowi sterującemu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mar</w:t>
      </w:r>
      <w:r w:rsidRPr="00DA7D28">
        <w:rPr>
          <w:rFonts w:ascii="Times New Roman" w:hAnsi="Times New Roman"/>
          <w:sz w:val="24"/>
        </w:rPr>
        <w:t>cu 2017</w:t>
      </w:r>
      <w:r w:rsidR="008E2A80" w:rsidRPr="00DA7D28">
        <w:rPr>
          <w:rFonts w:ascii="Times New Roman" w:hAnsi="Times New Roman"/>
          <w:sz w:val="24"/>
        </w:rPr>
        <w:t> </w:t>
      </w:r>
      <w:r w:rsidRPr="00DA7D28">
        <w:rPr>
          <w:rFonts w:ascii="Times New Roman" w:hAnsi="Times New Roman"/>
          <w:sz w:val="24"/>
        </w:rPr>
        <w:t xml:space="preserve">r. </w:t>
      </w:r>
    </w:p>
    <w:p w:rsidR="00583DE3" w:rsidRPr="00DA7D28" w:rsidRDefault="00583DE3" w:rsidP="00D935D8">
      <w:pPr>
        <w:jc w:val="both"/>
        <w:rPr>
          <w:rFonts w:ascii="Times New Roman" w:hAnsi="Times New Roman"/>
          <w:sz w:val="24"/>
          <w:szCs w:val="24"/>
        </w:rPr>
      </w:pPr>
    </w:p>
    <w:p w:rsidR="00D935D8" w:rsidRPr="00DA7D28" w:rsidRDefault="00D935D8" w:rsidP="00654291">
      <w:pPr>
        <w:spacing w:after="120"/>
        <w:jc w:val="both"/>
        <w:rPr>
          <w:rFonts w:ascii="Times New Roman" w:hAnsi="Times New Roman"/>
          <w:sz w:val="24"/>
          <w:szCs w:val="24"/>
        </w:rPr>
      </w:pPr>
      <w:r w:rsidRPr="00DA7D28">
        <w:rPr>
          <w:rFonts w:ascii="Times New Roman" w:hAnsi="Times New Roman"/>
          <w:sz w:val="24"/>
        </w:rPr>
        <w:t>W oparciu</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wyn</w:t>
      </w:r>
      <w:r w:rsidRPr="00DA7D28">
        <w:rPr>
          <w:rFonts w:ascii="Times New Roman" w:hAnsi="Times New Roman"/>
          <w:sz w:val="24"/>
        </w:rPr>
        <w:t>iki etapu pilotażowego monitorowania oraz zakończenie podpisywania umów,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018</w:t>
      </w:r>
      <w:r w:rsidR="008E2A80" w:rsidRPr="00DA7D28">
        <w:rPr>
          <w:rFonts w:ascii="Times New Roman" w:hAnsi="Times New Roman"/>
          <w:sz w:val="24"/>
        </w:rPr>
        <w:t> </w:t>
      </w:r>
      <w:r w:rsidRPr="00DA7D28">
        <w:rPr>
          <w:rFonts w:ascii="Times New Roman" w:hAnsi="Times New Roman"/>
          <w:sz w:val="24"/>
        </w:rPr>
        <w:t>r. ramy doprecyzowano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dal</w:t>
      </w:r>
      <w:r w:rsidRPr="00DA7D28">
        <w:rPr>
          <w:rFonts w:ascii="Times New Roman" w:hAnsi="Times New Roman"/>
          <w:sz w:val="24"/>
        </w:rPr>
        <w:t>szym stopniu po konsultacjach</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int</w:t>
      </w:r>
      <w:r w:rsidRPr="00DA7D28">
        <w:rPr>
          <w:rFonts w:ascii="Times New Roman" w:hAnsi="Times New Roman"/>
          <w:sz w:val="24"/>
        </w:rPr>
        <w:t>eresariuszami operacyjnymi. Zaktualizowaną wersję przedstawiono komitetowi sterującemu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lis</w:t>
      </w:r>
      <w:r w:rsidRPr="00DA7D28">
        <w:rPr>
          <w:rFonts w:ascii="Times New Roman" w:hAnsi="Times New Roman"/>
          <w:sz w:val="24"/>
        </w:rPr>
        <w:t>topadzie 2018</w:t>
      </w:r>
      <w:r w:rsidR="008E2A80" w:rsidRPr="00DA7D28">
        <w:rPr>
          <w:rFonts w:ascii="Times New Roman" w:hAnsi="Times New Roman"/>
          <w:sz w:val="24"/>
        </w:rPr>
        <w:t> </w:t>
      </w:r>
      <w:r w:rsidRPr="00DA7D28">
        <w:rPr>
          <w:rFonts w:ascii="Times New Roman" w:hAnsi="Times New Roman"/>
          <w:sz w:val="24"/>
        </w:rPr>
        <w:t>r.</w:t>
      </w:r>
    </w:p>
    <w:p w:rsidR="00D935D8" w:rsidRPr="00DA7D28" w:rsidRDefault="00D935D8" w:rsidP="00EC07AB">
      <w:pPr>
        <w:spacing w:after="120"/>
        <w:jc w:val="both"/>
        <w:rPr>
          <w:rFonts w:ascii="Times New Roman" w:eastAsia="Times New Roman" w:hAnsi="Times New Roman"/>
          <w:b/>
          <w:sz w:val="24"/>
          <w:szCs w:val="24"/>
        </w:rPr>
      </w:pPr>
      <w:r w:rsidRPr="00DA7D28">
        <w:rPr>
          <w:rFonts w:ascii="Times New Roman" w:hAnsi="Times New Roman"/>
          <w:b/>
          <w:sz w:val="24"/>
        </w:rPr>
        <w:t>Monitorowanie</w:t>
      </w:r>
      <w:r w:rsidR="00DA7D28" w:rsidRPr="00DA7D28">
        <w:rPr>
          <w:rFonts w:ascii="Times New Roman" w:hAnsi="Times New Roman"/>
          <w:b/>
          <w:sz w:val="24"/>
        </w:rPr>
        <w:t xml:space="preserve"> i</w:t>
      </w:r>
      <w:r w:rsidR="00DA7D28">
        <w:rPr>
          <w:rFonts w:ascii="Times New Roman" w:hAnsi="Times New Roman"/>
          <w:b/>
          <w:sz w:val="24"/>
        </w:rPr>
        <w:t> </w:t>
      </w:r>
      <w:r w:rsidR="00DA7D28" w:rsidRPr="00DA7D28">
        <w:rPr>
          <w:rFonts w:ascii="Times New Roman" w:hAnsi="Times New Roman"/>
          <w:b/>
          <w:sz w:val="24"/>
        </w:rPr>
        <w:t>spr</w:t>
      </w:r>
      <w:r w:rsidRPr="00DA7D28">
        <w:rPr>
          <w:rFonts w:ascii="Times New Roman" w:hAnsi="Times New Roman"/>
          <w:b/>
          <w:sz w:val="24"/>
        </w:rPr>
        <w:t>awozdawczość na poziomie instrumentu</w:t>
      </w:r>
    </w:p>
    <w:p w:rsidR="00D935D8" w:rsidRPr="00DA7D28" w:rsidRDefault="00D935D8" w:rsidP="00654291">
      <w:pPr>
        <w:spacing w:after="120"/>
        <w:jc w:val="both"/>
        <w:rPr>
          <w:rFonts w:ascii="Times New Roman" w:hAnsi="Times New Roman"/>
          <w:sz w:val="24"/>
          <w:szCs w:val="24"/>
        </w:rPr>
      </w:pPr>
      <w:r w:rsidRPr="00DA7D28">
        <w:rPr>
          <w:rFonts w:ascii="Times New Roman" w:hAnsi="Times New Roman"/>
          <w:sz w:val="24"/>
        </w:rPr>
        <w:t>Wiosną 2017</w:t>
      </w:r>
      <w:r w:rsidR="008E2A80" w:rsidRPr="00DA7D28">
        <w:rPr>
          <w:rFonts w:ascii="Times New Roman" w:hAnsi="Times New Roman"/>
          <w:sz w:val="24"/>
        </w:rPr>
        <w:t> </w:t>
      </w:r>
      <w:r w:rsidRPr="00DA7D28">
        <w:rPr>
          <w:rFonts w:ascii="Times New Roman" w:hAnsi="Times New Roman"/>
          <w:sz w:val="24"/>
        </w:rPr>
        <w:t>r. uruchomiono monitorowanie na poziomie instrumentu. Dane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mon</w:t>
      </w:r>
      <w:r w:rsidRPr="00DA7D28">
        <w:rPr>
          <w:rFonts w:ascii="Times New Roman" w:hAnsi="Times New Roman"/>
          <w:sz w:val="24"/>
        </w:rPr>
        <w:t>itorowania są generowane na poziomie poszczególnych działań realizowanych przez partnerów wykonawczych odpowiednio do obowiązków określonych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pos</w:t>
      </w:r>
      <w:r w:rsidRPr="00DA7D28">
        <w:rPr>
          <w:rFonts w:ascii="Times New Roman" w:hAnsi="Times New Roman"/>
          <w:sz w:val="24"/>
        </w:rPr>
        <w:t>zczególnych umowach. Pierwsze wezwanie do przedstawienia danych</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mon</w:t>
      </w:r>
      <w:r w:rsidRPr="00DA7D28">
        <w:rPr>
          <w:rFonts w:ascii="Times New Roman" w:hAnsi="Times New Roman"/>
          <w:sz w:val="24"/>
        </w:rPr>
        <w:t>itorowania przedstawiono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maj</w:t>
      </w:r>
      <w:r w:rsidRPr="00DA7D28">
        <w:rPr>
          <w:rFonts w:ascii="Times New Roman" w:hAnsi="Times New Roman"/>
          <w:sz w:val="24"/>
        </w:rPr>
        <w:t>u 2017</w:t>
      </w:r>
      <w:r w:rsidR="008E2A80" w:rsidRPr="00DA7D28">
        <w:rPr>
          <w:rFonts w:ascii="Times New Roman" w:hAnsi="Times New Roman"/>
          <w:sz w:val="24"/>
        </w:rPr>
        <w:t> </w:t>
      </w:r>
      <w:r w:rsidRPr="00DA7D28">
        <w:rPr>
          <w:rFonts w:ascii="Times New Roman" w:hAnsi="Times New Roman"/>
          <w:sz w:val="24"/>
        </w:rPr>
        <w:t>r.,</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nas</w:t>
      </w:r>
      <w:r w:rsidRPr="00DA7D28">
        <w:rPr>
          <w:rFonts w:ascii="Times New Roman" w:hAnsi="Times New Roman"/>
          <w:sz w:val="24"/>
        </w:rPr>
        <w:t>tępnie jeszcze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tym</w:t>
      </w:r>
      <w:r w:rsidRPr="00DA7D28">
        <w:rPr>
          <w:rFonts w:ascii="Times New Roman" w:hAnsi="Times New Roman"/>
          <w:sz w:val="24"/>
        </w:rPr>
        <w:t xml:space="preserve"> samym roku uruchomiono trzy cykle pilotażowe monitorowania. Na 11. posiedzeniu komitetu sterującego przedstawiono sprawozdanie monitorujące dotyczące osiągnięć instrumentu do dnia 30 czerwca 2018</w:t>
      </w:r>
      <w:r w:rsidR="008E2A80" w:rsidRPr="00DA7D28">
        <w:rPr>
          <w:rFonts w:ascii="Times New Roman" w:hAnsi="Times New Roman"/>
          <w:sz w:val="24"/>
        </w:rPr>
        <w:t> </w:t>
      </w:r>
      <w:r w:rsidRPr="00DA7D28">
        <w:rPr>
          <w:rFonts w:ascii="Times New Roman" w:hAnsi="Times New Roman"/>
          <w:sz w:val="24"/>
        </w:rPr>
        <w:t>r.</w:t>
      </w:r>
      <w:r w:rsidRPr="00DA7D28">
        <w:rPr>
          <w:rStyle w:val="FootnoteReference"/>
          <w:rFonts w:ascii="Times New Roman" w:hAnsi="Times New Roman"/>
        </w:rPr>
        <w:footnoteReference w:id="55"/>
      </w:r>
      <w:r w:rsidRPr="00DA7D28">
        <w:rPr>
          <w:rFonts w:ascii="Times New Roman" w:hAnsi="Times New Roman"/>
          <w:sz w:val="24"/>
        </w:rPr>
        <w:t xml:space="preserve">. </w:t>
      </w:r>
    </w:p>
    <w:p w:rsidR="00D935D8" w:rsidRPr="00DA7D28" w:rsidRDefault="00D935D8" w:rsidP="00654291">
      <w:pPr>
        <w:spacing w:after="120"/>
        <w:jc w:val="both"/>
        <w:rPr>
          <w:rFonts w:ascii="Times New Roman" w:hAnsi="Times New Roman"/>
          <w:sz w:val="24"/>
          <w:szCs w:val="24"/>
        </w:rPr>
      </w:pPr>
      <w:r w:rsidRPr="00DA7D28">
        <w:rPr>
          <w:rFonts w:ascii="Times New Roman" w:hAnsi="Times New Roman"/>
          <w:sz w:val="24"/>
        </w:rPr>
        <w:t>Pierwsze cykle gromadzenia danych stanowiły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zał</w:t>
      </w:r>
      <w:r w:rsidRPr="00DA7D28">
        <w:rPr>
          <w:rFonts w:ascii="Times New Roman" w:hAnsi="Times New Roman"/>
          <w:sz w:val="24"/>
        </w:rPr>
        <w:t>ożeniu fazę pilotażową na potrzeby wskaźników produktu wspomnianych ram. Miały one zasadniczą rolę</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zaz</w:t>
      </w:r>
      <w:r w:rsidRPr="00DA7D28">
        <w:rPr>
          <w:rFonts w:ascii="Times New Roman" w:hAnsi="Times New Roman"/>
          <w:sz w:val="24"/>
        </w:rPr>
        <w:t>najomieniu partnerów wykonawczych</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wym</w:t>
      </w:r>
      <w:r w:rsidRPr="00DA7D28">
        <w:rPr>
          <w:rFonts w:ascii="Times New Roman" w:hAnsi="Times New Roman"/>
          <w:sz w:val="24"/>
        </w:rPr>
        <w:t>ogami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monitorowania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spr</w:t>
      </w:r>
      <w:r w:rsidRPr="00DA7D28">
        <w:rPr>
          <w:rFonts w:ascii="Times New Roman" w:hAnsi="Times New Roman"/>
          <w:sz w:val="24"/>
        </w:rPr>
        <w:t>awozdawczości oraz przetestowaniu zasadności zaproponowanych wskaźników. Należy zauważyć, że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odn</w:t>
      </w:r>
      <w:r w:rsidRPr="00DA7D28">
        <w:rPr>
          <w:rFonts w:ascii="Times New Roman" w:hAnsi="Times New Roman"/>
          <w:sz w:val="24"/>
        </w:rPr>
        <w:t>iesieniu do znacznej części portfela projektów umowy podpisano pod koniec 2017</w:t>
      </w:r>
      <w:r w:rsidR="008E2A80" w:rsidRPr="00DA7D28">
        <w:rPr>
          <w:rFonts w:ascii="Times New Roman" w:hAnsi="Times New Roman"/>
          <w:sz w:val="24"/>
        </w:rPr>
        <w:t> </w:t>
      </w:r>
      <w:r w:rsidRPr="00DA7D28">
        <w:rPr>
          <w:rFonts w:ascii="Times New Roman" w:hAnsi="Times New Roman"/>
          <w:sz w:val="24"/>
        </w:rPr>
        <w:t>r.</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wdr</w:t>
      </w:r>
      <w:r w:rsidRPr="00DA7D28">
        <w:rPr>
          <w:rFonts w:ascii="Times New Roman" w:hAnsi="Times New Roman"/>
          <w:sz w:val="24"/>
        </w:rPr>
        <w:t>ażanie odnośnych działań rozpoczęła się dopiero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018</w:t>
      </w:r>
      <w:r w:rsidR="008E2A80" w:rsidRPr="00DA7D28">
        <w:rPr>
          <w:rFonts w:ascii="Times New Roman" w:hAnsi="Times New Roman"/>
          <w:sz w:val="24"/>
        </w:rPr>
        <w:t> </w:t>
      </w:r>
      <w:r w:rsidRPr="00DA7D28">
        <w:rPr>
          <w:rFonts w:ascii="Times New Roman" w:hAnsi="Times New Roman"/>
          <w:sz w:val="24"/>
        </w:rPr>
        <w:t>r.</w:t>
      </w:r>
    </w:p>
    <w:p w:rsidR="00D935D8" w:rsidRPr="00DA7D28" w:rsidRDefault="00D935D8" w:rsidP="00654291">
      <w:pPr>
        <w:spacing w:after="120"/>
        <w:jc w:val="both"/>
        <w:rPr>
          <w:rFonts w:ascii="Times New Roman" w:hAnsi="Times New Roman"/>
          <w:sz w:val="24"/>
          <w:szCs w:val="24"/>
        </w:rPr>
      </w:pPr>
      <w:r w:rsidRPr="00DA7D28">
        <w:rPr>
          <w:rFonts w:ascii="Times New Roman" w:hAnsi="Times New Roman"/>
          <w:sz w:val="24"/>
        </w:rPr>
        <w:t>Dane istotne dla wskaźników określonych na potrzeby ram wyników instrumentu partnerzy wykonawczy zgłaszają za pośrednictwem jednolitego formularza instytucjom zamawiającym, tzn. delegaturze Unii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 regionalnemu funduszowi powierniczemu UE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odp</w:t>
      </w:r>
      <w:r w:rsidRPr="00DA7D28">
        <w:rPr>
          <w:rFonts w:ascii="Times New Roman" w:hAnsi="Times New Roman"/>
          <w:sz w:val="24"/>
        </w:rPr>
        <w:t>owiedzi na kryzys</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Syr</w:t>
      </w:r>
      <w:r w:rsidRPr="00DA7D28">
        <w:rPr>
          <w:rFonts w:ascii="Times New Roman" w:hAnsi="Times New Roman"/>
          <w:sz w:val="24"/>
        </w:rPr>
        <w:t>ii oraz Komisji. Proces konsolidacji danych wspierany jest od strony technicznej przez wewnętrzne narzędzie informatyczne (platformę monitorowania instrumentu), które umożliwia automatyczne agregowanie, analizę</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wiz</w:t>
      </w:r>
      <w:r w:rsidRPr="00DA7D28">
        <w:rPr>
          <w:rFonts w:ascii="Times New Roman" w:hAnsi="Times New Roman"/>
          <w:sz w:val="24"/>
        </w:rPr>
        <w:t>ualizację danych</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chw</w:t>
      </w:r>
      <w:r w:rsidRPr="00DA7D28">
        <w:rPr>
          <w:rFonts w:ascii="Times New Roman" w:hAnsi="Times New Roman"/>
          <w:sz w:val="24"/>
        </w:rPr>
        <w:t xml:space="preserve">ili obecnej platforma ta jest testowana. </w:t>
      </w:r>
    </w:p>
    <w:p w:rsidR="00D935D8" w:rsidRPr="00DA7D28" w:rsidRDefault="00D935D8" w:rsidP="00654291">
      <w:pPr>
        <w:spacing w:after="120"/>
        <w:jc w:val="both"/>
        <w:rPr>
          <w:rFonts w:ascii="Times New Roman" w:hAnsi="Times New Roman"/>
          <w:sz w:val="24"/>
          <w:szCs w:val="24"/>
        </w:rPr>
      </w:pPr>
      <w:r w:rsidRPr="00DA7D28">
        <w:rPr>
          <w:rFonts w:ascii="Times New Roman" w:hAnsi="Times New Roman"/>
          <w:sz w:val="24"/>
        </w:rPr>
        <w:t>Instytucje zamawiające oraz sekretariat instrumentu zamierzają zapewnić standaryzację procesu gromadzenia danych. Ocena tego,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jak</w:t>
      </w:r>
      <w:r w:rsidRPr="00DA7D28">
        <w:rPr>
          <w:rFonts w:ascii="Times New Roman" w:hAnsi="Times New Roman"/>
          <w:sz w:val="24"/>
        </w:rPr>
        <w:t>im stopniu konkretne wyniki można przypisać poszczególnym działaniom</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jest równie problematyczna ze względu na skalę</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róż</w:t>
      </w:r>
      <w:r w:rsidRPr="00DA7D28">
        <w:rPr>
          <w:rFonts w:ascii="Times New Roman" w:hAnsi="Times New Roman"/>
          <w:sz w:val="24"/>
        </w:rPr>
        <w:t>norodność podejmowanych interwencji,</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tak</w:t>
      </w:r>
      <w:r w:rsidRPr="00DA7D28">
        <w:rPr>
          <w:rFonts w:ascii="Times New Roman" w:hAnsi="Times New Roman"/>
          <w:sz w:val="24"/>
        </w:rPr>
        <w:t>że dużą liczbę zainteresowanych stron. Podsumowując, pomiar poziomu realizacji konkretnych wyników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nadal stanowi wyzwanie.</w:t>
      </w:r>
    </w:p>
    <w:p w:rsidR="00D935D8" w:rsidRPr="00DA7D28" w:rsidRDefault="00D935D8" w:rsidP="00EC07AB">
      <w:pPr>
        <w:spacing w:after="120"/>
        <w:jc w:val="both"/>
        <w:rPr>
          <w:rFonts w:ascii="Times New Roman" w:eastAsia="Times New Roman" w:hAnsi="Times New Roman"/>
          <w:b/>
          <w:sz w:val="24"/>
          <w:szCs w:val="24"/>
        </w:rPr>
      </w:pPr>
      <w:r w:rsidRPr="00DA7D28">
        <w:rPr>
          <w:rFonts w:ascii="Times New Roman" w:hAnsi="Times New Roman"/>
          <w:b/>
          <w:sz w:val="24"/>
        </w:rPr>
        <w:t>Pomoc techniczna</w:t>
      </w:r>
      <w:r w:rsidR="00DA7D28" w:rsidRPr="00DA7D28">
        <w:rPr>
          <w:rFonts w:ascii="Times New Roman" w:hAnsi="Times New Roman"/>
          <w:b/>
          <w:sz w:val="24"/>
        </w:rPr>
        <w:t xml:space="preserve"> w</w:t>
      </w:r>
      <w:r w:rsidR="00DA7D28">
        <w:rPr>
          <w:rFonts w:ascii="Times New Roman" w:hAnsi="Times New Roman"/>
          <w:b/>
          <w:sz w:val="24"/>
        </w:rPr>
        <w:t> </w:t>
      </w:r>
      <w:r w:rsidR="00DA7D28" w:rsidRPr="00DA7D28">
        <w:rPr>
          <w:rFonts w:ascii="Times New Roman" w:hAnsi="Times New Roman"/>
          <w:b/>
          <w:sz w:val="24"/>
        </w:rPr>
        <w:t>zak</w:t>
      </w:r>
      <w:r w:rsidRPr="00DA7D28">
        <w:rPr>
          <w:rFonts w:ascii="Times New Roman" w:hAnsi="Times New Roman"/>
          <w:b/>
          <w:sz w:val="24"/>
        </w:rPr>
        <w:t>resie monitorowania</w:t>
      </w:r>
    </w:p>
    <w:p w:rsidR="00D935D8" w:rsidRPr="00DA7D28" w:rsidRDefault="00D935D8" w:rsidP="00862D35">
      <w:pPr>
        <w:spacing w:after="120"/>
        <w:jc w:val="both"/>
        <w:rPr>
          <w:rFonts w:ascii="Times New Roman" w:hAnsi="Times New Roman"/>
          <w:sz w:val="24"/>
          <w:szCs w:val="24"/>
        </w:rPr>
      </w:pPr>
      <w:r w:rsidRPr="00DA7D28">
        <w:rPr>
          <w:rFonts w:ascii="Times New Roman" w:hAnsi="Times New Roman"/>
          <w:sz w:val="24"/>
        </w:rPr>
        <w:t>W maju 2017</w:t>
      </w:r>
      <w:r w:rsidR="008E2A80" w:rsidRPr="00DA7D28">
        <w:rPr>
          <w:rFonts w:ascii="Times New Roman" w:hAnsi="Times New Roman"/>
          <w:sz w:val="24"/>
        </w:rPr>
        <w:t> </w:t>
      </w:r>
      <w:r w:rsidRPr="00DA7D28">
        <w:rPr>
          <w:rFonts w:ascii="Times New Roman" w:hAnsi="Times New Roman"/>
          <w:sz w:val="24"/>
        </w:rPr>
        <w:t>r. Komisja przyjęła decyzję</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spr</w:t>
      </w:r>
      <w:r w:rsidRPr="00DA7D28">
        <w:rPr>
          <w:rFonts w:ascii="Times New Roman" w:hAnsi="Times New Roman"/>
          <w:sz w:val="24"/>
        </w:rPr>
        <w:t>awie środka wsparcia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monitorowania, oceny, audytu</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kom</w:t>
      </w:r>
      <w:r w:rsidRPr="00DA7D28">
        <w:rPr>
          <w:rFonts w:ascii="Times New Roman" w:hAnsi="Times New Roman"/>
          <w:sz w:val="24"/>
        </w:rPr>
        <w:t>unikacji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w:t>
      </w:r>
      <w:r w:rsidRPr="00DA7D28">
        <w:rPr>
          <w:rStyle w:val="FootnoteReference"/>
          <w:rFonts w:ascii="Times New Roman" w:hAnsi="Times New Roman"/>
        </w:rPr>
        <w:footnoteReference w:id="56"/>
      </w:r>
      <w:r w:rsidRPr="00DA7D28">
        <w:rPr>
          <w:rFonts w:ascii="Times New Roman" w:hAnsi="Times New Roman"/>
          <w:sz w:val="24"/>
        </w:rPr>
        <w:t>. Dzięki temu można udzielać zamówień na pomoc techniczną mającą wspierać monitorowanie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prz</w:t>
      </w:r>
      <w:r w:rsidRPr="00DA7D28">
        <w:rPr>
          <w:rFonts w:ascii="Times New Roman" w:hAnsi="Times New Roman"/>
          <w:sz w:val="24"/>
        </w:rPr>
        <w:t>ygotowywanie sprawozdań dotyczących ram wyników instrumentu oraz konkretnych finansowanych działań</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sty</w:t>
      </w:r>
      <w:r w:rsidRPr="00DA7D28">
        <w:rPr>
          <w:rFonts w:ascii="Times New Roman" w:hAnsi="Times New Roman"/>
          <w:sz w:val="24"/>
        </w:rPr>
        <w:t>czniu 2018</w:t>
      </w:r>
      <w:r w:rsidR="008E2A80" w:rsidRPr="00DA7D28">
        <w:rPr>
          <w:rFonts w:ascii="Times New Roman" w:hAnsi="Times New Roman"/>
          <w:sz w:val="24"/>
        </w:rPr>
        <w:t> </w:t>
      </w:r>
      <w:r w:rsidRPr="00DA7D28">
        <w:rPr>
          <w:rFonts w:ascii="Times New Roman" w:hAnsi="Times New Roman"/>
          <w:sz w:val="24"/>
        </w:rPr>
        <w:t>r. podpisano umowę na pomoc techniczną</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monitowania, która jest</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peł</w:t>
      </w:r>
      <w:r w:rsidRPr="00DA7D28">
        <w:rPr>
          <w:rFonts w:ascii="Times New Roman" w:hAnsi="Times New Roman"/>
          <w:sz w:val="24"/>
        </w:rPr>
        <w:t>ni wdrażana. Obejmuje ona dwie odrębne części. Pierwsza</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nic</w:t>
      </w:r>
      <w:r w:rsidRPr="00DA7D28">
        <w:rPr>
          <w:rFonts w:ascii="Times New Roman" w:hAnsi="Times New Roman"/>
          <w:sz w:val="24"/>
        </w:rPr>
        <w:t>h dotyczy wsparcia monitorowania na poziomie instrumentu Wsparcie to obejmuje okresowy przegląd ram wyników, przegląd wartości bazowych</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doc</w:t>
      </w:r>
      <w:r w:rsidRPr="00DA7D28">
        <w:rPr>
          <w:rFonts w:ascii="Times New Roman" w:hAnsi="Times New Roman"/>
          <w:sz w:val="24"/>
        </w:rPr>
        <w:t>elowych, jak również przegląd metod obliczania wskaźników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odn</w:t>
      </w:r>
      <w:r w:rsidRPr="00DA7D28">
        <w:rPr>
          <w:rFonts w:ascii="Times New Roman" w:hAnsi="Times New Roman"/>
          <w:sz w:val="24"/>
        </w:rPr>
        <w:t>ośnych wytycznych. Zespół ds. pomocy technicznej jest również odpowiedzialny za wspieranie sekretariatu instrumentu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zadań takich jak: przeprowadzanie analizy pierwszego stopnia danych</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mon</w:t>
      </w:r>
      <w:r w:rsidRPr="00DA7D28">
        <w:rPr>
          <w:rFonts w:ascii="Times New Roman" w:hAnsi="Times New Roman"/>
          <w:sz w:val="24"/>
        </w:rPr>
        <w:t>itorowania (gromadzonych raz na kwartał za pośrednictwem platformy monitorowania instrumentu) oraz sporządzanie sprawozdań monitorujących. Druga część dotyczy wspierania delegatury UE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wyk</w:t>
      </w:r>
      <w:r w:rsidRPr="00DA7D28">
        <w:rPr>
          <w:rFonts w:ascii="Times New Roman" w:hAnsi="Times New Roman"/>
          <w:sz w:val="24"/>
        </w:rPr>
        <w:t>onywaniu obowiązków związanych</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mon</w:t>
      </w:r>
      <w:r w:rsidRPr="00DA7D28">
        <w:rPr>
          <w:rFonts w:ascii="Times New Roman" w:hAnsi="Times New Roman"/>
          <w:sz w:val="24"/>
        </w:rPr>
        <w:t>itorowaniem działań</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umó</w:t>
      </w:r>
      <w:r w:rsidRPr="00DA7D28">
        <w:rPr>
          <w:rFonts w:ascii="Times New Roman" w:hAnsi="Times New Roman"/>
          <w:sz w:val="24"/>
        </w:rPr>
        <w:t>w finansowanych ze środków instrumentu, co obejmuje weryfikowanie danych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dro</w:t>
      </w:r>
      <w:r w:rsidRPr="00DA7D28">
        <w:rPr>
          <w:rFonts w:ascii="Times New Roman" w:hAnsi="Times New Roman"/>
          <w:sz w:val="24"/>
        </w:rPr>
        <w:t>dze kontroli na miejscu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prz</w:t>
      </w:r>
      <w:r w:rsidRPr="00DA7D28">
        <w:rPr>
          <w:rFonts w:ascii="Times New Roman" w:hAnsi="Times New Roman"/>
          <w:sz w:val="24"/>
        </w:rPr>
        <w:t>ypadku umów objętych zarządzaniem bezpośrednim. Ze względu na skalę niektórych interwencji oraz zasięg geograficzny działań podejmowanych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delegatura potrzebuje pomocy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prz</w:t>
      </w:r>
      <w:r w:rsidRPr="00DA7D28">
        <w:rPr>
          <w:rFonts w:ascii="Times New Roman" w:hAnsi="Times New Roman"/>
          <w:sz w:val="24"/>
        </w:rPr>
        <w:t>eprowadzaniu kontroli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ter</w:t>
      </w:r>
      <w:r w:rsidRPr="00DA7D28">
        <w:rPr>
          <w:rFonts w:ascii="Times New Roman" w:hAnsi="Times New Roman"/>
          <w:sz w:val="24"/>
        </w:rPr>
        <w:t>enie. Do końca grudnia 2018</w:t>
      </w:r>
      <w:r w:rsidR="008E2A80" w:rsidRPr="00DA7D28">
        <w:rPr>
          <w:rFonts w:ascii="Times New Roman" w:hAnsi="Times New Roman"/>
          <w:sz w:val="24"/>
        </w:rPr>
        <w:t> </w:t>
      </w:r>
      <w:r w:rsidRPr="00DA7D28">
        <w:rPr>
          <w:rFonts w:ascii="Times New Roman" w:hAnsi="Times New Roman"/>
          <w:sz w:val="24"/>
        </w:rPr>
        <w:t>r. odbyto 50 wizyt monitorujących: 16</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nic</w:t>
      </w:r>
      <w:r w:rsidRPr="00DA7D28">
        <w:rPr>
          <w:rFonts w:ascii="Times New Roman" w:hAnsi="Times New Roman"/>
          <w:sz w:val="24"/>
        </w:rPr>
        <w:t>h miało miejsce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017</w:t>
      </w:r>
      <w:r w:rsidR="008E2A80" w:rsidRPr="00DA7D28">
        <w:rPr>
          <w:rFonts w:ascii="Times New Roman" w:hAnsi="Times New Roman"/>
          <w:sz w:val="24"/>
        </w:rPr>
        <w:t> </w:t>
      </w:r>
      <w:r w:rsidRPr="00DA7D28">
        <w:rPr>
          <w:rFonts w:ascii="Times New Roman" w:hAnsi="Times New Roman"/>
          <w:sz w:val="24"/>
        </w:rPr>
        <w:t>r. (w tym</w:t>
      </w:r>
      <w:r w:rsidR="008E2A80" w:rsidRPr="00DA7D28">
        <w:rPr>
          <w:rFonts w:ascii="Times New Roman" w:hAnsi="Times New Roman"/>
          <w:sz w:val="24"/>
        </w:rPr>
        <w:t> </w:t>
      </w:r>
      <w:r w:rsidRPr="00DA7D28">
        <w:rPr>
          <w:rFonts w:ascii="Times New Roman" w:hAnsi="Times New Roman"/>
          <w:sz w:val="24"/>
        </w:rPr>
        <w:t>2 wizyty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monitorowania zorientowanego na rezultaty (ROM))</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kol</w:t>
      </w:r>
      <w:r w:rsidRPr="00DA7D28">
        <w:rPr>
          <w:rFonts w:ascii="Times New Roman" w:hAnsi="Times New Roman"/>
          <w:sz w:val="24"/>
        </w:rPr>
        <w:t>ejne 34 –</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018</w:t>
      </w:r>
      <w:r w:rsidR="008E2A80" w:rsidRPr="00DA7D28">
        <w:rPr>
          <w:rFonts w:ascii="Times New Roman" w:hAnsi="Times New Roman"/>
          <w:sz w:val="24"/>
        </w:rPr>
        <w:t> </w:t>
      </w:r>
      <w:r w:rsidRPr="00DA7D28">
        <w:rPr>
          <w:rFonts w:ascii="Times New Roman" w:hAnsi="Times New Roman"/>
          <w:sz w:val="24"/>
        </w:rPr>
        <w:t>r. (w tym</w:t>
      </w:r>
      <w:r w:rsidR="008E2A80" w:rsidRPr="00DA7D28">
        <w:rPr>
          <w:rFonts w:ascii="Times New Roman" w:hAnsi="Times New Roman"/>
          <w:sz w:val="24"/>
        </w:rPr>
        <w:t> </w:t>
      </w:r>
      <w:r w:rsidRPr="00DA7D28">
        <w:rPr>
          <w:rFonts w:ascii="Times New Roman" w:hAnsi="Times New Roman"/>
          <w:sz w:val="24"/>
        </w:rPr>
        <w:t>3 wizyty ROM</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8</w:t>
      </w:r>
      <w:r w:rsidRPr="00DA7D28">
        <w:rPr>
          <w:rFonts w:ascii="Times New Roman" w:hAnsi="Times New Roman"/>
          <w:sz w:val="24"/>
        </w:rPr>
        <w:t xml:space="preserve"> wizyt zespołu ds. pomocy technicznej). Ponad 35 % tych wizyt dotyczyło dotacji bezpośrednich udzielonych Ministerstwu Edukacji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Min</w:t>
      </w:r>
      <w:r w:rsidRPr="00DA7D28">
        <w:rPr>
          <w:rFonts w:ascii="Times New Roman" w:hAnsi="Times New Roman"/>
          <w:sz w:val="24"/>
        </w:rPr>
        <w:t xml:space="preserve">isterstwu Zdrowia Turcji. </w:t>
      </w:r>
    </w:p>
    <w:p w:rsidR="00D935D8" w:rsidRPr="00DA7D28" w:rsidRDefault="00D935D8" w:rsidP="00862D35">
      <w:pPr>
        <w:spacing w:after="120"/>
        <w:jc w:val="both"/>
        <w:rPr>
          <w:rFonts w:ascii="Times New Roman" w:hAnsi="Times New Roman"/>
          <w:sz w:val="24"/>
          <w:szCs w:val="24"/>
        </w:rPr>
      </w:pPr>
      <w:r w:rsidRPr="00DA7D28">
        <w:rPr>
          <w:rFonts w:ascii="Times New Roman" w:hAnsi="Times New Roman"/>
          <w:sz w:val="24"/>
        </w:rPr>
        <w:t>Monitorowanie wszystkich działań finansowanych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planów wdrażania pomocy humanitarnej zostało przejęte przez Komisję,</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dok</w:t>
      </w:r>
      <w:r w:rsidRPr="00DA7D28">
        <w:rPr>
          <w:rFonts w:ascii="Times New Roman" w:hAnsi="Times New Roman"/>
          <w:sz w:val="24"/>
        </w:rPr>
        <w:t>ładniej – przez jej personel zatrudniony na terenie Turcji oraz przez regionalne biuro Komisji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Amm</w:t>
      </w:r>
      <w:r w:rsidRPr="00DA7D28">
        <w:rPr>
          <w:rFonts w:ascii="Times New Roman" w:hAnsi="Times New Roman"/>
          <w:sz w:val="24"/>
        </w:rPr>
        <w:t>anie. Do listopada 2018</w:t>
      </w:r>
      <w:r w:rsidR="008E2A80" w:rsidRPr="00DA7D28">
        <w:rPr>
          <w:rFonts w:ascii="Times New Roman" w:hAnsi="Times New Roman"/>
          <w:sz w:val="24"/>
        </w:rPr>
        <w:t> </w:t>
      </w:r>
      <w:r w:rsidRPr="00DA7D28">
        <w:rPr>
          <w:rFonts w:ascii="Times New Roman" w:hAnsi="Times New Roman"/>
          <w:sz w:val="24"/>
        </w:rPr>
        <w:t>r. przeprowadzono 148 wizyt monitorujących projekty. Ponadto, oprócz informacji na temat wskaźników przewidzianych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wyników,</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opa</w:t>
      </w:r>
      <w:r w:rsidRPr="00DA7D28">
        <w:rPr>
          <w:rFonts w:ascii="Times New Roman" w:hAnsi="Times New Roman"/>
          <w:sz w:val="24"/>
        </w:rPr>
        <w:t>rciu</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któ</w:t>
      </w:r>
      <w:r w:rsidRPr="00DA7D28">
        <w:rPr>
          <w:rFonts w:ascii="Times New Roman" w:hAnsi="Times New Roman"/>
          <w:sz w:val="24"/>
        </w:rPr>
        <w:t>re partnerzy przygotowują swoje sprawozdania, okresowo przekazywane są też informacje na temat dodatkowych wskaźników dotyczących ochrony, co znajduje również odzwierciedlenie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dan</w:t>
      </w:r>
      <w:r w:rsidRPr="00DA7D28">
        <w:rPr>
          <w:rFonts w:ascii="Times New Roman" w:hAnsi="Times New Roman"/>
          <w:sz w:val="24"/>
        </w:rPr>
        <w:t xml:space="preserve">ych znajdujących się na platformie monitorowania instrumentu. </w:t>
      </w:r>
    </w:p>
    <w:p w:rsidR="00D935D8" w:rsidRPr="00DA7D28" w:rsidRDefault="00D935D8" w:rsidP="00EC07AB">
      <w:pPr>
        <w:spacing w:after="120"/>
        <w:jc w:val="both"/>
        <w:rPr>
          <w:rFonts w:ascii="Times New Roman" w:eastAsia="Times New Roman" w:hAnsi="Times New Roman"/>
          <w:b/>
          <w:sz w:val="24"/>
          <w:szCs w:val="24"/>
        </w:rPr>
      </w:pPr>
      <w:r w:rsidRPr="00DA7D28">
        <w:rPr>
          <w:rFonts w:ascii="Times New Roman" w:hAnsi="Times New Roman"/>
          <w:b/>
          <w:sz w:val="24"/>
        </w:rPr>
        <w:t>Ocena</w:t>
      </w:r>
    </w:p>
    <w:p w:rsidR="00D935D8" w:rsidRPr="00DA7D28" w:rsidRDefault="00394F61" w:rsidP="000D59A1">
      <w:pPr>
        <w:jc w:val="both"/>
        <w:rPr>
          <w:rFonts w:ascii="Times New Roman" w:hAnsi="Times New Roman"/>
          <w:sz w:val="24"/>
          <w:szCs w:val="24"/>
        </w:rPr>
      </w:pPr>
      <w:r w:rsidRPr="00DA7D28">
        <w:rPr>
          <w:rFonts w:ascii="Times New Roman" w:hAnsi="Times New Roman"/>
          <w:sz w:val="24"/>
        </w:rPr>
        <w:t>Przeprowadzono osiem ocen na poziomie działań i na poziomie portfeli. Kolejne trzy są</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tra</w:t>
      </w:r>
      <w:r w:rsidRPr="00DA7D28">
        <w:rPr>
          <w:rFonts w:ascii="Times New Roman" w:hAnsi="Times New Roman"/>
          <w:sz w:val="24"/>
        </w:rPr>
        <w:t>kcie realizacji</w:t>
      </w:r>
      <w:r w:rsidRPr="00DA7D28">
        <w:rPr>
          <w:rStyle w:val="FootnoteReference"/>
          <w:rFonts w:ascii="Times New Roman" w:hAnsi="Times New Roman"/>
        </w:rPr>
        <w:footnoteReference w:id="57"/>
      </w:r>
      <w:r w:rsidRPr="00DA7D28">
        <w:rPr>
          <w:rFonts w:ascii="Times New Roman" w:hAnsi="Times New Roman"/>
          <w:sz w:val="24"/>
        </w:rPr>
        <w:t>. Ponadto jedna ocena dotycząca instrumentu dobiegła końca,</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dwi</w:t>
      </w:r>
      <w:r w:rsidRPr="00DA7D28">
        <w:rPr>
          <w:rFonts w:ascii="Times New Roman" w:hAnsi="Times New Roman"/>
          <w:sz w:val="24"/>
        </w:rPr>
        <w:t>e kolejne są</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tok</w:t>
      </w:r>
      <w:r w:rsidRPr="00DA7D28">
        <w:rPr>
          <w:rFonts w:ascii="Times New Roman" w:hAnsi="Times New Roman"/>
          <w:sz w:val="24"/>
        </w:rPr>
        <w:t>u. Oceny te dotyczą</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głó</w:t>
      </w:r>
      <w:r w:rsidRPr="00DA7D28">
        <w:rPr>
          <w:rFonts w:ascii="Times New Roman" w:hAnsi="Times New Roman"/>
          <w:sz w:val="24"/>
        </w:rPr>
        <w:t>wnej mierze pomocy humanitarnej oraz wsparcia udzielonego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regionalnego funduszu powierniczego UE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odp</w:t>
      </w:r>
      <w:r w:rsidRPr="00DA7D28">
        <w:rPr>
          <w:rFonts w:ascii="Times New Roman" w:hAnsi="Times New Roman"/>
          <w:sz w:val="24"/>
        </w:rPr>
        <w:t>owiedzi na kryzys</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Syr</w:t>
      </w:r>
      <w:r w:rsidRPr="00DA7D28">
        <w:rPr>
          <w:rFonts w:ascii="Times New Roman" w:hAnsi="Times New Roman"/>
          <w:sz w:val="24"/>
        </w:rPr>
        <w:t>ii</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gru</w:t>
      </w:r>
      <w:r w:rsidRPr="00DA7D28">
        <w:rPr>
          <w:rFonts w:ascii="Times New Roman" w:hAnsi="Times New Roman"/>
          <w:sz w:val="24"/>
        </w:rPr>
        <w:t>dniu 2018</w:t>
      </w:r>
      <w:r w:rsidR="008E2A80" w:rsidRPr="00DA7D28">
        <w:rPr>
          <w:rFonts w:ascii="Times New Roman" w:hAnsi="Times New Roman"/>
          <w:sz w:val="24"/>
        </w:rPr>
        <w:t> </w:t>
      </w:r>
      <w:r w:rsidRPr="00DA7D28">
        <w:rPr>
          <w:rFonts w:ascii="Times New Roman" w:hAnsi="Times New Roman"/>
          <w:sz w:val="24"/>
        </w:rPr>
        <w:t>r. Komisja rozpoczęła strategiczną śródokresową ocenę instrumentu, która będzie przeprowadzana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lat</w:t>
      </w:r>
      <w:r w:rsidRPr="00DA7D28">
        <w:rPr>
          <w:rFonts w:ascii="Times New Roman" w:hAnsi="Times New Roman"/>
          <w:sz w:val="24"/>
        </w:rPr>
        <w:t>ach 2019–2020. Ma ona na celu zbadanie wkładu instrumentu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pri</w:t>
      </w:r>
      <w:r w:rsidRPr="00DA7D28">
        <w:rPr>
          <w:rFonts w:ascii="Times New Roman" w:hAnsi="Times New Roman"/>
          <w:sz w:val="24"/>
        </w:rPr>
        <w:t>orytetowe dziedziny edukacji, zdrowia, wsparcia społeczno-ekonomicznego oraz zarządzania migracją</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lat</w:t>
      </w:r>
      <w:r w:rsidRPr="00DA7D28">
        <w:rPr>
          <w:rFonts w:ascii="Times New Roman" w:hAnsi="Times New Roman"/>
          <w:sz w:val="24"/>
        </w:rPr>
        <w:t>ach 2016–2019/20. Oczekuje się, że pozwoli ona uzyskać niezależną ogólną ocenę wyników pośrednich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kon</w:t>
      </w:r>
      <w:r w:rsidRPr="00DA7D28">
        <w:rPr>
          <w:rFonts w:ascii="Times New Roman" w:hAnsi="Times New Roman"/>
          <w:sz w:val="24"/>
        </w:rPr>
        <w:t>tekście zakładanych celów, wyciągnąć wnioski</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dot</w:t>
      </w:r>
      <w:r w:rsidRPr="00DA7D28">
        <w:rPr>
          <w:rFonts w:ascii="Times New Roman" w:hAnsi="Times New Roman"/>
          <w:sz w:val="24"/>
        </w:rPr>
        <w:t>ychczasowych doświadczeń oraz przedstawić zalecenia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cel</w:t>
      </w:r>
      <w:r w:rsidRPr="00DA7D28">
        <w:rPr>
          <w:rFonts w:ascii="Times New Roman" w:hAnsi="Times New Roman"/>
          <w:sz w:val="24"/>
        </w:rPr>
        <w:t>u usprawnienia bieżących</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prz</w:t>
      </w:r>
      <w:r w:rsidRPr="00DA7D28">
        <w:rPr>
          <w:rFonts w:ascii="Times New Roman" w:hAnsi="Times New Roman"/>
          <w:sz w:val="24"/>
        </w:rPr>
        <w:t>yszłych działań</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 xml:space="preserve">ach instrumentu. </w:t>
      </w:r>
    </w:p>
    <w:p w:rsidR="00E90063" w:rsidRPr="00DA7D28" w:rsidRDefault="00BE7F2C" w:rsidP="00E24441">
      <w:pPr>
        <w:pStyle w:val="Heading1"/>
      </w:pPr>
      <w:bookmarkStart w:id="50" w:name="_Toc3193670"/>
      <w:bookmarkStart w:id="51" w:name="_Toc4776705"/>
      <w:r w:rsidRPr="00DA7D28">
        <w:t>Audyt</w:t>
      </w:r>
      <w:bookmarkEnd w:id="47"/>
      <w:bookmarkEnd w:id="48"/>
      <w:bookmarkEnd w:id="49"/>
      <w:bookmarkEnd w:id="50"/>
      <w:bookmarkEnd w:id="51"/>
    </w:p>
    <w:p w:rsidR="00463663" w:rsidRPr="00DA7D28" w:rsidRDefault="00BE7F2C" w:rsidP="00BC6868">
      <w:pPr>
        <w:jc w:val="both"/>
        <w:rPr>
          <w:rFonts w:ascii="Times New Roman" w:eastAsia="Times New Roman" w:hAnsi="Times New Roman"/>
          <w:sz w:val="24"/>
          <w:szCs w:val="24"/>
        </w:rPr>
      </w:pPr>
      <w:bookmarkStart w:id="52" w:name="_Toc473205700"/>
      <w:r w:rsidRPr="00DA7D28">
        <w:rPr>
          <w:rFonts w:ascii="Times New Roman" w:hAnsi="Times New Roman"/>
          <w:sz w:val="24"/>
        </w:rPr>
        <w:t>W dniu 17 października 2017 r. Europejski Trybunał Obrachunkowy oficjalnie rozpoczął kontrolę wykonania zadań dotyczącą instrumentu. Ostateczna wersja sprawozdania Trybunału została opublikowana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dni</w:t>
      </w:r>
      <w:r w:rsidRPr="00DA7D28">
        <w:rPr>
          <w:rFonts w:ascii="Times New Roman" w:hAnsi="Times New Roman"/>
          <w:sz w:val="24"/>
        </w:rPr>
        <w:t>u 13 listopada 2018</w:t>
      </w:r>
      <w:r w:rsidR="008E2A80" w:rsidRPr="00DA7D28">
        <w:rPr>
          <w:rFonts w:ascii="Times New Roman" w:hAnsi="Times New Roman"/>
          <w:sz w:val="24"/>
        </w:rPr>
        <w:t> </w:t>
      </w:r>
      <w:r w:rsidRPr="00DA7D28">
        <w:rPr>
          <w:rFonts w:ascii="Times New Roman" w:hAnsi="Times New Roman"/>
          <w:sz w:val="24"/>
        </w:rPr>
        <w:t>r. Kontrola koncentrowała się na komplementarności pomocy udzielanej</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osiągniętych rezultatach</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mon</w:t>
      </w:r>
      <w:r w:rsidRPr="00DA7D28">
        <w:rPr>
          <w:rFonts w:ascii="Times New Roman" w:hAnsi="Times New Roman"/>
          <w:sz w:val="24"/>
        </w:rPr>
        <w:t>itorowaniu,</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pon</w:t>
      </w:r>
      <w:r w:rsidRPr="00DA7D28">
        <w:rPr>
          <w:rFonts w:ascii="Times New Roman" w:hAnsi="Times New Roman"/>
          <w:sz w:val="24"/>
        </w:rPr>
        <w:t>adto objęła próbę dziesięciu projektów</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resu pomocy humanitarnej. Trybunał skupił się na kwestii zarządzania pierwszymi kilkoma projektami finansowanymi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oraz na wynikach osiągniętych dotychczas</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komponentu humanitarnego. Jego zdaniem instrument umożliwił –</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tru</w:t>
      </w:r>
      <w:r w:rsidRPr="00DA7D28">
        <w:rPr>
          <w:rFonts w:ascii="Times New Roman" w:hAnsi="Times New Roman"/>
          <w:sz w:val="24"/>
        </w:rPr>
        <w:t>dnych warunkach – szybkie uruchomienie funduszy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cel</w:t>
      </w:r>
      <w:r w:rsidRPr="00DA7D28">
        <w:rPr>
          <w:rFonts w:ascii="Times New Roman" w:hAnsi="Times New Roman"/>
          <w:sz w:val="24"/>
        </w:rPr>
        <w:t>u zapewnienia sprawnej reakcji. Trybunał wskazał jednak, że można poprawić wydajność projektów humanitarnych,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szc</w:t>
      </w:r>
      <w:r w:rsidRPr="00DA7D28">
        <w:rPr>
          <w:rFonts w:ascii="Times New Roman" w:hAnsi="Times New Roman"/>
          <w:sz w:val="24"/>
        </w:rPr>
        <w:t>zególności projektów polegających na świadczeniu pomocy pieniężnej, oraz że instrument powinien zapewniać lepsze wykorzystywanie środków</w:t>
      </w:r>
      <w:r w:rsidRPr="00DA7D28">
        <w:rPr>
          <w:rStyle w:val="FootnoteReference"/>
          <w:rFonts w:ascii="Times New Roman" w:hAnsi="Times New Roman"/>
        </w:rPr>
        <w:footnoteReference w:id="58"/>
      </w:r>
      <w:r w:rsidRPr="00DA7D28">
        <w:rPr>
          <w:rFonts w:ascii="Times New Roman" w:hAnsi="Times New Roman"/>
          <w:sz w:val="24"/>
        </w:rPr>
        <w:t>. Trybunał skierował również do Komisji szereg zaleceń, które Komisja przyjęła bez zastrzeżeń</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któ</w:t>
      </w:r>
      <w:r w:rsidRPr="00DA7D28">
        <w:rPr>
          <w:rFonts w:ascii="Times New Roman" w:hAnsi="Times New Roman"/>
          <w:sz w:val="24"/>
        </w:rPr>
        <w:t>re już wdraża, m.in.</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odn</w:t>
      </w:r>
      <w:r w:rsidRPr="00DA7D28">
        <w:rPr>
          <w:rFonts w:ascii="Times New Roman" w:hAnsi="Times New Roman"/>
          <w:sz w:val="24"/>
        </w:rPr>
        <w:t>iesieniu do podejmowania</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wię</w:t>
      </w:r>
      <w:r w:rsidRPr="00DA7D28">
        <w:rPr>
          <w:rFonts w:ascii="Times New Roman" w:hAnsi="Times New Roman"/>
          <w:sz w:val="24"/>
        </w:rPr>
        <w:t>kszej mierze interwencji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zak</w:t>
      </w:r>
      <w:r w:rsidRPr="00DA7D28">
        <w:rPr>
          <w:rFonts w:ascii="Times New Roman" w:hAnsi="Times New Roman"/>
          <w:sz w:val="24"/>
        </w:rPr>
        <w:t>resie pomocy rozwojowej (zob. sekcję dotyczącą programowania).</w:t>
      </w:r>
    </w:p>
    <w:p w:rsidR="006B4BA0" w:rsidRPr="00DA7D28" w:rsidRDefault="00BE7F2C" w:rsidP="00EC07AB">
      <w:pPr>
        <w:pStyle w:val="Heading1"/>
        <w:jc w:val="both"/>
      </w:pPr>
      <w:bookmarkStart w:id="53" w:name="_Toc473555910"/>
      <w:bookmarkStart w:id="54" w:name="_Toc474488803"/>
      <w:bookmarkStart w:id="55" w:name="_Toc3193671"/>
      <w:bookmarkStart w:id="56" w:name="_Toc4776706"/>
      <w:r w:rsidRPr="00DA7D28">
        <w:t>Komunikacja</w:t>
      </w:r>
      <w:r w:rsidR="00DA7D28" w:rsidRPr="00DA7D28">
        <w:t xml:space="preserve"> i</w:t>
      </w:r>
      <w:r w:rsidR="00DA7D28">
        <w:t> </w:t>
      </w:r>
      <w:r w:rsidR="00DA7D28" w:rsidRPr="00DA7D28">
        <w:t>eks</w:t>
      </w:r>
      <w:r w:rsidRPr="00DA7D28">
        <w:t>ponowanie działań</w:t>
      </w:r>
      <w:bookmarkStart w:id="57" w:name="_Toc473205701"/>
      <w:bookmarkStart w:id="58" w:name="_Toc473555911"/>
      <w:bookmarkStart w:id="59" w:name="_Toc474488804"/>
      <w:bookmarkEnd w:id="52"/>
      <w:bookmarkEnd w:id="53"/>
      <w:bookmarkEnd w:id="54"/>
      <w:bookmarkEnd w:id="55"/>
      <w:bookmarkEnd w:id="56"/>
    </w:p>
    <w:p w:rsidR="00E90063" w:rsidRPr="00DA7D28" w:rsidRDefault="00DE515C" w:rsidP="00BC6868">
      <w:pPr>
        <w:jc w:val="both"/>
        <w:rPr>
          <w:rFonts w:ascii="Times New Roman" w:eastAsia="Times New Roman" w:hAnsi="Times New Roman"/>
          <w:sz w:val="24"/>
          <w:szCs w:val="24"/>
        </w:rPr>
      </w:pPr>
      <w:r w:rsidRPr="00DA7D28">
        <w:rPr>
          <w:rFonts w:ascii="Times New Roman" w:hAnsi="Times New Roman"/>
          <w:sz w:val="24"/>
        </w:rPr>
        <w:t>Od samego początku istnienia instrumentu kluczowymi priorytetami były komunikacja</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eks</w:t>
      </w:r>
      <w:r w:rsidRPr="00DA7D28">
        <w:rPr>
          <w:rFonts w:ascii="Times New Roman" w:hAnsi="Times New Roman"/>
          <w:sz w:val="24"/>
        </w:rPr>
        <w:t>ponowanie działań. Instrument ma zasadnicze znaczenie dla rozpowszechniania wiedzy</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duż</w:t>
      </w:r>
      <w:r w:rsidRPr="00DA7D28">
        <w:rPr>
          <w:rFonts w:ascii="Times New Roman" w:hAnsi="Times New Roman"/>
          <w:sz w:val="24"/>
        </w:rPr>
        <w:t>ym wsparciu, które UE niezmiennie zapewnia uchodźcom</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spo</w:t>
      </w:r>
      <w:r w:rsidRPr="00DA7D28">
        <w:rPr>
          <w:rFonts w:ascii="Times New Roman" w:hAnsi="Times New Roman"/>
          <w:sz w:val="24"/>
        </w:rPr>
        <w:t>łecznościom przyjmującym</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 Ogólne zasady prowadzenia działań komunikacyjnych mających na celu eksponowanie działań finansowanych</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ins</w:t>
      </w:r>
      <w:r w:rsidRPr="00DA7D28">
        <w:rPr>
          <w:rFonts w:ascii="Times New Roman" w:hAnsi="Times New Roman"/>
          <w:sz w:val="24"/>
        </w:rPr>
        <w:t>trumentu określono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str</w:t>
      </w:r>
      <w:r w:rsidRPr="00DA7D28">
        <w:rPr>
          <w:rFonts w:ascii="Times New Roman" w:hAnsi="Times New Roman"/>
          <w:sz w:val="24"/>
        </w:rPr>
        <w:t>ategii komunikacyjnej</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2</w:t>
      </w:r>
      <w:r w:rsidRPr="00DA7D28">
        <w:rPr>
          <w:rFonts w:ascii="Times New Roman" w:hAnsi="Times New Roman"/>
          <w:sz w:val="24"/>
        </w:rPr>
        <w:t>017</w:t>
      </w:r>
      <w:r w:rsidR="008E2A80" w:rsidRPr="00DA7D28">
        <w:rPr>
          <w:rFonts w:ascii="Times New Roman" w:hAnsi="Times New Roman"/>
          <w:sz w:val="24"/>
        </w:rPr>
        <w:t> </w:t>
      </w:r>
      <w:r w:rsidRPr="00DA7D28">
        <w:rPr>
          <w:rFonts w:ascii="Times New Roman" w:hAnsi="Times New Roman"/>
          <w:sz w:val="24"/>
        </w:rPr>
        <w:t xml:space="preserve">r. </w:t>
      </w:r>
    </w:p>
    <w:p w:rsidR="00C14B61" w:rsidRPr="00DA7D28" w:rsidRDefault="00C14B61" w:rsidP="00BC6868">
      <w:pPr>
        <w:jc w:val="both"/>
        <w:rPr>
          <w:rFonts w:ascii="Times New Roman" w:eastAsia="Times New Roman" w:hAnsi="Times New Roman"/>
          <w:sz w:val="24"/>
          <w:szCs w:val="24"/>
        </w:rPr>
      </w:pPr>
    </w:p>
    <w:p w:rsidR="00756F04" w:rsidRPr="00DA7D28" w:rsidRDefault="00756F04" w:rsidP="00EC07AB">
      <w:pPr>
        <w:spacing w:after="120"/>
        <w:jc w:val="both"/>
        <w:rPr>
          <w:rFonts w:ascii="Times New Roman" w:eastAsia="Times New Roman" w:hAnsi="Times New Roman"/>
          <w:sz w:val="24"/>
          <w:szCs w:val="24"/>
        </w:rPr>
      </w:pPr>
      <w:r w:rsidRPr="00DA7D28">
        <w:rPr>
          <w:rFonts w:ascii="Times New Roman" w:hAnsi="Times New Roman"/>
          <w:sz w:val="24"/>
        </w:rPr>
        <w:t>W 2018</w:t>
      </w:r>
      <w:r w:rsidR="008E2A80" w:rsidRPr="00DA7D28">
        <w:rPr>
          <w:rFonts w:ascii="Times New Roman" w:hAnsi="Times New Roman"/>
          <w:sz w:val="24"/>
        </w:rPr>
        <w:t> </w:t>
      </w:r>
      <w:r w:rsidRPr="00DA7D28">
        <w:rPr>
          <w:rFonts w:ascii="Times New Roman" w:hAnsi="Times New Roman"/>
          <w:sz w:val="24"/>
        </w:rPr>
        <w:t>r. przeprowadzono szereg działań informacyjno-komunikacyjnych, m.in.</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lis</w:t>
      </w:r>
      <w:r w:rsidRPr="00DA7D28">
        <w:rPr>
          <w:rFonts w:ascii="Times New Roman" w:hAnsi="Times New Roman"/>
          <w:sz w:val="24"/>
        </w:rPr>
        <w:t>topadzie tego roku zorganizowano wizytę prasową</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udz</w:t>
      </w:r>
      <w:r w:rsidRPr="00DA7D28">
        <w:rPr>
          <w:rFonts w:ascii="Times New Roman" w:hAnsi="Times New Roman"/>
          <w:sz w:val="24"/>
        </w:rPr>
        <w:t>iałem europejskich dziennikarzy</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prz</w:t>
      </w:r>
      <w:r w:rsidRPr="00DA7D28">
        <w:rPr>
          <w:rFonts w:ascii="Times New Roman" w:hAnsi="Times New Roman"/>
          <w:sz w:val="24"/>
        </w:rPr>
        <w:t>edstawicieli państw członkowskich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Sta</w:t>
      </w:r>
      <w:r w:rsidRPr="00DA7D28">
        <w:rPr>
          <w:rFonts w:ascii="Times New Roman" w:hAnsi="Times New Roman"/>
          <w:sz w:val="24"/>
        </w:rPr>
        <w:t>mbule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Gaz</w:t>
      </w:r>
      <w:r w:rsidRPr="00DA7D28">
        <w:rPr>
          <w:rFonts w:ascii="Times New Roman" w:hAnsi="Times New Roman"/>
          <w:sz w:val="24"/>
        </w:rPr>
        <w:t>iantep, która wywołała szerokie zainteresowania mediów. Obejmowała ona wizyty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wie</w:t>
      </w:r>
      <w:r w:rsidRPr="00DA7D28">
        <w:rPr>
          <w:rFonts w:ascii="Times New Roman" w:hAnsi="Times New Roman"/>
          <w:sz w:val="24"/>
        </w:rPr>
        <w:t>lu miejscach, gdzie realizowane są wspierane przez instrument projekty, jak również uroczystą inaugurację projektu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dzi</w:t>
      </w:r>
      <w:r w:rsidRPr="00DA7D28">
        <w:rPr>
          <w:rFonts w:ascii="Times New Roman" w:hAnsi="Times New Roman"/>
          <w:sz w:val="24"/>
        </w:rPr>
        <w:t>edzinie wsparcia społeczno-ekonomicznego. Delegatura UE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 była ponadto partnerem tureckiego Czerwonego Półksiężyca oraz klubu piłkarskiego Galatasaray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org</w:t>
      </w:r>
      <w:r w:rsidRPr="00DA7D28">
        <w:rPr>
          <w:rFonts w:ascii="Times New Roman" w:hAnsi="Times New Roman"/>
          <w:sz w:val="24"/>
        </w:rPr>
        <w:t>anizacji wydarzenia sportowego,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którego syryjskie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eckie dzieci wzięły udział</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tre</w:t>
      </w:r>
      <w:r w:rsidRPr="00DA7D28">
        <w:rPr>
          <w:rFonts w:ascii="Times New Roman" w:hAnsi="Times New Roman"/>
          <w:sz w:val="24"/>
        </w:rPr>
        <w:t>ningu sławnych piłkarzy,</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nas</w:t>
      </w:r>
      <w:r w:rsidRPr="00DA7D28">
        <w:rPr>
          <w:rFonts w:ascii="Times New Roman" w:hAnsi="Times New Roman"/>
          <w:sz w:val="24"/>
        </w:rPr>
        <w:t>tępnie obejrzały mecz tureckiej ligi piłkarskiej. Jeśli chodzi</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zas</w:t>
      </w:r>
      <w:r w:rsidRPr="00DA7D28">
        <w:rPr>
          <w:rFonts w:ascii="Times New Roman" w:hAnsi="Times New Roman"/>
          <w:sz w:val="24"/>
        </w:rPr>
        <w:t>ięg medialny tego wydarzenia, obejrzało je</w:t>
      </w:r>
      <w:r w:rsidR="008E2A80" w:rsidRPr="00DA7D28">
        <w:rPr>
          <w:rFonts w:ascii="Times New Roman" w:hAnsi="Times New Roman"/>
          <w:sz w:val="24"/>
        </w:rPr>
        <w:t> </w:t>
      </w:r>
      <w:r w:rsidRPr="00DA7D28">
        <w:rPr>
          <w:rFonts w:ascii="Times New Roman" w:hAnsi="Times New Roman"/>
          <w:sz w:val="24"/>
        </w:rPr>
        <w:t>100 mln osób,</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del</w:t>
      </w:r>
      <w:r w:rsidRPr="00DA7D28">
        <w:rPr>
          <w:rFonts w:ascii="Times New Roman" w:hAnsi="Times New Roman"/>
          <w:sz w:val="24"/>
        </w:rPr>
        <w:t>egatura udostępniła na swoich profilach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med</w:t>
      </w:r>
      <w:r w:rsidRPr="00DA7D28">
        <w:rPr>
          <w:rFonts w:ascii="Times New Roman" w:hAnsi="Times New Roman"/>
          <w:sz w:val="24"/>
        </w:rPr>
        <w:t>iach społecznościowych dwa filmy wideo</w:t>
      </w:r>
      <w:r w:rsidRPr="00DA7D28">
        <w:rPr>
          <w:rStyle w:val="FootnoteReference"/>
          <w:rFonts w:ascii="Times New Roman" w:hAnsi="Times New Roman"/>
        </w:rPr>
        <w:footnoteReference w:id="59"/>
      </w:r>
      <w:r w:rsidRPr="00DA7D28">
        <w:rPr>
          <w:rFonts w:ascii="Times New Roman" w:hAnsi="Times New Roman"/>
          <w:sz w:val="24"/>
        </w:rPr>
        <w:t xml:space="preserve">. </w:t>
      </w:r>
    </w:p>
    <w:p w:rsidR="00756F04" w:rsidRPr="00DA7D28" w:rsidRDefault="00756F04" w:rsidP="00EC07AB">
      <w:pPr>
        <w:spacing w:after="120"/>
        <w:jc w:val="both"/>
        <w:rPr>
          <w:rFonts w:ascii="Times New Roman" w:eastAsia="Times New Roman" w:hAnsi="Times New Roman"/>
          <w:sz w:val="24"/>
          <w:szCs w:val="24"/>
        </w:rPr>
      </w:pPr>
      <w:r w:rsidRPr="00DA7D28">
        <w:rPr>
          <w:rFonts w:ascii="Times New Roman" w:hAnsi="Times New Roman"/>
          <w:sz w:val="24"/>
        </w:rPr>
        <w:t>Wraz</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par</w:t>
      </w:r>
      <w:r w:rsidRPr="00DA7D28">
        <w:rPr>
          <w:rFonts w:ascii="Times New Roman" w:hAnsi="Times New Roman"/>
          <w:sz w:val="24"/>
        </w:rPr>
        <w:t>tnerami zaangażowanymi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udz</w:t>
      </w:r>
      <w:r w:rsidRPr="00DA7D28">
        <w:rPr>
          <w:rFonts w:ascii="Times New Roman" w:hAnsi="Times New Roman"/>
          <w:sz w:val="24"/>
        </w:rPr>
        <w:t>ielanie pomocy humanitarnej zorganizowano również szereg ważnych wydarzeń</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uro</w:t>
      </w:r>
      <w:r w:rsidRPr="00DA7D28">
        <w:rPr>
          <w:rFonts w:ascii="Times New Roman" w:hAnsi="Times New Roman"/>
          <w:sz w:val="24"/>
        </w:rPr>
        <w:t>czystości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w:t>
      </w:r>
      <w:r w:rsidR="00DA7D28">
        <w:rPr>
          <w:rFonts w:ascii="Times New Roman" w:hAnsi="Times New Roman"/>
          <w:sz w:val="24"/>
        </w:rPr>
        <w:t> </w:t>
      </w:r>
      <w:r w:rsidR="00DA7D28" w:rsidRPr="00DA7D28">
        <w:rPr>
          <w:rFonts w:ascii="Times New Roman" w:hAnsi="Times New Roman"/>
          <w:sz w:val="24"/>
        </w:rPr>
        <w:t>Eur</w:t>
      </w:r>
      <w:r w:rsidRPr="00DA7D28">
        <w:rPr>
          <w:rFonts w:ascii="Times New Roman" w:hAnsi="Times New Roman"/>
          <w:sz w:val="24"/>
        </w:rPr>
        <w:t>opie. We współpracy z UNICEF-em</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lip</w:t>
      </w:r>
      <w:r w:rsidRPr="00DA7D28">
        <w:rPr>
          <w:rFonts w:ascii="Times New Roman" w:hAnsi="Times New Roman"/>
          <w:sz w:val="24"/>
        </w:rPr>
        <w:t>cu</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por</w:t>
      </w:r>
      <w:r w:rsidRPr="00DA7D28">
        <w:rPr>
          <w:rFonts w:ascii="Times New Roman" w:hAnsi="Times New Roman"/>
          <w:sz w:val="24"/>
        </w:rPr>
        <w:t>cie lotniczym</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Bru</w:t>
      </w:r>
      <w:r w:rsidRPr="00DA7D28">
        <w:rPr>
          <w:rFonts w:ascii="Times New Roman" w:hAnsi="Times New Roman"/>
          <w:sz w:val="24"/>
        </w:rPr>
        <w:t>kseli zorganizowano wystawę pt. „Edukacja – Nasza przyszłość”,</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której pokazano zdjęcia dzieci-uchodźców objętych unijnym programem warunkowych transferów pieniężnych na rzecz edukacji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w:t>
      </w:r>
      <w:r w:rsidRPr="00DA7D28">
        <w:t xml:space="preserve"> </w:t>
      </w:r>
      <w:r w:rsidRPr="00DA7D28">
        <w:rPr>
          <w:rFonts w:ascii="Times New Roman" w:hAnsi="Times New Roman"/>
          <w:sz w:val="24"/>
        </w:rPr>
        <w:t>Wystawa cieszyła się dużym zainteresowaniem mediów, zarówno</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 jak</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w:t>
      </w:r>
      <w:r w:rsidR="00DA7D28">
        <w:rPr>
          <w:rFonts w:ascii="Times New Roman" w:hAnsi="Times New Roman"/>
          <w:sz w:val="24"/>
        </w:rPr>
        <w:t> </w:t>
      </w:r>
      <w:r w:rsidR="00DA7D28" w:rsidRPr="00DA7D28">
        <w:rPr>
          <w:rFonts w:ascii="Times New Roman" w:hAnsi="Times New Roman"/>
          <w:sz w:val="24"/>
        </w:rPr>
        <w:t>Eur</w:t>
      </w:r>
      <w:r w:rsidRPr="00DA7D28">
        <w:rPr>
          <w:rFonts w:ascii="Times New Roman" w:hAnsi="Times New Roman"/>
          <w:sz w:val="24"/>
        </w:rPr>
        <w:t>opie,</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jej</w:t>
      </w:r>
      <w:r w:rsidRPr="00DA7D28">
        <w:rPr>
          <w:rFonts w:ascii="Times New Roman" w:hAnsi="Times New Roman"/>
          <w:sz w:val="24"/>
        </w:rPr>
        <w:t xml:space="preserve"> zasięg</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med</w:t>
      </w:r>
      <w:r w:rsidRPr="00DA7D28">
        <w:rPr>
          <w:rFonts w:ascii="Times New Roman" w:hAnsi="Times New Roman"/>
          <w:sz w:val="24"/>
        </w:rPr>
        <w:t>iach społecznościowych wyniósł 260 tys.</w:t>
      </w:r>
      <w:r w:rsidRPr="00DA7D28">
        <w:t xml:space="preserve"> </w:t>
      </w:r>
      <w:r w:rsidRPr="00DA7D28">
        <w:rPr>
          <w:rFonts w:ascii="Times New Roman" w:hAnsi="Times New Roman"/>
          <w:sz w:val="24"/>
        </w:rPr>
        <w:t>We wrześniu 2018</w:t>
      </w:r>
      <w:r w:rsidR="008E2A80" w:rsidRPr="00DA7D28">
        <w:rPr>
          <w:rFonts w:ascii="Times New Roman" w:hAnsi="Times New Roman"/>
          <w:sz w:val="24"/>
        </w:rPr>
        <w:t> </w:t>
      </w:r>
      <w:r w:rsidRPr="00DA7D28">
        <w:rPr>
          <w:rFonts w:ascii="Times New Roman" w:hAnsi="Times New Roman"/>
          <w:sz w:val="24"/>
        </w:rPr>
        <w:t>r. Światowy Program Żywnościowy (WFP) zainicjował kampanię informacyjną pt. „Zwyczajne nadzwyczajne” (ang. „Incredible Ordinary”), finansowaną przez UE, która ma na celu szerzenie wiedzy</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pro</w:t>
      </w:r>
      <w:r w:rsidRPr="00DA7D28">
        <w:rPr>
          <w:rFonts w:ascii="Times New Roman" w:hAnsi="Times New Roman"/>
          <w:sz w:val="24"/>
        </w:rPr>
        <w:t>gramie ESSN wśród obywateli UE. Unijna publiczność mogła się dowiedzieć</w:t>
      </w:r>
      <w:r w:rsidR="00DA7D28" w:rsidRPr="00DA7D28">
        <w:rPr>
          <w:rFonts w:ascii="Times New Roman" w:hAnsi="Times New Roman"/>
          <w:sz w:val="24"/>
        </w:rPr>
        <w:t xml:space="preserve"> o</w:t>
      </w:r>
      <w:r w:rsidR="00DA7D28">
        <w:rPr>
          <w:rFonts w:ascii="Times New Roman" w:hAnsi="Times New Roman"/>
          <w:sz w:val="24"/>
        </w:rPr>
        <w:t> </w:t>
      </w:r>
      <w:r w:rsidR="00DA7D28" w:rsidRPr="00DA7D28">
        <w:rPr>
          <w:rFonts w:ascii="Times New Roman" w:hAnsi="Times New Roman"/>
          <w:sz w:val="24"/>
        </w:rPr>
        <w:t>zna</w:t>
      </w:r>
      <w:r w:rsidRPr="00DA7D28">
        <w:rPr>
          <w:rFonts w:ascii="Times New Roman" w:hAnsi="Times New Roman"/>
          <w:sz w:val="24"/>
        </w:rPr>
        <w:t>czeniu tego programu pomocowego dzięki wystawom „Zwyczajnie nadzwyczajny sklep” (#IncredibleOrdinary pop-up shop) zorganizowanym</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Par</w:t>
      </w:r>
      <w:r w:rsidRPr="00DA7D28">
        <w:rPr>
          <w:rFonts w:ascii="Times New Roman" w:hAnsi="Times New Roman"/>
          <w:sz w:val="24"/>
        </w:rPr>
        <w:t>yżu, Mediolanie, Warszawie, Berlinie</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Ams</w:t>
      </w:r>
      <w:r w:rsidRPr="00DA7D28">
        <w:rPr>
          <w:rFonts w:ascii="Times New Roman" w:hAnsi="Times New Roman"/>
          <w:sz w:val="24"/>
        </w:rPr>
        <w:t>terdamie, które przedstawiały historie ośmiu rodzin uchodźców objętych wsparciem. Rodziny te wyjaśniają, dlaczego pozornie zwyczajne rzeczy, uzyskane dzięki wsparciu z ESSN, miały dla nich ogromne znacznie</w:t>
      </w:r>
      <w:r w:rsidRPr="00DA7D28">
        <w:rPr>
          <w:rStyle w:val="FootnoteReference"/>
          <w:rFonts w:ascii="Times New Roman" w:hAnsi="Times New Roman"/>
        </w:rPr>
        <w:footnoteReference w:id="60"/>
      </w:r>
      <w:r w:rsidRPr="00DA7D28">
        <w:rPr>
          <w:rFonts w:ascii="Times New Roman" w:hAnsi="Times New Roman"/>
          <w:sz w:val="24"/>
        </w:rPr>
        <w:t>.</w:t>
      </w:r>
    </w:p>
    <w:p w:rsidR="000E15A8" w:rsidRPr="00DA7D28" w:rsidRDefault="000E15A8" w:rsidP="00EC07AB">
      <w:pPr>
        <w:spacing w:after="120"/>
        <w:jc w:val="both"/>
        <w:rPr>
          <w:rFonts w:ascii="Times New Roman" w:eastAsia="Times New Roman" w:hAnsi="Times New Roman"/>
          <w:sz w:val="24"/>
          <w:szCs w:val="24"/>
        </w:rPr>
      </w:pPr>
      <w:r w:rsidRPr="00DA7D28">
        <w:rPr>
          <w:rFonts w:ascii="Times New Roman" w:hAnsi="Times New Roman"/>
          <w:sz w:val="24"/>
        </w:rPr>
        <w:t>Wyprodukowano też 25 filmów promocyjnych,</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któ</w:t>
      </w:r>
      <w:r w:rsidRPr="00DA7D28">
        <w:rPr>
          <w:rFonts w:ascii="Times New Roman" w:hAnsi="Times New Roman"/>
          <w:sz w:val="24"/>
        </w:rPr>
        <w:t>rych uchodźcy opowiadają swoje poruszające historie. Filmy te udostępniono na stronie delegatury oraz na kanale YouTube Komisji. Były one wielokrotnie publikowane za pośrednictwem mediów społecznościowych</w:t>
      </w:r>
      <w:r w:rsidRPr="00DA7D28">
        <w:rPr>
          <w:rStyle w:val="FootnoteReference"/>
          <w:rFonts w:ascii="Times New Roman" w:hAnsi="Times New Roman"/>
        </w:rPr>
        <w:footnoteReference w:id="61"/>
      </w:r>
      <w:r w:rsidRPr="00DA7D28">
        <w:rPr>
          <w:rFonts w:ascii="Times New Roman" w:hAnsi="Times New Roman"/>
          <w:sz w:val="24"/>
        </w:rPr>
        <w:t>. Ostatniej jesieni Euronews wyemitował też odcinek programu AidZone poświęcony finansowaniu przez UE opieki zdrowotnej dla syryjskich uchodźców, którzy ucierpieli na skutek konfliktu. Program ten był dostępny</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cał</w:t>
      </w:r>
      <w:r w:rsidRPr="00DA7D28">
        <w:rPr>
          <w:rFonts w:ascii="Times New Roman" w:hAnsi="Times New Roman"/>
          <w:sz w:val="24"/>
        </w:rPr>
        <w:t>ej Europie</w:t>
      </w:r>
      <w:r w:rsidRPr="00DA7D28">
        <w:rPr>
          <w:rStyle w:val="FootnoteReference"/>
          <w:rFonts w:ascii="Times New Roman" w:hAnsi="Times New Roman"/>
        </w:rPr>
        <w:footnoteReference w:id="62"/>
      </w:r>
      <w:r w:rsidRPr="00DA7D28">
        <w:rPr>
          <w:rFonts w:ascii="Times New Roman" w:hAnsi="Times New Roman"/>
          <w:sz w:val="24"/>
        </w:rPr>
        <w:t xml:space="preserve">. </w:t>
      </w:r>
    </w:p>
    <w:p w:rsidR="00BC6868" w:rsidRPr="00DA7D28" w:rsidRDefault="000E15A8" w:rsidP="00BC6868">
      <w:pPr>
        <w:jc w:val="both"/>
        <w:rPr>
          <w:rFonts w:ascii="Times New Roman" w:eastAsia="Times New Roman" w:hAnsi="Times New Roman"/>
          <w:sz w:val="24"/>
          <w:szCs w:val="24"/>
        </w:rPr>
      </w:pPr>
      <w:r w:rsidRPr="00DA7D28">
        <w:rPr>
          <w:rFonts w:ascii="Times New Roman" w:hAnsi="Times New Roman"/>
          <w:sz w:val="24"/>
        </w:rPr>
        <w:t>Ponadto Komisja wydała pięć komunikatów prasowych,</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del</w:t>
      </w:r>
      <w:r w:rsidRPr="00DA7D28">
        <w:rPr>
          <w:rFonts w:ascii="Times New Roman" w:hAnsi="Times New Roman"/>
          <w:sz w:val="24"/>
        </w:rPr>
        <w:t>egatura UE opublikowała kolejnych 17. Wśród członków komitetu sterującego rozprowadzano co kwartał biuletyn informacyjny przedstawiający aktualne działania realizowane</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oraz wybór materiałów wideo. Opublikowano również szereg artykułów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wpi</w:t>
      </w:r>
      <w:r w:rsidRPr="00DA7D28">
        <w:rPr>
          <w:rFonts w:ascii="Times New Roman" w:hAnsi="Times New Roman"/>
          <w:sz w:val="24"/>
        </w:rPr>
        <w:t>sów na blogach przedstawiających poruszające historie ludzi</w:t>
      </w:r>
      <w:r w:rsidRPr="00DA7D28">
        <w:rPr>
          <w:rStyle w:val="FootnoteReference"/>
          <w:rFonts w:ascii="Times New Roman" w:hAnsi="Times New Roman"/>
        </w:rPr>
        <w:footnoteReference w:id="63"/>
      </w:r>
      <w:r w:rsidRPr="00DA7D28">
        <w:rPr>
          <w:rFonts w:ascii="Times New Roman" w:hAnsi="Times New Roman"/>
          <w:sz w:val="24"/>
        </w:rPr>
        <w:t>,</w:t>
      </w:r>
      <w:r w:rsidR="00DA7D28" w:rsidRPr="00DA7D28">
        <w:rPr>
          <w:rFonts w:ascii="Times New Roman" w:hAnsi="Times New Roman"/>
          <w:sz w:val="24"/>
        </w:rPr>
        <w:t xml:space="preserve"> a</w:t>
      </w:r>
      <w:r w:rsidR="00DA7D28">
        <w:rPr>
          <w:rFonts w:ascii="Times New Roman" w:hAnsi="Times New Roman"/>
          <w:sz w:val="24"/>
        </w:rPr>
        <w:t> </w:t>
      </w:r>
      <w:r w:rsidR="00DA7D28" w:rsidRPr="00DA7D28">
        <w:rPr>
          <w:rFonts w:ascii="Times New Roman" w:hAnsi="Times New Roman"/>
          <w:sz w:val="24"/>
        </w:rPr>
        <w:t>uni</w:t>
      </w:r>
      <w:r w:rsidRPr="00DA7D28">
        <w:rPr>
          <w:rFonts w:ascii="Times New Roman" w:hAnsi="Times New Roman"/>
          <w:sz w:val="24"/>
        </w:rPr>
        <w:t>jne wizyty na wysokim szczeblu związane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pro</w:t>
      </w:r>
      <w:r w:rsidRPr="00DA7D28">
        <w:rPr>
          <w:rFonts w:ascii="Times New Roman" w:hAnsi="Times New Roman"/>
          <w:sz w:val="24"/>
        </w:rPr>
        <w:t>jektami finansowanymi</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ins</w:t>
      </w:r>
      <w:r w:rsidRPr="00DA7D28">
        <w:rPr>
          <w:rFonts w:ascii="Times New Roman" w:hAnsi="Times New Roman"/>
          <w:sz w:val="24"/>
        </w:rPr>
        <w:t>trumentu cieszyły się znacznym zainteresowaniem mediów.</w:t>
      </w:r>
    </w:p>
    <w:p w:rsidR="00E90063" w:rsidRPr="00DA7D28" w:rsidRDefault="00BE7F2C">
      <w:pPr>
        <w:pStyle w:val="Heading1"/>
        <w:jc w:val="both"/>
        <w:rPr>
          <w:rFonts w:eastAsia="Times New Roman"/>
          <w:szCs w:val="24"/>
        </w:rPr>
      </w:pPr>
      <w:bookmarkStart w:id="60" w:name="_Toc3193672"/>
      <w:bookmarkStart w:id="61" w:name="_Toc4776707"/>
      <w:r w:rsidRPr="00DA7D28">
        <w:t>Wnioski</w:t>
      </w:r>
      <w:r w:rsidR="00DA7D28" w:rsidRPr="00DA7D28">
        <w:t xml:space="preserve"> i</w:t>
      </w:r>
      <w:r w:rsidR="00DA7D28">
        <w:t> </w:t>
      </w:r>
      <w:r w:rsidR="00DA7D28" w:rsidRPr="00DA7D28">
        <w:t>dal</w:t>
      </w:r>
      <w:r w:rsidRPr="00DA7D28">
        <w:t>sze działania</w:t>
      </w:r>
      <w:bookmarkEnd w:id="57"/>
      <w:bookmarkEnd w:id="58"/>
      <w:bookmarkEnd w:id="59"/>
      <w:bookmarkEnd w:id="60"/>
      <w:bookmarkEnd w:id="61"/>
    </w:p>
    <w:p w:rsidR="00E90063" w:rsidRPr="00DA7D28" w:rsidRDefault="00BE7F2C">
      <w:pPr>
        <w:spacing w:after="120"/>
        <w:jc w:val="both"/>
        <w:rPr>
          <w:rFonts w:ascii="Times New Roman" w:eastAsia="Times New Roman" w:hAnsi="Times New Roman"/>
          <w:sz w:val="24"/>
          <w:szCs w:val="24"/>
        </w:rPr>
      </w:pPr>
      <w:r w:rsidRPr="00DA7D28">
        <w:rPr>
          <w:rFonts w:ascii="Times New Roman" w:hAnsi="Times New Roman"/>
          <w:sz w:val="24"/>
        </w:rPr>
        <w:t>Podpisano umowy na pełną pulę środków operacyjnych pierwszej transzy instrumentu i do marca 2019</w:t>
      </w:r>
      <w:r w:rsidR="008E2A80" w:rsidRPr="00DA7D28">
        <w:rPr>
          <w:rFonts w:ascii="Times New Roman" w:hAnsi="Times New Roman"/>
          <w:sz w:val="24"/>
        </w:rPr>
        <w:t> </w:t>
      </w:r>
      <w:r w:rsidRPr="00DA7D28">
        <w:rPr>
          <w:rFonts w:ascii="Times New Roman" w:hAnsi="Times New Roman"/>
          <w:sz w:val="24"/>
        </w:rPr>
        <w:t>r. wypłacono ponad 2 mld EUR. Znaczne postępy poczyniono również</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uru</w:t>
      </w:r>
      <w:r w:rsidRPr="00DA7D28">
        <w:rPr>
          <w:rFonts w:ascii="Times New Roman" w:hAnsi="Times New Roman"/>
          <w:sz w:val="24"/>
        </w:rPr>
        <w:t>chamianiu drugiej transzy: do marca 2019</w:t>
      </w:r>
      <w:r w:rsidR="008E2A80" w:rsidRPr="00DA7D28">
        <w:rPr>
          <w:rFonts w:ascii="Times New Roman" w:hAnsi="Times New Roman"/>
          <w:sz w:val="24"/>
        </w:rPr>
        <w:t> </w:t>
      </w:r>
      <w:r w:rsidRPr="00DA7D28">
        <w:rPr>
          <w:rFonts w:ascii="Times New Roman" w:hAnsi="Times New Roman"/>
          <w:sz w:val="24"/>
        </w:rPr>
        <w:t>r. zaciągnięto zobowiązania na</w:t>
      </w:r>
      <w:r w:rsidR="008E2A80" w:rsidRPr="00DA7D28">
        <w:rPr>
          <w:rFonts w:ascii="Times New Roman" w:hAnsi="Times New Roman"/>
          <w:sz w:val="24"/>
        </w:rPr>
        <w:t> </w:t>
      </w:r>
      <w:r w:rsidRPr="00DA7D28">
        <w:rPr>
          <w:rFonts w:ascii="Times New Roman" w:hAnsi="Times New Roman"/>
          <w:sz w:val="24"/>
        </w:rPr>
        <w:t>1,2 mld EUR, podpisano umowy na kwotę 450 mln EUR</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wyp</w:t>
      </w:r>
      <w:r w:rsidRPr="00DA7D28">
        <w:rPr>
          <w:rFonts w:ascii="Times New Roman" w:hAnsi="Times New Roman"/>
          <w:sz w:val="24"/>
        </w:rPr>
        <w:t>łacono 150 mln EUR</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ram</w:t>
      </w:r>
      <w:r w:rsidRPr="00DA7D28">
        <w:rPr>
          <w:rFonts w:ascii="Times New Roman" w:hAnsi="Times New Roman"/>
          <w:sz w:val="24"/>
        </w:rPr>
        <w:t>ach instrumentu nadal zapewnia się bardzo potrzebną pomoc dla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prz</w:t>
      </w:r>
      <w:r w:rsidRPr="00DA7D28">
        <w:rPr>
          <w:rFonts w:ascii="Times New Roman" w:hAnsi="Times New Roman"/>
          <w:sz w:val="24"/>
        </w:rPr>
        <w:t>yjmujących ich społeczności</w:t>
      </w:r>
      <w:r w:rsidR="00DA7D28" w:rsidRPr="00DA7D28">
        <w:rPr>
          <w:rFonts w:ascii="Times New Roman" w:hAnsi="Times New Roman"/>
          <w:sz w:val="24"/>
        </w:rPr>
        <w:t xml:space="preserve"> w</w:t>
      </w:r>
      <w:r w:rsidR="00DA7D28">
        <w:rPr>
          <w:rFonts w:ascii="Times New Roman" w:hAnsi="Times New Roman"/>
          <w:sz w:val="24"/>
        </w:rPr>
        <w:t> </w:t>
      </w:r>
      <w:r w:rsidR="00DA7D28" w:rsidRPr="00DA7D28">
        <w:rPr>
          <w:rFonts w:ascii="Times New Roman" w:hAnsi="Times New Roman"/>
          <w:sz w:val="24"/>
        </w:rPr>
        <w:t>Tur</w:t>
      </w:r>
      <w:r w:rsidRPr="00DA7D28">
        <w:rPr>
          <w:rFonts w:ascii="Times New Roman" w:hAnsi="Times New Roman"/>
          <w:sz w:val="24"/>
        </w:rPr>
        <w:t>cji</w:t>
      </w:r>
      <w:r w:rsidR="00DA7D28" w:rsidRPr="00DA7D28">
        <w:rPr>
          <w:rFonts w:ascii="Times New Roman" w:hAnsi="Times New Roman"/>
          <w:sz w:val="24"/>
        </w:rPr>
        <w:t>. W</w:t>
      </w:r>
      <w:r w:rsidR="00DA7D28">
        <w:rPr>
          <w:rFonts w:ascii="Times New Roman" w:hAnsi="Times New Roman"/>
          <w:sz w:val="24"/>
        </w:rPr>
        <w:t> </w:t>
      </w:r>
      <w:r w:rsidR="00DA7D28" w:rsidRPr="00DA7D28">
        <w:rPr>
          <w:rFonts w:ascii="Times New Roman" w:hAnsi="Times New Roman"/>
          <w:sz w:val="24"/>
        </w:rPr>
        <w:t>dal</w:t>
      </w:r>
      <w:r w:rsidRPr="00DA7D28">
        <w:rPr>
          <w:rFonts w:ascii="Times New Roman" w:hAnsi="Times New Roman"/>
          <w:sz w:val="24"/>
        </w:rPr>
        <w:t>szej kolejności przewiduje się następujące działania:</w:t>
      </w:r>
    </w:p>
    <w:p w:rsidR="00E90063" w:rsidRPr="00DA7D28" w:rsidRDefault="00BE7F2C">
      <w:pPr>
        <w:numPr>
          <w:ilvl w:val="0"/>
          <w:numId w:val="1"/>
        </w:numPr>
        <w:spacing w:after="120"/>
        <w:ind w:left="284" w:hanging="284"/>
        <w:jc w:val="both"/>
        <w:rPr>
          <w:rFonts w:ascii="Times New Roman" w:eastAsia="Times New Roman" w:hAnsi="Times New Roman"/>
          <w:sz w:val="24"/>
          <w:szCs w:val="24"/>
        </w:rPr>
      </w:pPr>
      <w:r w:rsidRPr="00DA7D28">
        <w:rPr>
          <w:rFonts w:ascii="Times New Roman" w:hAnsi="Times New Roman"/>
          <w:sz w:val="24"/>
        </w:rPr>
        <w:t>skuteczne wdrożenie wszystkich projektów na rzecz uchodźców</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spo</w:t>
      </w:r>
      <w:r w:rsidRPr="00DA7D28">
        <w:rPr>
          <w:rFonts w:ascii="Times New Roman" w:hAnsi="Times New Roman"/>
          <w:sz w:val="24"/>
        </w:rPr>
        <w:t>łeczności przyjmujących, zgodnie</w:t>
      </w:r>
      <w:r w:rsidR="00DA7D28" w:rsidRPr="00DA7D28">
        <w:rPr>
          <w:rFonts w:ascii="Times New Roman" w:hAnsi="Times New Roman"/>
          <w:sz w:val="24"/>
        </w:rPr>
        <w:t xml:space="preserve"> z</w:t>
      </w:r>
      <w:r w:rsidR="00DA7D28">
        <w:rPr>
          <w:rFonts w:ascii="Times New Roman" w:hAnsi="Times New Roman"/>
          <w:sz w:val="24"/>
        </w:rPr>
        <w:t> </w:t>
      </w:r>
      <w:r w:rsidR="00DA7D28" w:rsidRPr="00DA7D28">
        <w:rPr>
          <w:rFonts w:ascii="Times New Roman" w:hAnsi="Times New Roman"/>
          <w:sz w:val="24"/>
        </w:rPr>
        <w:t>zas</w:t>
      </w:r>
      <w:r w:rsidRPr="00DA7D28">
        <w:rPr>
          <w:rFonts w:ascii="Times New Roman" w:hAnsi="Times New Roman"/>
          <w:sz w:val="24"/>
        </w:rPr>
        <w:t xml:space="preserve">adami należytego zarządzania finansami; </w:t>
      </w:r>
    </w:p>
    <w:p w:rsidR="00A137CB" w:rsidRPr="00DA7D28" w:rsidRDefault="00A137CB">
      <w:pPr>
        <w:numPr>
          <w:ilvl w:val="0"/>
          <w:numId w:val="1"/>
        </w:numPr>
        <w:spacing w:after="120"/>
        <w:ind w:left="284" w:hanging="284"/>
        <w:jc w:val="both"/>
        <w:rPr>
          <w:rFonts w:ascii="Times New Roman" w:eastAsia="Times New Roman" w:hAnsi="Times New Roman"/>
          <w:sz w:val="24"/>
          <w:szCs w:val="24"/>
        </w:rPr>
      </w:pPr>
      <w:r w:rsidRPr="00DA7D28">
        <w:rPr>
          <w:rFonts w:ascii="Times New Roman" w:hAnsi="Times New Roman"/>
          <w:sz w:val="24"/>
        </w:rPr>
        <w:t>uruchomienie drugiej transzy obejmującej realizację projektów do połowy 2025</w:t>
      </w:r>
      <w:r w:rsidR="008E2A80" w:rsidRPr="00DA7D28">
        <w:rPr>
          <w:rFonts w:ascii="Times New Roman" w:hAnsi="Times New Roman"/>
          <w:sz w:val="24"/>
        </w:rPr>
        <w:t> </w:t>
      </w:r>
      <w:r w:rsidRPr="00DA7D28">
        <w:rPr>
          <w:rFonts w:ascii="Times New Roman" w:hAnsi="Times New Roman"/>
          <w:sz w:val="24"/>
        </w:rPr>
        <w:t>r.;</w:t>
      </w:r>
    </w:p>
    <w:p w:rsidR="00E90063" w:rsidRPr="00DA7D28" w:rsidRDefault="00BE7F2C">
      <w:pPr>
        <w:numPr>
          <w:ilvl w:val="0"/>
          <w:numId w:val="1"/>
        </w:numPr>
        <w:spacing w:after="120"/>
        <w:ind w:left="284" w:hanging="284"/>
        <w:jc w:val="both"/>
        <w:rPr>
          <w:rFonts w:ascii="Times New Roman" w:eastAsia="Times New Roman" w:hAnsi="Times New Roman"/>
          <w:sz w:val="24"/>
          <w:szCs w:val="24"/>
        </w:rPr>
      </w:pPr>
      <w:r w:rsidRPr="00DA7D28">
        <w:rPr>
          <w:rFonts w:ascii="Times New Roman" w:hAnsi="Times New Roman"/>
          <w:sz w:val="24"/>
        </w:rPr>
        <w:t>osiągnięcie pełnej operacyjności kompleksowego systemu monitorowania;</w:t>
      </w:r>
    </w:p>
    <w:p w:rsidR="00E90063" w:rsidRPr="00DA7D28" w:rsidRDefault="00A137CB">
      <w:pPr>
        <w:numPr>
          <w:ilvl w:val="0"/>
          <w:numId w:val="1"/>
        </w:numPr>
        <w:spacing w:after="120"/>
        <w:ind w:left="284" w:hanging="284"/>
        <w:jc w:val="both"/>
        <w:rPr>
          <w:rFonts w:ascii="Times New Roman" w:eastAsia="Times New Roman" w:hAnsi="Times New Roman"/>
          <w:sz w:val="24"/>
          <w:szCs w:val="24"/>
        </w:rPr>
      </w:pPr>
      <w:r w:rsidRPr="00DA7D28">
        <w:rPr>
          <w:rFonts w:ascii="Times New Roman" w:hAnsi="Times New Roman"/>
          <w:sz w:val="24"/>
        </w:rPr>
        <w:t xml:space="preserve">dalsze rozwijanie działań komunikacyjnych; </w:t>
      </w:r>
    </w:p>
    <w:p w:rsidR="00E90063" w:rsidRPr="00DA7D28" w:rsidRDefault="00C14B61">
      <w:pPr>
        <w:numPr>
          <w:ilvl w:val="0"/>
          <w:numId w:val="1"/>
        </w:numPr>
        <w:spacing w:after="120"/>
        <w:ind w:left="284" w:hanging="284"/>
        <w:jc w:val="both"/>
        <w:rPr>
          <w:rFonts w:ascii="Times New Roman" w:eastAsia="Times New Roman" w:hAnsi="Times New Roman"/>
          <w:sz w:val="24"/>
          <w:szCs w:val="24"/>
        </w:rPr>
      </w:pPr>
      <w:r w:rsidRPr="00DA7D28">
        <w:rPr>
          <w:rFonts w:ascii="Times New Roman" w:hAnsi="Times New Roman"/>
          <w:sz w:val="24"/>
        </w:rPr>
        <w:t>regularne posiedzenia komitetu sterującego. Kolejne posiedzenia zaplanowano na wiosnę</w:t>
      </w:r>
      <w:r w:rsidR="00DA7D28" w:rsidRPr="00DA7D28">
        <w:rPr>
          <w:rFonts w:ascii="Times New Roman" w:hAnsi="Times New Roman"/>
          <w:sz w:val="24"/>
        </w:rPr>
        <w:t xml:space="preserve"> i</w:t>
      </w:r>
      <w:r w:rsidR="00DA7D28">
        <w:rPr>
          <w:rFonts w:ascii="Times New Roman" w:hAnsi="Times New Roman"/>
          <w:sz w:val="24"/>
        </w:rPr>
        <w:t> </w:t>
      </w:r>
      <w:r w:rsidR="00DA7D28" w:rsidRPr="00DA7D28">
        <w:rPr>
          <w:rFonts w:ascii="Times New Roman" w:hAnsi="Times New Roman"/>
          <w:sz w:val="24"/>
        </w:rPr>
        <w:t>jes</w:t>
      </w:r>
      <w:r w:rsidRPr="00DA7D28">
        <w:rPr>
          <w:rFonts w:ascii="Times New Roman" w:hAnsi="Times New Roman"/>
          <w:sz w:val="24"/>
        </w:rPr>
        <w:t>ień 2019 r.</w:t>
      </w:r>
    </w:p>
    <w:sectPr w:rsidR="00E90063" w:rsidRPr="00DA7D28" w:rsidSect="000D59A1">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28" w:rsidRDefault="00DA7D28">
      <w:r>
        <w:separator/>
      </w:r>
    </w:p>
  </w:endnote>
  <w:endnote w:type="continuationSeparator" w:id="0">
    <w:p w:rsidR="00DA7D28" w:rsidRDefault="00DA7D28">
      <w:r>
        <w:continuationSeparator/>
      </w:r>
    </w:p>
  </w:endnote>
  <w:endnote w:type="continuationNotice" w:id="1">
    <w:p w:rsidR="00DA7D28" w:rsidRDefault="00DA7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4" w:rsidRPr="00C95BE4" w:rsidRDefault="00C95BE4" w:rsidP="00C95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4" w:rsidRPr="00C95BE4" w:rsidRDefault="00C95BE4" w:rsidP="00C95BE4">
    <w:pPr>
      <w:pStyle w:val="FooterCoverPage"/>
      <w:rPr>
        <w:rFonts w:ascii="Arial" w:hAnsi="Arial" w:cs="Arial"/>
        <w:b/>
        <w:sz w:val="48"/>
      </w:rPr>
    </w:pPr>
    <w:r w:rsidRPr="00C95BE4">
      <w:rPr>
        <w:rFonts w:ascii="Arial" w:hAnsi="Arial" w:cs="Arial"/>
        <w:b/>
        <w:sz w:val="48"/>
      </w:rPr>
      <w:t>PL</w:t>
    </w:r>
    <w:r w:rsidRPr="00C95BE4">
      <w:rPr>
        <w:rFonts w:ascii="Arial" w:hAnsi="Arial" w:cs="Arial"/>
        <w:b/>
        <w:sz w:val="48"/>
      </w:rPr>
      <w:tab/>
    </w:r>
    <w:r w:rsidRPr="00C95BE4">
      <w:rPr>
        <w:rFonts w:ascii="Arial" w:hAnsi="Arial" w:cs="Arial"/>
        <w:b/>
        <w:sz w:val="48"/>
      </w:rPr>
      <w:tab/>
    </w:r>
    <w:r w:rsidRPr="00C95BE4">
      <w:tab/>
    </w:r>
    <w:r w:rsidRPr="00C95BE4">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4" w:rsidRPr="00C95BE4" w:rsidRDefault="00C95BE4" w:rsidP="00C95BE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28" w:rsidRDefault="00DA7D28">
    <w:pPr>
      <w:pStyle w:val="Footer"/>
      <w:spacing w:befor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28" w:rsidRDefault="00DA7D28">
    <w:pPr>
      <w:pStyle w:val="Footer"/>
      <w:spacing w:before="360"/>
      <w:jc w:val="center"/>
    </w:pPr>
    <w:r>
      <w:fldChar w:fldCharType="begin"/>
    </w:r>
    <w:r>
      <w:instrText>PAGE  \* MERGEFORMAT</w:instrText>
    </w:r>
    <w:r>
      <w:fldChar w:fldCharType="separate"/>
    </w:r>
    <w:r w:rsidR="00C95BE4">
      <w:rPr>
        <w:noProof/>
      </w:rPr>
      <w:t>2</w:t>
    </w:r>
    <w:r>
      <w:fldChar w:fldCharType="end"/>
    </w:r>
  </w:p>
  <w:p w:rsidR="00DA7D28" w:rsidRDefault="00DA7D28">
    <w:pPr>
      <w:pStyle w:val="Footer"/>
      <w:spacing w:befor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28" w:rsidRDefault="00DA7D28">
    <w:pPr>
      <w:pStyle w:val="Footer"/>
      <w:spacing w:befor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28" w:rsidRDefault="00DA7D28">
      <w:r>
        <w:separator/>
      </w:r>
    </w:p>
  </w:footnote>
  <w:footnote w:type="continuationSeparator" w:id="0">
    <w:p w:rsidR="00DA7D28" w:rsidRDefault="00DA7D28">
      <w:r>
        <w:continuationSeparator/>
      </w:r>
    </w:p>
  </w:footnote>
  <w:footnote w:type="continuationNotice" w:id="1">
    <w:p w:rsidR="00DA7D28" w:rsidRDefault="00DA7D28"/>
  </w:footnote>
  <w:footnote w:id="2">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Decyzja Komisji C(2015) 9500 z</w:t>
      </w:r>
      <w:r>
        <w:rPr>
          <w:rFonts w:ascii="Times New Roman" w:hAnsi="Times New Roman"/>
        </w:rPr>
        <w:t> </w:t>
      </w:r>
      <w:r w:rsidRPr="00F920DE">
        <w:rPr>
          <w:rFonts w:ascii="Times New Roman" w:hAnsi="Times New Roman"/>
        </w:rPr>
        <w:t>dnia 24.11.2015 w</w:t>
      </w:r>
      <w:r>
        <w:rPr>
          <w:rFonts w:ascii="Times New Roman" w:hAnsi="Times New Roman"/>
        </w:rPr>
        <w:t> </w:t>
      </w:r>
      <w:r w:rsidRPr="00F920DE">
        <w:rPr>
          <w:rFonts w:ascii="Times New Roman" w:hAnsi="Times New Roman"/>
        </w:rPr>
        <w:t>sprawie koordynacji działań Unii i</w:t>
      </w:r>
      <w:r>
        <w:rPr>
          <w:rFonts w:ascii="Times New Roman" w:hAnsi="Times New Roman"/>
        </w:rPr>
        <w:t> </w:t>
      </w:r>
      <w:r w:rsidRPr="00F920DE">
        <w:rPr>
          <w:rFonts w:ascii="Times New Roman" w:hAnsi="Times New Roman"/>
        </w:rPr>
        <w:t>państw członkowskich przy użyciu mechanizmu koordynacji – Instrumentu Pomocy dla Uchodźców w</w:t>
      </w:r>
      <w:r>
        <w:rPr>
          <w:rFonts w:ascii="Times New Roman" w:hAnsi="Times New Roman"/>
        </w:rPr>
        <w:t> </w:t>
      </w:r>
      <w:r w:rsidRPr="00F920DE">
        <w:rPr>
          <w:rFonts w:ascii="Times New Roman" w:hAnsi="Times New Roman"/>
        </w:rPr>
        <w:t>Turcji, zmieniona decyzją Komisji C(2016) 855 z</w:t>
      </w:r>
      <w:r>
        <w:rPr>
          <w:rFonts w:ascii="Times New Roman" w:hAnsi="Times New Roman"/>
        </w:rPr>
        <w:t> </w:t>
      </w:r>
      <w:r w:rsidRPr="00F920DE">
        <w:rPr>
          <w:rFonts w:ascii="Times New Roman" w:hAnsi="Times New Roman"/>
        </w:rPr>
        <w:t xml:space="preserve">10.2.2016. </w:t>
      </w:r>
    </w:p>
  </w:footnote>
  <w:footnote w:id="3">
    <w:p w:rsidR="00DA7D28" w:rsidRPr="00F920DE" w:rsidRDefault="00DA7D28" w:rsidP="00A9208F">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1" w:history="1">
        <w:r w:rsidRPr="00EC3011">
          <w:rPr>
            <w:rStyle w:val="Hyperlink"/>
            <w:rFonts w:ascii="Times New Roman" w:hAnsi="Times New Roman"/>
          </w:rPr>
          <w:t>https://eur-lex.europa.eu/legal-content/PL/TXT/PDF/?uri=CELEX:52017DC0130</w:t>
        </w:r>
      </w:hyperlink>
      <w:r>
        <w:rPr>
          <w:rFonts w:ascii="Times New Roman" w:hAnsi="Times New Roman"/>
        </w:rPr>
        <w:t xml:space="preserve"> </w:t>
      </w:r>
    </w:p>
  </w:footnote>
  <w:footnote w:id="4">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2" w:history="1">
        <w:r w:rsidRPr="00EC3011">
          <w:rPr>
            <w:rStyle w:val="Hyperlink"/>
            <w:rFonts w:ascii="Times New Roman" w:hAnsi="Times New Roman"/>
          </w:rPr>
          <w:t>https://eur-lex.europa.eu/legal-content/PL/TXT/PDF/?uri=CELEX:52018DC0091</w:t>
        </w:r>
      </w:hyperlink>
      <w:r>
        <w:rPr>
          <w:rFonts w:ascii="Times New Roman" w:hAnsi="Times New Roman"/>
        </w:rPr>
        <w:t xml:space="preserve"> </w:t>
      </w:r>
    </w:p>
  </w:footnote>
  <w:footnote w:id="5">
    <w:p w:rsidR="00DA7D28" w:rsidRPr="00F920DE" w:rsidRDefault="00DA7D28">
      <w:pPr>
        <w:pStyle w:val="FootnoteText"/>
        <w:jc w:val="both"/>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Według stanu na dzień 29 listopada 2018 r. zarejestrowanych było 3 607 563 „Syryjczyków w</w:t>
      </w:r>
      <w:r>
        <w:rPr>
          <w:rFonts w:ascii="Times New Roman" w:hAnsi="Times New Roman"/>
        </w:rPr>
        <w:t> </w:t>
      </w:r>
      <w:r w:rsidRPr="00F920DE">
        <w:rPr>
          <w:rFonts w:ascii="Times New Roman" w:hAnsi="Times New Roman"/>
        </w:rPr>
        <w:t xml:space="preserve">ramach ochrony tymczasowej”; źródło – turecka Dyrekcja Generalna ds. Zarządzania Migracją: </w:t>
      </w:r>
      <w:hyperlink r:id="rId3">
        <w:r w:rsidRPr="00F920DE">
          <w:rPr>
            <w:rStyle w:val="Hyperlink"/>
            <w:rFonts w:ascii="Times New Roman" w:hAnsi="Times New Roman"/>
          </w:rPr>
          <w:t>http://www.goc.gov.tr/icerik6/temporary-protection_915_1024_4748_icerik</w:t>
        </w:r>
      </w:hyperlink>
      <w:r>
        <w:rPr>
          <w:rFonts w:ascii="Times New Roman" w:hAnsi="Times New Roman"/>
        </w:rPr>
        <w:t xml:space="preserve"> </w:t>
      </w:r>
    </w:p>
  </w:footnote>
  <w:footnote w:id="6">
    <w:p w:rsidR="00DA7D28" w:rsidRPr="00F920DE" w:rsidRDefault="00DA7D28">
      <w:pPr>
        <w:pStyle w:val="FootnoteText"/>
        <w:jc w:val="both"/>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Jedna ze specyficznych cech systemu azylowego w</w:t>
      </w:r>
      <w:r>
        <w:rPr>
          <w:rFonts w:ascii="Times New Roman" w:hAnsi="Times New Roman"/>
        </w:rPr>
        <w:t> </w:t>
      </w:r>
      <w:r w:rsidRPr="00F920DE">
        <w:rPr>
          <w:rFonts w:ascii="Times New Roman" w:hAnsi="Times New Roman"/>
        </w:rPr>
        <w:t>Turcji wiąże się z</w:t>
      </w:r>
      <w:r>
        <w:rPr>
          <w:rFonts w:ascii="Times New Roman" w:hAnsi="Times New Roman"/>
        </w:rPr>
        <w:t> </w:t>
      </w:r>
      <w:r w:rsidRPr="00F920DE">
        <w:rPr>
          <w:rFonts w:ascii="Times New Roman" w:hAnsi="Times New Roman"/>
        </w:rPr>
        <w:t>faktem, że kraj ten podpisał Protokół nowojorski z</w:t>
      </w:r>
      <w:r>
        <w:rPr>
          <w:rFonts w:ascii="Times New Roman" w:hAnsi="Times New Roman"/>
        </w:rPr>
        <w:t> </w:t>
      </w:r>
      <w:r w:rsidRPr="00F920DE">
        <w:rPr>
          <w:rFonts w:ascii="Times New Roman" w:hAnsi="Times New Roman"/>
        </w:rPr>
        <w:t>19</w:t>
      </w:r>
      <w:r w:rsidRPr="008E2A80">
        <w:rPr>
          <w:rFonts w:ascii="Times New Roman" w:hAnsi="Times New Roman"/>
        </w:rPr>
        <w:t>67 r.</w:t>
      </w:r>
      <w:r w:rsidRPr="00F920DE">
        <w:rPr>
          <w:rFonts w:ascii="Times New Roman" w:hAnsi="Times New Roman"/>
        </w:rPr>
        <w:t xml:space="preserve"> do konwencji genewskiej z</w:t>
      </w:r>
      <w:r>
        <w:rPr>
          <w:rFonts w:ascii="Times New Roman" w:hAnsi="Times New Roman"/>
        </w:rPr>
        <w:t> </w:t>
      </w:r>
      <w:r w:rsidRPr="00F920DE">
        <w:rPr>
          <w:rFonts w:ascii="Times New Roman" w:hAnsi="Times New Roman"/>
        </w:rPr>
        <w:t>19</w:t>
      </w:r>
      <w:r w:rsidRPr="008E2A80">
        <w:rPr>
          <w:rFonts w:ascii="Times New Roman" w:hAnsi="Times New Roman"/>
        </w:rPr>
        <w:t>51 r.</w:t>
      </w:r>
      <w:r w:rsidRPr="00F920DE">
        <w:rPr>
          <w:rFonts w:ascii="Times New Roman" w:hAnsi="Times New Roman"/>
        </w:rPr>
        <w:t xml:space="preserve"> z</w:t>
      </w:r>
      <w:r>
        <w:rPr>
          <w:rFonts w:ascii="Times New Roman" w:hAnsi="Times New Roman"/>
        </w:rPr>
        <w:t> </w:t>
      </w:r>
      <w:r w:rsidRPr="00F920DE">
        <w:rPr>
          <w:rFonts w:ascii="Times New Roman" w:hAnsi="Times New Roman"/>
        </w:rPr>
        <w:t>zastrzeżeniem. W</w:t>
      </w:r>
      <w:r>
        <w:rPr>
          <w:rFonts w:ascii="Times New Roman" w:hAnsi="Times New Roman"/>
        </w:rPr>
        <w:t> </w:t>
      </w:r>
      <w:r w:rsidRPr="00F920DE">
        <w:rPr>
          <w:rFonts w:ascii="Times New Roman" w:hAnsi="Times New Roman"/>
        </w:rPr>
        <w:t>związku z</w:t>
      </w:r>
      <w:r>
        <w:rPr>
          <w:rFonts w:ascii="Times New Roman" w:hAnsi="Times New Roman"/>
        </w:rPr>
        <w:t> </w:t>
      </w:r>
      <w:r w:rsidRPr="00F920DE">
        <w:rPr>
          <w:rFonts w:ascii="Times New Roman" w:hAnsi="Times New Roman"/>
        </w:rPr>
        <w:t>tym zdecydowana większość uchodźców w</w:t>
      </w:r>
      <w:r>
        <w:rPr>
          <w:rFonts w:ascii="Times New Roman" w:hAnsi="Times New Roman"/>
        </w:rPr>
        <w:t> </w:t>
      </w:r>
      <w:r w:rsidRPr="00F920DE">
        <w:rPr>
          <w:rFonts w:ascii="Times New Roman" w:hAnsi="Times New Roman"/>
        </w:rPr>
        <w:t>Turcji nie może występować o</w:t>
      </w:r>
      <w:r>
        <w:rPr>
          <w:rFonts w:ascii="Times New Roman" w:hAnsi="Times New Roman"/>
        </w:rPr>
        <w:t> </w:t>
      </w:r>
      <w:r w:rsidRPr="00F920DE">
        <w:rPr>
          <w:rFonts w:ascii="Times New Roman" w:hAnsi="Times New Roman"/>
        </w:rPr>
        <w:t>pełnoprawny status uchodźcy, a</w:t>
      </w:r>
      <w:r>
        <w:rPr>
          <w:rFonts w:ascii="Times New Roman" w:hAnsi="Times New Roman"/>
        </w:rPr>
        <w:t> </w:t>
      </w:r>
      <w:r w:rsidRPr="00F920DE">
        <w:rPr>
          <w:rFonts w:ascii="Times New Roman" w:hAnsi="Times New Roman"/>
        </w:rPr>
        <w:t>jedynie o</w:t>
      </w:r>
      <w:r>
        <w:rPr>
          <w:rFonts w:ascii="Times New Roman" w:hAnsi="Times New Roman"/>
        </w:rPr>
        <w:t> </w:t>
      </w:r>
      <w:r w:rsidRPr="00F920DE">
        <w:rPr>
          <w:rFonts w:ascii="Times New Roman" w:hAnsi="Times New Roman"/>
        </w:rPr>
        <w:t>status „warunkowy”, który, o</w:t>
      </w:r>
      <w:r>
        <w:rPr>
          <w:rFonts w:ascii="Times New Roman" w:hAnsi="Times New Roman"/>
        </w:rPr>
        <w:t> </w:t>
      </w:r>
      <w:r w:rsidRPr="00F920DE">
        <w:rPr>
          <w:rFonts w:ascii="Times New Roman" w:hAnsi="Times New Roman"/>
        </w:rPr>
        <w:t>ile zostanie przyznany, ogranicza pobyt w</w:t>
      </w:r>
      <w:r>
        <w:rPr>
          <w:rFonts w:ascii="Times New Roman" w:hAnsi="Times New Roman"/>
        </w:rPr>
        <w:t> </w:t>
      </w:r>
      <w:r w:rsidRPr="00F920DE">
        <w:rPr>
          <w:rFonts w:ascii="Times New Roman" w:hAnsi="Times New Roman"/>
        </w:rPr>
        <w:t>kraju do momentu, kiedy uchodźca o</w:t>
      </w:r>
      <w:r>
        <w:rPr>
          <w:rFonts w:ascii="Times New Roman" w:hAnsi="Times New Roman"/>
        </w:rPr>
        <w:t> </w:t>
      </w:r>
      <w:r w:rsidRPr="00F920DE">
        <w:rPr>
          <w:rFonts w:ascii="Times New Roman" w:hAnsi="Times New Roman"/>
        </w:rPr>
        <w:t>uznanym statusie zostanie „przesiedlony do kraju trzeciego”.</w:t>
      </w:r>
    </w:p>
  </w:footnote>
  <w:footnote w:id="7">
    <w:p w:rsidR="00DA7D28" w:rsidRPr="00F920DE" w:rsidRDefault="00DA7D28">
      <w:pPr>
        <w:pStyle w:val="FootnoteText"/>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4">
        <w:r w:rsidRPr="00F920DE">
          <w:rPr>
            <w:rStyle w:val="Hyperlink"/>
            <w:rFonts w:ascii="Times New Roman" w:hAnsi="Times New Roman"/>
          </w:rPr>
          <w:t>http://www.consilium.europa.eu/pl/press/press-releases/2016/03/18/eu-turkey-statement/</w:t>
        </w:r>
      </w:hyperlink>
      <w:r w:rsidRPr="00F920DE">
        <w:rPr>
          <w:rFonts w:ascii="Times New Roman" w:hAnsi="Times New Roman"/>
        </w:rPr>
        <w:t xml:space="preserve"> </w:t>
      </w:r>
    </w:p>
  </w:footnote>
  <w:footnote w:id="8">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5">
        <w:r w:rsidRPr="00F920DE">
          <w:rPr>
            <w:rStyle w:val="Hyperlink"/>
            <w:rFonts w:ascii="Times New Roman" w:hAnsi="Times New Roman"/>
          </w:rPr>
          <w:t>http://europa.eu/rapid/press-release_MEMO-15-5860_pl.htm</w:t>
        </w:r>
      </w:hyperlink>
    </w:p>
    <w:p w:rsidR="00DA7D28" w:rsidRPr="00F920DE" w:rsidRDefault="00DA7D28">
      <w:pPr>
        <w:pStyle w:val="FootnoteText"/>
        <w:rPr>
          <w:rFonts w:ascii="Times New Roman" w:hAnsi="Times New Roman"/>
        </w:rPr>
      </w:pPr>
      <w:r>
        <w:rPr>
          <w:rFonts w:ascii="Times New Roman" w:hAnsi="Times New Roman"/>
        </w:rPr>
        <w:t xml:space="preserve"> </w:t>
      </w:r>
    </w:p>
  </w:footnote>
  <w:footnote w:id="9">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Decyzja Komisji C(2016) 855 final z</w:t>
      </w:r>
      <w:r>
        <w:rPr>
          <w:rFonts w:ascii="Times New Roman" w:hAnsi="Times New Roman"/>
        </w:rPr>
        <w:t> </w:t>
      </w:r>
      <w:r w:rsidRPr="00F920DE">
        <w:rPr>
          <w:rFonts w:ascii="Times New Roman" w:hAnsi="Times New Roman"/>
        </w:rPr>
        <w:t>dnia 10 lutego 20</w:t>
      </w:r>
      <w:r w:rsidRPr="008E2A80">
        <w:rPr>
          <w:rFonts w:ascii="Times New Roman" w:hAnsi="Times New Roman"/>
        </w:rPr>
        <w:t>16 r.</w:t>
      </w:r>
      <w:r w:rsidRPr="00F920DE">
        <w:rPr>
          <w:rFonts w:ascii="Times New Roman" w:hAnsi="Times New Roman"/>
        </w:rPr>
        <w:t xml:space="preserve"> w</w:t>
      </w:r>
      <w:r>
        <w:rPr>
          <w:rFonts w:ascii="Times New Roman" w:hAnsi="Times New Roman"/>
        </w:rPr>
        <w:t> </w:t>
      </w:r>
      <w:r w:rsidRPr="00F920DE">
        <w:rPr>
          <w:rFonts w:ascii="Times New Roman" w:hAnsi="Times New Roman"/>
        </w:rPr>
        <w:t>sprawie Instrumentu Pomocy dla Uchodźców w</w:t>
      </w:r>
      <w:r>
        <w:rPr>
          <w:rFonts w:ascii="Times New Roman" w:hAnsi="Times New Roman"/>
        </w:rPr>
        <w:t> </w:t>
      </w:r>
      <w:r w:rsidRPr="00F920DE">
        <w:rPr>
          <w:rFonts w:ascii="Times New Roman" w:hAnsi="Times New Roman"/>
        </w:rPr>
        <w:t>Turcji, zmieniająca decyzję Komisji C(2015) 9500 z</w:t>
      </w:r>
      <w:r>
        <w:rPr>
          <w:rFonts w:ascii="Times New Roman" w:hAnsi="Times New Roman"/>
        </w:rPr>
        <w:t> </w:t>
      </w:r>
      <w:r w:rsidRPr="00F920DE">
        <w:rPr>
          <w:rFonts w:ascii="Times New Roman" w:hAnsi="Times New Roman"/>
        </w:rPr>
        <w:t>dnia 24 listopada 2015 r.</w:t>
      </w:r>
    </w:p>
  </w:footnote>
  <w:footnote w:id="10">
    <w:p w:rsidR="00DA7D28" w:rsidRPr="00F920DE" w:rsidRDefault="00DA7D28">
      <w:pPr>
        <w:pStyle w:val="FootnoteText"/>
        <w:jc w:val="both"/>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6">
        <w:r w:rsidRPr="00F920DE">
          <w:rPr>
            <w:rStyle w:val="Hyperlink"/>
            <w:rFonts w:ascii="Times New Roman" w:hAnsi="Times New Roman"/>
          </w:rPr>
          <w:t>https://ec.europa.eu/neighbourhood-enlargement/neighbourhood/countries/syria/madad_en</w:t>
        </w:r>
      </w:hyperlink>
      <w:r w:rsidRPr="00F920DE">
        <w:rPr>
          <w:rFonts w:ascii="Times New Roman" w:hAnsi="Times New Roman"/>
        </w:rPr>
        <w:t xml:space="preserve"> </w:t>
      </w:r>
    </w:p>
  </w:footnote>
  <w:footnote w:id="11">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https://ec.europa.eu/europeaid/how/finance/eidhr_en.htm_en</w:t>
      </w:r>
    </w:p>
  </w:footnote>
  <w:footnote w:id="12">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Dane dotyczące liczby osób przybywających udostępnione przez państwa członkowskie UE i</w:t>
      </w:r>
      <w:r>
        <w:rPr>
          <w:rFonts w:ascii="Times New Roman" w:hAnsi="Times New Roman"/>
        </w:rPr>
        <w:t> </w:t>
      </w:r>
      <w:r w:rsidRPr="00F920DE">
        <w:rPr>
          <w:rFonts w:ascii="Times New Roman" w:hAnsi="Times New Roman"/>
        </w:rPr>
        <w:t>Europejską Agencję Straży Granicznej i</w:t>
      </w:r>
      <w:r>
        <w:rPr>
          <w:rFonts w:ascii="Times New Roman" w:hAnsi="Times New Roman"/>
        </w:rPr>
        <w:t> </w:t>
      </w:r>
      <w:r w:rsidRPr="00F920DE">
        <w:rPr>
          <w:rFonts w:ascii="Times New Roman" w:hAnsi="Times New Roman"/>
        </w:rPr>
        <w:t>Przybrzeżnej.</w:t>
      </w:r>
    </w:p>
  </w:footnote>
  <w:footnote w:id="13">
    <w:p w:rsidR="00DA7D28" w:rsidRPr="00F920DE" w:rsidRDefault="00DA7D28" w:rsidP="00CB63A6">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Zgodnie z</w:t>
      </w:r>
      <w:r>
        <w:rPr>
          <w:rFonts w:ascii="Times New Roman" w:hAnsi="Times New Roman"/>
        </w:rPr>
        <w:t> </w:t>
      </w:r>
      <w:r w:rsidRPr="00F920DE">
        <w:rPr>
          <w:rFonts w:ascii="Times New Roman" w:hAnsi="Times New Roman"/>
        </w:rPr>
        <w:t>oświadczeniem UE–Turcja każdemu odesłaniu obywatela Syrii z</w:t>
      </w:r>
      <w:r>
        <w:rPr>
          <w:rFonts w:ascii="Times New Roman" w:hAnsi="Times New Roman"/>
        </w:rPr>
        <w:t> </w:t>
      </w:r>
      <w:r w:rsidRPr="00F920DE">
        <w:rPr>
          <w:rFonts w:ascii="Times New Roman" w:hAnsi="Times New Roman"/>
        </w:rPr>
        <w:t>wysp greckich do Turcji towarzyszy przesiedlenie innego obywatela Syrii z</w:t>
      </w:r>
      <w:r>
        <w:rPr>
          <w:rFonts w:ascii="Times New Roman" w:hAnsi="Times New Roman"/>
        </w:rPr>
        <w:t> </w:t>
      </w:r>
      <w:r w:rsidRPr="00F920DE">
        <w:rPr>
          <w:rFonts w:ascii="Times New Roman" w:hAnsi="Times New Roman"/>
        </w:rPr>
        <w:t>Turcji do UE, z</w:t>
      </w:r>
      <w:r>
        <w:rPr>
          <w:rFonts w:ascii="Times New Roman" w:hAnsi="Times New Roman"/>
        </w:rPr>
        <w:t> </w:t>
      </w:r>
      <w:r w:rsidRPr="00F920DE">
        <w:rPr>
          <w:rFonts w:ascii="Times New Roman" w:hAnsi="Times New Roman"/>
        </w:rPr>
        <w:t>uwzględnieniem uzgodnionych w</w:t>
      </w:r>
      <w:r>
        <w:rPr>
          <w:rFonts w:ascii="Times New Roman" w:hAnsi="Times New Roman"/>
        </w:rPr>
        <w:t> </w:t>
      </w:r>
      <w:r w:rsidRPr="00F920DE">
        <w:rPr>
          <w:rFonts w:ascii="Times New Roman" w:hAnsi="Times New Roman"/>
        </w:rPr>
        <w:t xml:space="preserve">ramach ONZ kryteriów dotyczących podatności na zagrożenia. </w:t>
      </w:r>
    </w:p>
  </w:footnote>
  <w:footnote w:id="14">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Decyzja Komisji C(2015) 9500 z</w:t>
      </w:r>
      <w:r>
        <w:rPr>
          <w:rFonts w:ascii="Times New Roman" w:hAnsi="Times New Roman"/>
        </w:rPr>
        <w:t> </w:t>
      </w:r>
      <w:r w:rsidRPr="00F920DE">
        <w:rPr>
          <w:rFonts w:ascii="Times New Roman" w:hAnsi="Times New Roman"/>
        </w:rPr>
        <w:t xml:space="preserve">24.11.2015, art. 2 – Cele instrumentu. </w:t>
      </w:r>
    </w:p>
  </w:footnote>
  <w:footnote w:id="15">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Zob. art. 5 ust. 1 decyzji Komisji C(2015) 9500 zmienionej decyzją Komisji C(2016) 855.</w:t>
      </w:r>
    </w:p>
  </w:footnote>
  <w:footnote w:id="16">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https://ec.europa.eu/neighbourhood-enlargement/sites/near/files/2016_needs_assessment_.pdf</w:t>
      </w:r>
    </w:p>
  </w:footnote>
  <w:footnote w:id="17">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https://ec.europa.eu/neighbourhood-enlargement/sites/near/files/updated_needs_assessment.pdf</w:t>
      </w:r>
    </w:p>
  </w:footnote>
  <w:footnote w:id="18">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Rozporządzenie Rady (WE) </w:t>
      </w:r>
      <w:r w:rsidRPr="008E2A80">
        <w:rPr>
          <w:rFonts w:ascii="Times New Roman" w:hAnsi="Times New Roman"/>
        </w:rPr>
        <w:t>nr 1</w:t>
      </w:r>
      <w:r w:rsidRPr="00F920DE">
        <w:rPr>
          <w:rFonts w:ascii="Times New Roman" w:hAnsi="Times New Roman"/>
        </w:rPr>
        <w:t>257/96 dotyczące pomocy humanitarnej, Dz.U. L 163 z</w:t>
      </w:r>
      <w:r>
        <w:rPr>
          <w:rFonts w:ascii="Times New Roman" w:hAnsi="Times New Roman"/>
        </w:rPr>
        <w:t> </w:t>
      </w:r>
      <w:r w:rsidRPr="00F920DE">
        <w:rPr>
          <w:rFonts w:ascii="Times New Roman" w:hAnsi="Times New Roman"/>
        </w:rPr>
        <w:t>2.7.1996, s. 1.</w:t>
      </w:r>
    </w:p>
  </w:footnote>
  <w:footnote w:id="19">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Rozporządzenie Parlamentu Europejskiego i</w:t>
      </w:r>
      <w:r>
        <w:rPr>
          <w:rFonts w:ascii="Times New Roman" w:hAnsi="Times New Roman"/>
        </w:rPr>
        <w:t> </w:t>
      </w:r>
      <w:r w:rsidRPr="00F920DE">
        <w:rPr>
          <w:rFonts w:ascii="Times New Roman" w:hAnsi="Times New Roman"/>
        </w:rPr>
        <w:t xml:space="preserve">Rady (UE) </w:t>
      </w:r>
      <w:r w:rsidRPr="008E2A80">
        <w:rPr>
          <w:rFonts w:ascii="Times New Roman" w:hAnsi="Times New Roman"/>
        </w:rPr>
        <w:t>nr 2</w:t>
      </w:r>
      <w:r w:rsidRPr="00F920DE">
        <w:rPr>
          <w:rFonts w:ascii="Times New Roman" w:hAnsi="Times New Roman"/>
        </w:rPr>
        <w:t>32/2014 ustanawiające Europejski Instrument Sąsiedztwa, Dz.U. L 77 z</w:t>
      </w:r>
      <w:r>
        <w:rPr>
          <w:rFonts w:ascii="Times New Roman" w:hAnsi="Times New Roman"/>
        </w:rPr>
        <w:t> </w:t>
      </w:r>
      <w:r w:rsidRPr="00F920DE">
        <w:rPr>
          <w:rFonts w:ascii="Times New Roman" w:hAnsi="Times New Roman"/>
        </w:rPr>
        <w:t xml:space="preserve">15.3.2014, s. 27. </w:t>
      </w:r>
    </w:p>
  </w:footnote>
  <w:footnote w:id="20">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Rozporządzenie Parlamentu Europejskiego i</w:t>
      </w:r>
      <w:r>
        <w:rPr>
          <w:rFonts w:ascii="Times New Roman" w:hAnsi="Times New Roman"/>
        </w:rPr>
        <w:t> </w:t>
      </w:r>
      <w:r w:rsidRPr="00F920DE">
        <w:rPr>
          <w:rFonts w:ascii="Times New Roman" w:hAnsi="Times New Roman"/>
        </w:rPr>
        <w:t xml:space="preserve">Rady (UE) </w:t>
      </w:r>
      <w:r w:rsidRPr="008E2A80">
        <w:rPr>
          <w:rFonts w:ascii="Times New Roman" w:hAnsi="Times New Roman"/>
        </w:rPr>
        <w:t>nr 2</w:t>
      </w:r>
      <w:r w:rsidRPr="00F920DE">
        <w:rPr>
          <w:rFonts w:ascii="Times New Roman" w:hAnsi="Times New Roman"/>
        </w:rPr>
        <w:t>33/2014 ustanawiające Instrument Finansowania Współpracy na rzecz Rozwoju, Dz.U. L 77 z 15.3.2014, s. 44.</w:t>
      </w:r>
    </w:p>
  </w:footnote>
  <w:footnote w:id="21">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Rozporządzenie Parlamentu Europejskiego i</w:t>
      </w:r>
      <w:r>
        <w:rPr>
          <w:rFonts w:ascii="Times New Roman" w:hAnsi="Times New Roman"/>
        </w:rPr>
        <w:t> </w:t>
      </w:r>
      <w:r w:rsidRPr="00F920DE">
        <w:rPr>
          <w:rFonts w:ascii="Times New Roman" w:hAnsi="Times New Roman"/>
        </w:rPr>
        <w:t xml:space="preserve">Rady (UE) </w:t>
      </w:r>
      <w:r w:rsidRPr="008E2A80">
        <w:rPr>
          <w:rFonts w:ascii="Times New Roman" w:hAnsi="Times New Roman"/>
        </w:rPr>
        <w:t>nr 2</w:t>
      </w:r>
      <w:r w:rsidRPr="00F920DE">
        <w:rPr>
          <w:rFonts w:ascii="Times New Roman" w:hAnsi="Times New Roman"/>
        </w:rPr>
        <w:t>31/2014 ustanawiające Instrument Finansowania Pomocy Przedakcesyjnej, Dz.U. L 77 z 15.3.2014, s. 11.</w:t>
      </w:r>
    </w:p>
  </w:footnote>
  <w:footnote w:id="22">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Rozporządzenie Parlamentu Europejskiego i</w:t>
      </w:r>
      <w:r>
        <w:rPr>
          <w:rFonts w:ascii="Times New Roman" w:hAnsi="Times New Roman"/>
        </w:rPr>
        <w:t> </w:t>
      </w:r>
      <w:r w:rsidRPr="00F920DE">
        <w:rPr>
          <w:rFonts w:ascii="Times New Roman" w:hAnsi="Times New Roman"/>
        </w:rPr>
        <w:t xml:space="preserve">Rady (UE) </w:t>
      </w:r>
      <w:r w:rsidRPr="008E2A80">
        <w:rPr>
          <w:rFonts w:ascii="Times New Roman" w:hAnsi="Times New Roman"/>
        </w:rPr>
        <w:t>nr 2</w:t>
      </w:r>
      <w:r w:rsidRPr="00F920DE">
        <w:rPr>
          <w:rFonts w:ascii="Times New Roman" w:hAnsi="Times New Roman"/>
        </w:rPr>
        <w:t>30/2014 ustanawiające Instrument na rzecz Przyczyniania się do Stabilności i</w:t>
      </w:r>
      <w:r>
        <w:rPr>
          <w:rFonts w:ascii="Times New Roman" w:hAnsi="Times New Roman"/>
        </w:rPr>
        <w:t> </w:t>
      </w:r>
      <w:r w:rsidRPr="00F920DE">
        <w:rPr>
          <w:rFonts w:ascii="Times New Roman" w:hAnsi="Times New Roman"/>
        </w:rPr>
        <w:t>Pokoju, Dz.U. L 77 z</w:t>
      </w:r>
      <w:r>
        <w:rPr>
          <w:rFonts w:ascii="Times New Roman" w:hAnsi="Times New Roman"/>
        </w:rPr>
        <w:t> </w:t>
      </w:r>
      <w:r w:rsidRPr="00F920DE">
        <w:rPr>
          <w:rFonts w:ascii="Times New Roman" w:hAnsi="Times New Roman"/>
        </w:rPr>
        <w:t>15.3.2014, s. 1.</w:t>
      </w:r>
    </w:p>
  </w:footnote>
  <w:footnote w:id="23">
    <w:p w:rsidR="00DA7D28" w:rsidRPr="00F920DE" w:rsidRDefault="00DA7D28">
      <w:pPr>
        <w:pStyle w:val="FootnoteText"/>
        <w:jc w:val="both"/>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Wkłady z</w:t>
      </w:r>
      <w:r>
        <w:rPr>
          <w:rFonts w:ascii="Times New Roman" w:hAnsi="Times New Roman"/>
        </w:rPr>
        <w:t> </w:t>
      </w:r>
      <w:r w:rsidRPr="00F920DE">
        <w:rPr>
          <w:rFonts w:ascii="Times New Roman" w:hAnsi="Times New Roman"/>
        </w:rPr>
        <w:t>Europejskiego Instrumentu Sąsiedztwa i</w:t>
      </w:r>
      <w:r>
        <w:rPr>
          <w:rFonts w:ascii="Times New Roman" w:hAnsi="Times New Roman"/>
        </w:rPr>
        <w:t> </w:t>
      </w:r>
      <w:r w:rsidRPr="00F920DE">
        <w:rPr>
          <w:rFonts w:ascii="Times New Roman" w:hAnsi="Times New Roman"/>
        </w:rPr>
        <w:t>Instrumentu Finansowania Współpracy na rzecz Rozwoju zostały przesunięte i</w:t>
      </w:r>
      <w:r>
        <w:rPr>
          <w:rFonts w:ascii="Times New Roman" w:hAnsi="Times New Roman"/>
        </w:rPr>
        <w:t> </w:t>
      </w:r>
      <w:r w:rsidRPr="00F920DE">
        <w:rPr>
          <w:rFonts w:ascii="Times New Roman" w:hAnsi="Times New Roman"/>
        </w:rPr>
        <w:t>wdrożone odpowiednio w</w:t>
      </w:r>
      <w:r>
        <w:rPr>
          <w:rFonts w:ascii="Times New Roman" w:hAnsi="Times New Roman"/>
        </w:rPr>
        <w:t> </w:t>
      </w:r>
      <w:r w:rsidRPr="00F920DE">
        <w:rPr>
          <w:rFonts w:ascii="Times New Roman" w:hAnsi="Times New Roman"/>
        </w:rPr>
        <w:t>ramach Instrumentu Pomocy Przedakcesyjnej i</w:t>
      </w:r>
      <w:r>
        <w:rPr>
          <w:rFonts w:ascii="Times New Roman" w:hAnsi="Times New Roman"/>
        </w:rPr>
        <w:t> </w:t>
      </w:r>
      <w:r w:rsidRPr="00F920DE">
        <w:rPr>
          <w:rFonts w:ascii="Times New Roman" w:hAnsi="Times New Roman"/>
        </w:rPr>
        <w:t>funduszu powierniczego UE. Zasadniczo wszystkie wkłady z</w:t>
      </w:r>
      <w:r>
        <w:rPr>
          <w:rFonts w:ascii="Times New Roman" w:hAnsi="Times New Roman"/>
        </w:rPr>
        <w:t> </w:t>
      </w:r>
      <w:r w:rsidRPr="00F920DE">
        <w:rPr>
          <w:rFonts w:ascii="Times New Roman" w:hAnsi="Times New Roman"/>
        </w:rPr>
        <w:t>instrumentu wniesione na rzecz funduszu powierniczego UE (z IPA i</w:t>
      </w:r>
      <w:r>
        <w:rPr>
          <w:rFonts w:ascii="Times New Roman" w:hAnsi="Times New Roman"/>
        </w:rPr>
        <w:t> </w:t>
      </w:r>
      <w:r w:rsidRPr="00F920DE">
        <w:rPr>
          <w:rFonts w:ascii="Times New Roman" w:hAnsi="Times New Roman"/>
        </w:rPr>
        <w:t>w</w:t>
      </w:r>
      <w:r>
        <w:rPr>
          <w:rFonts w:ascii="Times New Roman" w:hAnsi="Times New Roman"/>
        </w:rPr>
        <w:t> </w:t>
      </w:r>
      <w:r w:rsidRPr="00F920DE">
        <w:rPr>
          <w:rFonts w:ascii="Times New Roman" w:hAnsi="Times New Roman"/>
        </w:rPr>
        <w:t>mniejszym stopniu z</w:t>
      </w:r>
      <w:r>
        <w:rPr>
          <w:rFonts w:ascii="Times New Roman" w:hAnsi="Times New Roman"/>
        </w:rPr>
        <w:t> </w:t>
      </w:r>
      <w:r w:rsidRPr="00F920DE">
        <w:rPr>
          <w:rFonts w:ascii="Times New Roman" w:hAnsi="Times New Roman"/>
        </w:rPr>
        <w:t>Instrumentu Finansowania Współpracy na rzecz Rozwoju) zostały wdrożone jako pomoc pozahumanitarna.</w:t>
      </w:r>
    </w:p>
  </w:footnote>
  <w:footnote w:id="24">
    <w:p w:rsidR="00DA7D28" w:rsidRPr="00F920DE" w:rsidRDefault="00DA7D28">
      <w:pPr>
        <w:pStyle w:val="FootnoteText"/>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Łączną wielkość wkładów poszczególnych państw członkowskich można znaleźć na stronie </w:t>
      </w:r>
      <w:hyperlink r:id="rId7">
        <w:r w:rsidRPr="00F920DE">
          <w:rPr>
            <w:rStyle w:val="Hyperlink"/>
            <w:rFonts w:ascii="Times New Roman" w:hAnsi="Times New Roman"/>
          </w:rPr>
          <w:t>http://www.consilium.europa.eu/pl/press/press-releases/2016/02/03/refugee-facility-for-turkey/</w:t>
        </w:r>
      </w:hyperlink>
      <w:r w:rsidRPr="00F920DE">
        <w:rPr>
          <w:rFonts w:ascii="Times New Roman" w:hAnsi="Times New Roman"/>
        </w:rPr>
        <w:t>.</w:t>
      </w:r>
    </w:p>
  </w:footnote>
  <w:footnote w:id="25">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8">
        <w:r w:rsidRPr="00F920DE">
          <w:rPr>
            <w:rStyle w:val="Hyperlink"/>
            <w:rFonts w:ascii="Times New Roman" w:hAnsi="Times New Roman"/>
          </w:rPr>
          <w:t>https://www.consilium.europa.eu/pl/press/press-releases/2018/06/29/facility-for-refugees-in-turkey-member-states-agree-details-of-additional-funding/</w:t>
        </w:r>
      </w:hyperlink>
      <w:r w:rsidRPr="00F920DE">
        <w:rPr>
          <w:rFonts w:ascii="Times New Roman" w:hAnsi="Times New Roman"/>
        </w:rPr>
        <w:t xml:space="preserve"> </w:t>
      </w:r>
    </w:p>
  </w:footnote>
  <w:footnote w:id="26">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Z wyjątkiem kwoty około 20 mln EUR na pokrycie bieżących wydatków administracyjnych oraz wydatków na pomoc techniczną, komunikację, monitorowanie, ocenę i</w:t>
      </w:r>
      <w:r>
        <w:rPr>
          <w:rFonts w:ascii="Times New Roman" w:hAnsi="Times New Roman"/>
        </w:rPr>
        <w:t> </w:t>
      </w:r>
      <w:r w:rsidRPr="00F920DE">
        <w:rPr>
          <w:rFonts w:ascii="Times New Roman" w:hAnsi="Times New Roman"/>
        </w:rPr>
        <w:t>audyt, w</w:t>
      </w:r>
      <w:r>
        <w:rPr>
          <w:rFonts w:ascii="Times New Roman" w:hAnsi="Times New Roman"/>
        </w:rPr>
        <w:t> </w:t>
      </w:r>
      <w:r w:rsidRPr="00F920DE">
        <w:rPr>
          <w:rFonts w:ascii="Times New Roman" w:hAnsi="Times New Roman"/>
        </w:rPr>
        <w:t>przypadku których można zaciągać zobowiązania i</w:t>
      </w:r>
      <w:r>
        <w:rPr>
          <w:rFonts w:ascii="Times New Roman" w:hAnsi="Times New Roman"/>
        </w:rPr>
        <w:t> </w:t>
      </w:r>
      <w:r w:rsidRPr="00F920DE">
        <w:rPr>
          <w:rFonts w:ascii="Times New Roman" w:hAnsi="Times New Roman"/>
        </w:rPr>
        <w:t>podpisywać umowy podczas całego cyklu życia instrumentu.</w:t>
      </w:r>
    </w:p>
  </w:footnote>
  <w:footnote w:id="27">
    <w:p w:rsidR="00DA7D28" w:rsidRPr="00F920DE" w:rsidRDefault="00C95BE4" w:rsidP="00A009FC">
      <w:pPr>
        <w:pStyle w:val="FootnoteText"/>
        <w:rPr>
          <w:rFonts w:ascii="Times New Roman" w:hAnsi="Times New Roman"/>
        </w:rPr>
      </w:pPr>
      <w:hyperlink r:id="rId9">
        <w:r w:rsidR="00DA7D28" w:rsidRPr="00F920DE">
          <w:rPr>
            <w:rStyle w:val="Hyperlink"/>
            <w:rFonts w:ascii="Times New Roman" w:hAnsi="Times New Roman"/>
            <w:color w:val="auto"/>
            <w:u w:val="none"/>
            <w:vertAlign w:val="superscript"/>
          </w:rPr>
          <w:footnoteRef/>
        </w:r>
        <w:r w:rsidR="00DA7D28" w:rsidRPr="00F920DE">
          <w:rPr>
            <w:rStyle w:val="Hyperlink"/>
            <w:rFonts w:ascii="Times New Roman" w:hAnsi="Times New Roman"/>
            <w:color w:val="auto"/>
            <w:u w:val="none"/>
          </w:rPr>
          <w:t xml:space="preserve"> </w:t>
        </w:r>
        <w:r w:rsidR="00DA7D28" w:rsidRPr="00F920DE">
          <w:rPr>
            <w:rStyle w:val="Hyperlink"/>
            <w:rFonts w:ascii="Times New Roman" w:hAnsi="Times New Roman"/>
          </w:rPr>
          <w:t>Decyzja Komisji C/2018/1500 final w</w:t>
        </w:r>
        <w:r w:rsidR="00DA7D28">
          <w:rPr>
            <w:rStyle w:val="Hyperlink"/>
            <w:rFonts w:ascii="Times New Roman" w:hAnsi="Times New Roman"/>
          </w:rPr>
          <w:t> </w:t>
        </w:r>
        <w:r w:rsidR="00DA7D28" w:rsidRPr="00F920DE">
          <w:rPr>
            <w:rStyle w:val="Hyperlink"/>
            <w:rFonts w:ascii="Times New Roman" w:hAnsi="Times New Roman"/>
          </w:rPr>
          <w:t>sprawie Instrumentu Pomocy dla Uchodźców w</w:t>
        </w:r>
        <w:r w:rsidR="00DA7D28">
          <w:rPr>
            <w:rStyle w:val="Hyperlink"/>
            <w:rFonts w:ascii="Times New Roman" w:hAnsi="Times New Roman"/>
          </w:rPr>
          <w:t> </w:t>
        </w:r>
        <w:r w:rsidR="00DA7D28" w:rsidRPr="00F920DE">
          <w:rPr>
            <w:rStyle w:val="Hyperlink"/>
            <w:rFonts w:ascii="Times New Roman" w:hAnsi="Times New Roman"/>
          </w:rPr>
          <w:t>Turcji zmieniająca decyzję Komisji C(2015) 9500 w</w:t>
        </w:r>
        <w:r w:rsidR="00DA7D28">
          <w:rPr>
            <w:rStyle w:val="Hyperlink"/>
            <w:rFonts w:ascii="Times New Roman" w:hAnsi="Times New Roman"/>
          </w:rPr>
          <w:t> </w:t>
        </w:r>
        <w:r w:rsidR="00DA7D28" w:rsidRPr="00F920DE">
          <w:rPr>
            <w:rStyle w:val="Hyperlink"/>
            <w:rFonts w:ascii="Times New Roman" w:hAnsi="Times New Roman"/>
          </w:rPr>
          <w:t>odniesieniu do wkładu na rzecz Instrumentu Pomocy dla Uchodźców w</w:t>
        </w:r>
        <w:r w:rsidR="00DA7D28">
          <w:rPr>
            <w:rStyle w:val="Hyperlink"/>
            <w:rFonts w:ascii="Times New Roman" w:hAnsi="Times New Roman"/>
          </w:rPr>
          <w:t> </w:t>
        </w:r>
        <w:r w:rsidR="00DA7D28" w:rsidRPr="00F920DE">
          <w:rPr>
            <w:rStyle w:val="Hyperlink"/>
            <w:rFonts w:ascii="Times New Roman" w:hAnsi="Times New Roman"/>
          </w:rPr>
          <w:t>Turcji</w:t>
        </w:r>
      </w:hyperlink>
      <w:r w:rsidR="00DA7D28" w:rsidRPr="00F920DE">
        <w:rPr>
          <w:rFonts w:ascii="Times New Roman" w:hAnsi="Times New Roman"/>
        </w:rPr>
        <w:t xml:space="preserve"> –14.3.2018.</w:t>
      </w:r>
    </w:p>
  </w:footnote>
  <w:footnote w:id="28">
    <w:p w:rsidR="00DA7D28" w:rsidRPr="00F920DE" w:rsidRDefault="00C95BE4" w:rsidP="0025354F">
      <w:pPr>
        <w:pStyle w:val="FootnoteText"/>
        <w:rPr>
          <w:rFonts w:ascii="Times New Roman" w:hAnsi="Times New Roman"/>
        </w:rPr>
      </w:pPr>
      <w:hyperlink r:id="rId10">
        <w:r w:rsidR="00DA7D28" w:rsidRPr="00F920DE">
          <w:rPr>
            <w:rStyle w:val="Hyperlink"/>
            <w:rFonts w:ascii="Times New Roman" w:hAnsi="Times New Roman"/>
            <w:color w:val="auto"/>
            <w:u w:val="none"/>
            <w:vertAlign w:val="superscript"/>
          </w:rPr>
          <w:footnoteRef/>
        </w:r>
        <w:r w:rsidR="00DA7D28" w:rsidRPr="00F920DE">
          <w:rPr>
            <w:rStyle w:val="Hyperlink"/>
            <w:rFonts w:ascii="Times New Roman" w:hAnsi="Times New Roman"/>
            <w:color w:val="auto"/>
            <w:u w:val="none"/>
          </w:rPr>
          <w:t xml:space="preserve"> </w:t>
        </w:r>
        <w:r w:rsidR="00DA7D28" w:rsidRPr="00F920DE">
          <w:rPr>
            <w:rStyle w:val="Hyperlink"/>
            <w:rFonts w:ascii="Times New Roman" w:hAnsi="Times New Roman"/>
          </w:rPr>
          <w:t>Decyzja Komisji C/2018/4959 w</w:t>
        </w:r>
        <w:r w:rsidR="00DA7D28">
          <w:rPr>
            <w:rStyle w:val="Hyperlink"/>
            <w:rFonts w:ascii="Times New Roman" w:hAnsi="Times New Roman"/>
          </w:rPr>
          <w:t> </w:t>
        </w:r>
        <w:r w:rsidR="00DA7D28" w:rsidRPr="00F920DE">
          <w:rPr>
            <w:rStyle w:val="Hyperlink"/>
            <w:rFonts w:ascii="Times New Roman" w:hAnsi="Times New Roman"/>
          </w:rPr>
          <w:t>sprawie Instrumentu Pomocy dla Uchodźców w</w:t>
        </w:r>
        <w:r w:rsidR="00DA7D28">
          <w:rPr>
            <w:rStyle w:val="Hyperlink"/>
            <w:rFonts w:ascii="Times New Roman" w:hAnsi="Times New Roman"/>
          </w:rPr>
          <w:t> </w:t>
        </w:r>
        <w:r w:rsidR="00DA7D28" w:rsidRPr="00F920DE">
          <w:rPr>
            <w:rStyle w:val="Hyperlink"/>
            <w:rFonts w:ascii="Times New Roman" w:hAnsi="Times New Roman"/>
          </w:rPr>
          <w:t>Turcji, zmieniająca decyzję Komisji C(2015) 9500 w</w:t>
        </w:r>
        <w:r w:rsidR="00DA7D28">
          <w:rPr>
            <w:rStyle w:val="Hyperlink"/>
            <w:rFonts w:ascii="Times New Roman" w:hAnsi="Times New Roman"/>
          </w:rPr>
          <w:t> </w:t>
        </w:r>
        <w:r w:rsidR="00DA7D28" w:rsidRPr="00F920DE">
          <w:rPr>
            <w:rStyle w:val="Hyperlink"/>
            <w:rFonts w:ascii="Times New Roman" w:hAnsi="Times New Roman"/>
          </w:rPr>
          <w:t>odniesieniu do wkładu na rzecz Instrumentu Pomocy dla Uchodźców w</w:t>
        </w:r>
        <w:r w:rsidR="00DA7D28">
          <w:rPr>
            <w:rStyle w:val="Hyperlink"/>
            <w:rFonts w:ascii="Times New Roman" w:hAnsi="Times New Roman"/>
          </w:rPr>
          <w:t> </w:t>
        </w:r>
        <w:r w:rsidR="00DA7D28" w:rsidRPr="00F920DE">
          <w:rPr>
            <w:rStyle w:val="Hyperlink"/>
            <w:rFonts w:ascii="Times New Roman" w:hAnsi="Times New Roman"/>
          </w:rPr>
          <w:t>Turcji – 24.7.2018.</w:t>
        </w:r>
      </w:hyperlink>
    </w:p>
  </w:footnote>
  <w:footnote w:id="29">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https://ec.europa.eu/neighbourhood-enlargement/sites/near/files/updated_facility_strategic_concept_note.pdf</w:t>
      </w:r>
    </w:p>
  </w:footnote>
  <w:footnote w:id="30">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11">
        <w:r w:rsidRPr="00F920DE">
          <w:rPr>
            <w:rStyle w:val="Hyperlink"/>
            <w:rFonts w:ascii="Times New Roman" w:hAnsi="Times New Roman"/>
          </w:rPr>
          <w:t>https://ec.europa.eu/neighbourhood-enlargement/sites/near/files/updated_needs_assessment.pdf</w:t>
        </w:r>
      </w:hyperlink>
    </w:p>
  </w:footnote>
  <w:footnote w:id="31">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Sprawozdanie końcowe z</w:t>
      </w:r>
      <w:r>
        <w:rPr>
          <w:rFonts w:ascii="Times New Roman" w:hAnsi="Times New Roman"/>
        </w:rPr>
        <w:t> </w:t>
      </w:r>
      <w:r w:rsidRPr="00F920DE">
        <w:rPr>
          <w:rFonts w:ascii="Times New Roman" w:hAnsi="Times New Roman"/>
        </w:rPr>
        <w:t>aktualnej oceny potrzeb przedstawiono w</w:t>
      </w:r>
      <w:r>
        <w:rPr>
          <w:rFonts w:ascii="Times New Roman" w:hAnsi="Times New Roman"/>
        </w:rPr>
        <w:t> </w:t>
      </w:r>
      <w:r w:rsidRPr="00F920DE">
        <w:rPr>
          <w:rFonts w:ascii="Times New Roman" w:hAnsi="Times New Roman"/>
        </w:rPr>
        <w:t>dniu 31 października 20</w:t>
      </w:r>
      <w:r w:rsidRPr="008E2A80">
        <w:rPr>
          <w:rFonts w:ascii="Times New Roman" w:hAnsi="Times New Roman"/>
        </w:rPr>
        <w:t>18 r.</w:t>
      </w:r>
    </w:p>
  </w:footnote>
  <w:footnote w:id="32">
    <w:p w:rsidR="00DA7D28" w:rsidRPr="00F920DE" w:rsidRDefault="00DA7D28" w:rsidP="00E72108">
      <w:pPr>
        <w:rPr>
          <w:rFonts w:ascii="Times New Roman" w:hAnsi="Times New Roman"/>
          <w:sz w:val="20"/>
          <w:szCs w:val="20"/>
        </w:rPr>
      </w:pPr>
      <w:r w:rsidRPr="00F920DE">
        <w:rPr>
          <w:rStyle w:val="FootnoteReference"/>
          <w:rFonts w:ascii="Times New Roman" w:hAnsi="Times New Roman"/>
        </w:rPr>
        <w:footnoteRef/>
      </w:r>
      <w:r w:rsidRPr="00F920DE">
        <w:rPr>
          <w:rFonts w:ascii="Times New Roman" w:hAnsi="Times New Roman"/>
          <w:sz w:val="20"/>
          <w:szCs w:val="20"/>
        </w:rPr>
        <w:t xml:space="preserve"> W szczególności komunikat z</w:t>
      </w:r>
      <w:r>
        <w:rPr>
          <w:rFonts w:ascii="Times New Roman" w:hAnsi="Times New Roman"/>
          <w:sz w:val="20"/>
          <w:szCs w:val="20"/>
        </w:rPr>
        <w:t> </w:t>
      </w:r>
      <w:r w:rsidRPr="00F920DE">
        <w:rPr>
          <w:rFonts w:ascii="Times New Roman" w:hAnsi="Times New Roman"/>
          <w:sz w:val="20"/>
          <w:szCs w:val="20"/>
        </w:rPr>
        <w:t>20</w:t>
      </w:r>
      <w:r w:rsidRPr="008E2A80">
        <w:rPr>
          <w:rFonts w:ascii="Times New Roman" w:hAnsi="Times New Roman"/>
          <w:sz w:val="20"/>
          <w:szCs w:val="20"/>
        </w:rPr>
        <w:t>16 r.</w:t>
      </w:r>
      <w:r w:rsidRPr="00F920DE">
        <w:rPr>
          <w:rFonts w:ascii="Times New Roman" w:hAnsi="Times New Roman"/>
          <w:sz w:val="20"/>
          <w:szCs w:val="20"/>
        </w:rPr>
        <w:t xml:space="preserve"> „Godne życie” dotyczący przymusowych wysiedleń i</w:t>
      </w:r>
      <w:r>
        <w:rPr>
          <w:rFonts w:ascii="Times New Roman" w:hAnsi="Times New Roman"/>
          <w:sz w:val="20"/>
          <w:szCs w:val="20"/>
        </w:rPr>
        <w:t> </w:t>
      </w:r>
      <w:r w:rsidRPr="00F920DE">
        <w:rPr>
          <w:rFonts w:ascii="Times New Roman" w:hAnsi="Times New Roman"/>
          <w:sz w:val="20"/>
          <w:szCs w:val="20"/>
        </w:rPr>
        <w:t>rozwoju (COM (2016) 234 final) oraz towarzyszące mu konkluzje Rady (</w:t>
      </w:r>
      <w:hyperlink r:id="rId12">
        <w:r w:rsidRPr="00F920DE">
          <w:rPr>
            <w:rStyle w:val="Hyperlink"/>
            <w:rFonts w:ascii="Times New Roman" w:hAnsi="Times New Roman"/>
          </w:rPr>
          <w:t>konkluzje Rady w</w:t>
        </w:r>
        <w:r>
          <w:rPr>
            <w:rStyle w:val="Hyperlink"/>
            <w:rFonts w:ascii="Times New Roman" w:hAnsi="Times New Roman"/>
          </w:rPr>
          <w:t> </w:t>
        </w:r>
        <w:r w:rsidRPr="00F920DE">
          <w:rPr>
            <w:rStyle w:val="Hyperlink"/>
            <w:rFonts w:ascii="Times New Roman" w:hAnsi="Times New Roman"/>
          </w:rPr>
          <w:t>sprawie podejścia UE do przymusowych wysiedleń i</w:t>
        </w:r>
        <w:r>
          <w:rPr>
            <w:rStyle w:val="Hyperlink"/>
            <w:rFonts w:ascii="Times New Roman" w:hAnsi="Times New Roman"/>
          </w:rPr>
          <w:t> </w:t>
        </w:r>
        <w:r w:rsidRPr="00F920DE">
          <w:rPr>
            <w:rStyle w:val="Hyperlink"/>
            <w:rFonts w:ascii="Times New Roman" w:hAnsi="Times New Roman"/>
          </w:rPr>
          <w:t>rozwoju</w:t>
        </w:r>
      </w:hyperlink>
      <w:r w:rsidRPr="00F920DE">
        <w:rPr>
          <w:rFonts w:ascii="Times New Roman" w:hAnsi="Times New Roman"/>
          <w:sz w:val="20"/>
          <w:szCs w:val="20"/>
        </w:rPr>
        <w:t xml:space="preserve">, </w:t>
      </w:r>
      <w:r w:rsidRPr="008E2A80">
        <w:rPr>
          <w:rFonts w:ascii="Times New Roman" w:hAnsi="Times New Roman"/>
          <w:sz w:val="20"/>
          <w:szCs w:val="20"/>
        </w:rPr>
        <w:t>maj 2</w:t>
      </w:r>
      <w:r w:rsidRPr="00F920DE">
        <w:rPr>
          <w:rFonts w:ascii="Times New Roman" w:hAnsi="Times New Roman"/>
          <w:sz w:val="20"/>
          <w:szCs w:val="20"/>
        </w:rPr>
        <w:t>0</w:t>
      </w:r>
      <w:r w:rsidRPr="008E2A80">
        <w:rPr>
          <w:rFonts w:ascii="Times New Roman" w:hAnsi="Times New Roman"/>
          <w:sz w:val="20"/>
          <w:szCs w:val="20"/>
        </w:rPr>
        <w:t>16 r.</w:t>
      </w:r>
      <w:r>
        <w:rPr>
          <w:rFonts w:ascii="Times New Roman" w:hAnsi="Times New Roman"/>
          <w:sz w:val="20"/>
          <w:szCs w:val="20"/>
        </w:rPr>
        <w:t>).</w:t>
      </w:r>
    </w:p>
    <w:p w:rsidR="00DA7D28" w:rsidRPr="00F920DE" w:rsidRDefault="00DA7D28">
      <w:pPr>
        <w:pStyle w:val="FootnoteText"/>
        <w:rPr>
          <w:rFonts w:ascii="Times New Roman" w:hAnsi="Times New Roman"/>
        </w:rPr>
      </w:pPr>
    </w:p>
  </w:footnote>
  <w:footnote w:id="33">
    <w:p w:rsidR="00DA7D28" w:rsidRPr="00F920DE" w:rsidRDefault="00DA7D28" w:rsidP="004E2F64">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Sprawozdanie Europejskiego Trybunału Obrachunkowego: </w:t>
      </w:r>
      <w:hyperlink r:id="rId13">
        <w:r w:rsidRPr="00F920DE">
          <w:rPr>
            <w:rStyle w:val="Hyperlink"/>
            <w:rFonts w:ascii="Times New Roman" w:hAnsi="Times New Roman"/>
          </w:rPr>
          <w:t>https://www.eca.europa.eu/Lists/ECADocuments/SR18_27/SR_TRF_PL.pdf</w:t>
        </w:r>
      </w:hyperlink>
    </w:p>
  </w:footnote>
  <w:footnote w:id="34">
    <w:p w:rsidR="00DA7D28" w:rsidRPr="00F920DE" w:rsidRDefault="00C95BE4">
      <w:pPr>
        <w:pStyle w:val="FootnoteText"/>
        <w:rPr>
          <w:rFonts w:ascii="Times New Roman" w:hAnsi="Times New Roman"/>
        </w:rPr>
      </w:pPr>
      <w:hyperlink r:id="rId14">
        <w:r w:rsidR="00DA7D28" w:rsidRPr="00F920DE">
          <w:rPr>
            <w:rStyle w:val="Hyperlink"/>
            <w:rFonts w:ascii="Times New Roman" w:hAnsi="Times New Roman"/>
            <w:color w:val="auto"/>
            <w:u w:val="none"/>
            <w:vertAlign w:val="superscript"/>
          </w:rPr>
          <w:footnoteRef/>
        </w:r>
        <w:r w:rsidR="00DA7D28" w:rsidRPr="00F920DE">
          <w:rPr>
            <w:rStyle w:val="Hyperlink"/>
            <w:rFonts w:ascii="Times New Roman" w:hAnsi="Times New Roman"/>
            <w:color w:val="auto"/>
            <w:u w:val="none"/>
          </w:rPr>
          <w:t xml:space="preserve"> </w:t>
        </w:r>
        <w:r w:rsidR="00DA7D28" w:rsidRPr="00F920DE">
          <w:rPr>
            <w:rStyle w:val="Hyperlink"/>
            <w:rFonts w:ascii="Times New Roman" w:hAnsi="Times New Roman"/>
          </w:rPr>
          <w:t>Środek specjalny na rzecz edukacji</w:t>
        </w:r>
      </w:hyperlink>
      <w:r w:rsidR="00DA7D28" w:rsidRPr="00F920DE">
        <w:rPr>
          <w:rFonts w:ascii="Times New Roman" w:hAnsi="Times New Roman"/>
        </w:rPr>
        <w:t xml:space="preserve"> </w:t>
      </w:r>
      <w:r w:rsidR="00DA7D28" w:rsidRPr="00F920DE">
        <w:rPr>
          <w:rStyle w:val="Hyperlink"/>
          <w:rFonts w:ascii="Times New Roman" w:hAnsi="Times New Roman"/>
        </w:rPr>
        <w:t>C (2018) 4960 final z</w:t>
      </w:r>
      <w:r w:rsidR="00DA7D28">
        <w:rPr>
          <w:rStyle w:val="Hyperlink"/>
          <w:rFonts w:ascii="Times New Roman" w:hAnsi="Times New Roman"/>
        </w:rPr>
        <w:t> </w:t>
      </w:r>
      <w:r w:rsidR="00DA7D28" w:rsidRPr="00F920DE">
        <w:rPr>
          <w:rStyle w:val="Hyperlink"/>
          <w:rFonts w:ascii="Times New Roman" w:hAnsi="Times New Roman"/>
        </w:rPr>
        <w:t>24.7.2018</w:t>
      </w:r>
    </w:p>
  </w:footnote>
  <w:footnote w:id="35">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15">
        <w:r w:rsidRPr="00F920DE">
          <w:rPr>
            <w:rStyle w:val="Hyperlink"/>
            <w:rFonts w:ascii="Times New Roman" w:hAnsi="Times New Roman"/>
          </w:rPr>
          <w:t>Zmieniony środek specjalny na rzecz edukacji</w:t>
        </w:r>
      </w:hyperlink>
      <w:r w:rsidRPr="00F920DE">
        <w:rPr>
          <w:rFonts w:ascii="Times New Roman" w:hAnsi="Times New Roman"/>
        </w:rPr>
        <w:t xml:space="preserve"> </w:t>
      </w:r>
      <w:r w:rsidRPr="00F920DE">
        <w:rPr>
          <w:rStyle w:val="Hyperlink"/>
          <w:rFonts w:ascii="Times New Roman" w:hAnsi="Times New Roman"/>
        </w:rPr>
        <w:t>C (2018) 8254 final z</w:t>
      </w:r>
      <w:r>
        <w:rPr>
          <w:rStyle w:val="Hyperlink"/>
          <w:rFonts w:ascii="Times New Roman" w:hAnsi="Times New Roman"/>
        </w:rPr>
        <w:t> </w:t>
      </w:r>
      <w:r w:rsidRPr="00F920DE">
        <w:rPr>
          <w:rStyle w:val="Hyperlink"/>
          <w:rFonts w:ascii="Times New Roman" w:hAnsi="Times New Roman"/>
        </w:rPr>
        <w:t>11.12.2018</w:t>
      </w:r>
    </w:p>
  </w:footnote>
  <w:footnote w:id="36">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16">
        <w:r w:rsidRPr="00F920DE">
          <w:rPr>
            <w:rStyle w:val="Hyperlink"/>
            <w:rFonts w:ascii="Times New Roman" w:hAnsi="Times New Roman"/>
          </w:rPr>
          <w:t>https://ec.europa.eu/echo/sites/echo-site/files/echo_tur_bud_2018_91000_v2.pdf</w:t>
        </w:r>
      </w:hyperlink>
      <w:r w:rsidRPr="00F920DE">
        <w:rPr>
          <w:rFonts w:ascii="Times New Roman" w:hAnsi="Times New Roman"/>
        </w:rPr>
        <w:t xml:space="preserve"> </w:t>
      </w:r>
    </w:p>
  </w:footnote>
  <w:footnote w:id="37">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Z wyjątkiem kwoty około 20 mln EUR na potrzeby bieżących wydatków administracyjnych oraz wydatków na pomoc techniczną, komunikację, monitorowanie, ocenę i</w:t>
      </w:r>
      <w:r>
        <w:rPr>
          <w:rFonts w:ascii="Times New Roman" w:hAnsi="Times New Roman"/>
        </w:rPr>
        <w:t> </w:t>
      </w:r>
      <w:r w:rsidRPr="00F920DE">
        <w:rPr>
          <w:rFonts w:ascii="Times New Roman" w:hAnsi="Times New Roman"/>
        </w:rPr>
        <w:t>audyt, w</w:t>
      </w:r>
      <w:r>
        <w:rPr>
          <w:rFonts w:ascii="Times New Roman" w:hAnsi="Times New Roman"/>
        </w:rPr>
        <w:t> </w:t>
      </w:r>
      <w:r w:rsidRPr="00F920DE">
        <w:rPr>
          <w:rFonts w:ascii="Times New Roman" w:hAnsi="Times New Roman"/>
        </w:rPr>
        <w:t>przypadku których można zaciągać zobowiązania i</w:t>
      </w:r>
      <w:r>
        <w:rPr>
          <w:rFonts w:ascii="Times New Roman" w:hAnsi="Times New Roman"/>
        </w:rPr>
        <w:t> </w:t>
      </w:r>
      <w:r w:rsidRPr="00F920DE">
        <w:rPr>
          <w:rFonts w:ascii="Times New Roman" w:hAnsi="Times New Roman"/>
        </w:rPr>
        <w:t>podpisywać umowy podczas całego cyklu życia instrumentu.</w:t>
      </w:r>
    </w:p>
  </w:footnote>
  <w:footnote w:id="38">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17">
        <w:r w:rsidRPr="00F920DE">
          <w:rPr>
            <w:rStyle w:val="Hyperlink"/>
            <w:rFonts w:ascii="Times New Roman" w:hAnsi="Times New Roman"/>
          </w:rPr>
          <w:t>https://ec.europa.eu/neighbourhood-enlargement/sites/near/files/facility_table.pdf</w:t>
        </w:r>
      </w:hyperlink>
      <w:r w:rsidRPr="00F920DE">
        <w:rPr>
          <w:rFonts w:ascii="Times New Roman" w:hAnsi="Times New Roman"/>
        </w:rPr>
        <w:t xml:space="preserve">  </w:t>
      </w:r>
    </w:p>
  </w:footnote>
  <w:footnote w:id="39">
    <w:p w:rsidR="00DA7D28" w:rsidRPr="00F920DE" w:rsidRDefault="00DA7D28">
      <w:pPr>
        <w:pStyle w:val="FootnoteText"/>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Informacje na temat liczby uchodźców syryjskich w</w:t>
      </w:r>
      <w:r>
        <w:rPr>
          <w:rFonts w:ascii="Times New Roman" w:hAnsi="Times New Roman"/>
        </w:rPr>
        <w:t> </w:t>
      </w:r>
      <w:r w:rsidRPr="00F920DE">
        <w:rPr>
          <w:rFonts w:ascii="Times New Roman" w:hAnsi="Times New Roman"/>
        </w:rPr>
        <w:t xml:space="preserve">poszczególnych prowincjach są dostępne na stronie: </w:t>
      </w:r>
      <w:hyperlink r:id="rId18">
        <w:r w:rsidRPr="00F920DE">
          <w:rPr>
            <w:rStyle w:val="Hyperlink"/>
            <w:rFonts w:ascii="Times New Roman" w:hAnsi="Times New Roman"/>
          </w:rPr>
          <w:t>http://www.goc.gov.tr/icerik6/temporary-protection_915_1024_4748_icerik</w:t>
        </w:r>
      </w:hyperlink>
      <w:r w:rsidRPr="00F920DE">
        <w:rPr>
          <w:rFonts w:ascii="Times New Roman" w:hAnsi="Times New Roman"/>
        </w:rPr>
        <w:t xml:space="preserve"> </w:t>
      </w:r>
    </w:p>
  </w:footnote>
  <w:footnote w:id="40">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Wspólne oświadczenie Rady i</w:t>
      </w:r>
      <w:r>
        <w:rPr>
          <w:rFonts w:ascii="Times New Roman" w:hAnsi="Times New Roman"/>
        </w:rPr>
        <w:t> </w:t>
      </w:r>
      <w:r w:rsidRPr="00F920DE">
        <w:rPr>
          <w:rFonts w:ascii="Times New Roman" w:hAnsi="Times New Roman"/>
        </w:rPr>
        <w:t xml:space="preserve">przedstawicieli rządów państw członkowskich. </w:t>
      </w:r>
    </w:p>
  </w:footnote>
  <w:footnote w:id="41">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Rozporządzenie Rady (WE) </w:t>
      </w:r>
      <w:r w:rsidRPr="008E2A80">
        <w:rPr>
          <w:rFonts w:ascii="Times New Roman" w:hAnsi="Times New Roman"/>
        </w:rPr>
        <w:t>nr 1</w:t>
      </w:r>
      <w:r w:rsidRPr="00F920DE">
        <w:rPr>
          <w:rFonts w:ascii="Times New Roman" w:hAnsi="Times New Roman"/>
        </w:rPr>
        <w:t>257/96 z</w:t>
      </w:r>
      <w:r>
        <w:rPr>
          <w:rFonts w:ascii="Times New Roman" w:hAnsi="Times New Roman"/>
        </w:rPr>
        <w:t> </w:t>
      </w:r>
      <w:r w:rsidRPr="00F920DE">
        <w:rPr>
          <w:rFonts w:ascii="Times New Roman" w:hAnsi="Times New Roman"/>
        </w:rPr>
        <w:t>dnia 20 czerwca 19</w:t>
      </w:r>
      <w:r w:rsidRPr="008E2A80">
        <w:rPr>
          <w:rFonts w:ascii="Times New Roman" w:hAnsi="Times New Roman"/>
        </w:rPr>
        <w:t>96 r.</w:t>
      </w:r>
      <w:r w:rsidRPr="00F920DE">
        <w:rPr>
          <w:rFonts w:ascii="Times New Roman" w:hAnsi="Times New Roman"/>
        </w:rPr>
        <w:t xml:space="preserve"> dotyczące pomocy humanitarnej.</w:t>
      </w:r>
    </w:p>
  </w:footnote>
  <w:footnote w:id="42">
    <w:p w:rsidR="00DA7D28" w:rsidRPr="00F920DE" w:rsidRDefault="00DA7D28">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Pomoc humanitarna Komisji Europejskiej opiera się na rocznych planach wdrażania pomocy dla poszczególnych krajów. Ramy współpracy między Komisją i</w:t>
      </w:r>
      <w:r>
        <w:rPr>
          <w:rFonts w:ascii="Times New Roman" w:hAnsi="Times New Roman"/>
        </w:rPr>
        <w:t> </w:t>
      </w:r>
      <w:r w:rsidRPr="00F920DE">
        <w:rPr>
          <w:rFonts w:ascii="Times New Roman" w:hAnsi="Times New Roman"/>
        </w:rPr>
        <w:t>jej partnerami w</w:t>
      </w:r>
      <w:r>
        <w:rPr>
          <w:rFonts w:ascii="Times New Roman" w:hAnsi="Times New Roman"/>
        </w:rPr>
        <w:t> </w:t>
      </w:r>
      <w:r w:rsidRPr="00F920DE">
        <w:rPr>
          <w:rFonts w:ascii="Times New Roman" w:hAnsi="Times New Roman"/>
        </w:rPr>
        <w:t>dziedzinie pomocy humanitarnej określone są w</w:t>
      </w:r>
      <w:r>
        <w:rPr>
          <w:rFonts w:ascii="Times New Roman" w:hAnsi="Times New Roman"/>
        </w:rPr>
        <w:t> </w:t>
      </w:r>
      <w:r w:rsidRPr="00F920DE">
        <w:rPr>
          <w:rFonts w:ascii="Times New Roman" w:hAnsi="Times New Roman"/>
        </w:rPr>
        <w:t>ramowych umowach finansowo-administracyjnych z</w:t>
      </w:r>
      <w:r>
        <w:rPr>
          <w:rFonts w:ascii="Times New Roman" w:hAnsi="Times New Roman"/>
        </w:rPr>
        <w:t> </w:t>
      </w:r>
      <w:r w:rsidRPr="00F920DE">
        <w:rPr>
          <w:rFonts w:ascii="Times New Roman" w:hAnsi="Times New Roman"/>
        </w:rPr>
        <w:t>organizacjami międzynarodowymi oraz w</w:t>
      </w:r>
      <w:r>
        <w:rPr>
          <w:rFonts w:ascii="Times New Roman" w:hAnsi="Times New Roman"/>
        </w:rPr>
        <w:t> </w:t>
      </w:r>
      <w:r w:rsidRPr="00F920DE">
        <w:rPr>
          <w:rFonts w:ascii="Times New Roman" w:hAnsi="Times New Roman"/>
        </w:rPr>
        <w:t>umowach partnerstwa ramowego z</w:t>
      </w:r>
      <w:r>
        <w:rPr>
          <w:rFonts w:ascii="Times New Roman" w:hAnsi="Times New Roman"/>
        </w:rPr>
        <w:t> </w:t>
      </w:r>
      <w:r w:rsidRPr="00F920DE">
        <w:rPr>
          <w:rFonts w:ascii="Times New Roman" w:hAnsi="Times New Roman"/>
        </w:rPr>
        <w:t>organizacjami pozarządowym.</w:t>
      </w:r>
    </w:p>
  </w:footnote>
  <w:footnote w:id="43">
    <w:p w:rsidR="00DA7D28" w:rsidRPr="00F920DE" w:rsidRDefault="00DA7D28" w:rsidP="0033748D">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Obejmuje to również uchodźców, którzy skorzystali z</w:t>
      </w:r>
      <w:r>
        <w:rPr>
          <w:rFonts w:ascii="Times New Roman" w:hAnsi="Times New Roman"/>
        </w:rPr>
        <w:t> </w:t>
      </w:r>
      <w:r w:rsidRPr="00F920DE">
        <w:rPr>
          <w:rFonts w:ascii="Times New Roman" w:hAnsi="Times New Roman"/>
        </w:rPr>
        <w:t>siatki bezpieczeństwa socjalnego w</w:t>
      </w:r>
      <w:r>
        <w:rPr>
          <w:rFonts w:ascii="Times New Roman" w:hAnsi="Times New Roman"/>
        </w:rPr>
        <w:t> </w:t>
      </w:r>
      <w:r w:rsidRPr="00F920DE">
        <w:rPr>
          <w:rFonts w:ascii="Times New Roman" w:hAnsi="Times New Roman"/>
        </w:rPr>
        <w:t>sytuacjach nadzwyczajnych, oraz z</w:t>
      </w:r>
      <w:r>
        <w:rPr>
          <w:rFonts w:ascii="Times New Roman" w:hAnsi="Times New Roman"/>
        </w:rPr>
        <w:t> </w:t>
      </w:r>
      <w:r w:rsidRPr="00F920DE">
        <w:rPr>
          <w:rFonts w:ascii="Times New Roman" w:hAnsi="Times New Roman"/>
        </w:rPr>
        <w:t>wcześniejszych programów podobnego rodzaju.</w:t>
      </w:r>
    </w:p>
  </w:footnote>
  <w:footnote w:id="44">
    <w:p w:rsidR="00DA7D28" w:rsidRPr="00F920DE" w:rsidRDefault="00DA7D28" w:rsidP="0033748D">
      <w:pPr>
        <w:pStyle w:val="FootnoteText"/>
        <w:jc w:val="both"/>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Informacje dostępne pod adresem: </w:t>
      </w:r>
      <w:hyperlink r:id="rId19">
        <w:r w:rsidRPr="00F920DE">
          <w:rPr>
            <w:rStyle w:val="Hyperlink"/>
            <w:rFonts w:ascii="Times New Roman" w:hAnsi="Times New Roman"/>
          </w:rPr>
          <w:t>https://ec.europa.eu/echo/financing-decisions-hips-2018_en</w:t>
        </w:r>
      </w:hyperlink>
      <w:r w:rsidRPr="00F920DE">
        <w:rPr>
          <w:rFonts w:ascii="Times New Roman" w:hAnsi="Times New Roman"/>
        </w:rPr>
        <w:t xml:space="preserve"> </w:t>
      </w:r>
    </w:p>
  </w:footnote>
  <w:footnote w:id="45">
    <w:p w:rsidR="00DA7D28" w:rsidRPr="00F920DE" w:rsidRDefault="00DA7D28" w:rsidP="0033748D">
      <w:pPr>
        <w:pStyle w:val="FootnoteText"/>
        <w:jc w:val="both"/>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Uchodźcy mogli skorzystać z</w:t>
      </w:r>
      <w:r>
        <w:rPr>
          <w:rFonts w:ascii="Times New Roman" w:hAnsi="Times New Roman"/>
        </w:rPr>
        <w:t> </w:t>
      </w:r>
      <w:r w:rsidRPr="00F920DE">
        <w:rPr>
          <w:rFonts w:ascii="Times New Roman" w:hAnsi="Times New Roman"/>
        </w:rPr>
        <w:t>więcej niż jednej usługi, ale łączne wartości liczbowe nie uwzględniają takich przypadków nakładania się.</w:t>
      </w:r>
    </w:p>
  </w:footnote>
  <w:footnote w:id="46">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20" w:history="1">
        <w:r w:rsidRPr="00EC3011">
          <w:rPr>
            <w:rStyle w:val="Hyperlink"/>
            <w:rFonts w:ascii="Times New Roman" w:hAnsi="Times New Roman"/>
          </w:rPr>
          <w:t>https://ec.europa.eu/echo/blog/turkey-conditional-cash-transfer-education-programme-increases-school-attendance-syrian-and_en</w:t>
        </w:r>
      </w:hyperlink>
      <w:r>
        <w:rPr>
          <w:rFonts w:ascii="Times New Roman" w:hAnsi="Times New Roman"/>
        </w:rPr>
        <w:t xml:space="preserve"> </w:t>
      </w:r>
    </w:p>
  </w:footnote>
  <w:footnote w:id="47">
    <w:p w:rsidR="00DA7D28" w:rsidRPr="00F920DE" w:rsidRDefault="00DA7D28">
      <w:pPr>
        <w:pStyle w:val="FootnoteText"/>
        <w:jc w:val="both"/>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Kwota ta obejmuje również wydatki w</w:t>
      </w:r>
      <w:r>
        <w:rPr>
          <w:rFonts w:ascii="Times New Roman" w:hAnsi="Times New Roman"/>
        </w:rPr>
        <w:t> </w:t>
      </w:r>
      <w:r w:rsidRPr="00F920DE">
        <w:rPr>
          <w:rFonts w:ascii="Times New Roman" w:hAnsi="Times New Roman"/>
        </w:rPr>
        <w:t>ramach projektów realizowanych przez regionalny fundusz powierniczy UE w</w:t>
      </w:r>
      <w:r>
        <w:rPr>
          <w:rFonts w:ascii="Times New Roman" w:hAnsi="Times New Roman"/>
        </w:rPr>
        <w:t> </w:t>
      </w:r>
      <w:r w:rsidRPr="00F920DE">
        <w:rPr>
          <w:rFonts w:ascii="Times New Roman" w:hAnsi="Times New Roman"/>
        </w:rPr>
        <w:t>odpowiedzi na kryzys w</w:t>
      </w:r>
      <w:r>
        <w:rPr>
          <w:rFonts w:ascii="Times New Roman" w:hAnsi="Times New Roman"/>
        </w:rPr>
        <w:t> </w:t>
      </w:r>
      <w:r w:rsidRPr="00F920DE">
        <w:rPr>
          <w:rFonts w:ascii="Times New Roman" w:hAnsi="Times New Roman"/>
        </w:rPr>
        <w:t>Syrii, które nie zostały jeszcze pokryte z</w:t>
      </w:r>
      <w:r>
        <w:rPr>
          <w:rFonts w:ascii="Times New Roman" w:hAnsi="Times New Roman"/>
        </w:rPr>
        <w:t> </w:t>
      </w:r>
      <w:r w:rsidRPr="00F920DE">
        <w:rPr>
          <w:rFonts w:ascii="Times New Roman" w:hAnsi="Times New Roman"/>
        </w:rPr>
        <w:t>budżetu UE.</w:t>
      </w:r>
    </w:p>
  </w:footnote>
  <w:footnote w:id="48">
    <w:p w:rsidR="00DA7D28" w:rsidRPr="00F920DE" w:rsidRDefault="00DA7D28">
      <w:pPr>
        <w:pStyle w:val="FootnoteText"/>
        <w:jc w:val="both"/>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Środkami z</w:t>
      </w:r>
      <w:r>
        <w:rPr>
          <w:rFonts w:ascii="Times New Roman" w:hAnsi="Times New Roman"/>
        </w:rPr>
        <w:t> </w:t>
      </w:r>
      <w:r w:rsidRPr="00F920DE">
        <w:rPr>
          <w:rFonts w:ascii="Times New Roman" w:hAnsi="Times New Roman"/>
        </w:rPr>
        <w:t>Instrumentu Pomocy Przedakcesyjnej w</w:t>
      </w:r>
      <w:r>
        <w:rPr>
          <w:rFonts w:ascii="Times New Roman" w:hAnsi="Times New Roman"/>
        </w:rPr>
        <w:t> </w:t>
      </w:r>
      <w:r w:rsidRPr="00F920DE">
        <w:rPr>
          <w:rFonts w:ascii="Times New Roman" w:hAnsi="Times New Roman"/>
        </w:rPr>
        <w:t>ramach instrumentu zarządza się zgodnie z</w:t>
      </w:r>
      <w:r>
        <w:rPr>
          <w:rFonts w:ascii="Times New Roman" w:hAnsi="Times New Roman"/>
        </w:rPr>
        <w:t> </w:t>
      </w:r>
      <w:r w:rsidRPr="00F920DE">
        <w:rPr>
          <w:rFonts w:ascii="Times New Roman" w:hAnsi="Times New Roman"/>
        </w:rPr>
        <w:t>zasadami działań zewnętrznych zawartymi w</w:t>
      </w:r>
      <w:r>
        <w:rPr>
          <w:rFonts w:ascii="Times New Roman" w:hAnsi="Times New Roman"/>
        </w:rPr>
        <w:t> </w:t>
      </w:r>
      <w:r w:rsidRPr="00F920DE">
        <w:rPr>
          <w:rFonts w:ascii="Times New Roman" w:hAnsi="Times New Roman"/>
        </w:rPr>
        <w:t>części drugiej tytuł IV rozporządzenia finansowego i</w:t>
      </w:r>
      <w:r>
        <w:rPr>
          <w:rFonts w:ascii="Times New Roman" w:hAnsi="Times New Roman"/>
        </w:rPr>
        <w:t> </w:t>
      </w:r>
      <w:r w:rsidRPr="00F920DE">
        <w:rPr>
          <w:rFonts w:ascii="Times New Roman" w:hAnsi="Times New Roman"/>
        </w:rPr>
        <w:t>zasad jego stosowania. Więcej szczegółów – zob. drugie sprawozdanie roczne dotyczące instrumentu.</w:t>
      </w:r>
    </w:p>
  </w:footnote>
  <w:footnote w:id="49">
    <w:p w:rsidR="00DA7D28" w:rsidRPr="00F920DE" w:rsidRDefault="00DA7D28" w:rsidP="002C6752">
      <w:pPr>
        <w:pStyle w:val="FootnoteText"/>
        <w:jc w:val="both"/>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PICTES oznacza „Promowanie integracji dzieci syryjskich w</w:t>
      </w:r>
      <w:r>
        <w:rPr>
          <w:rFonts w:ascii="Times New Roman" w:hAnsi="Times New Roman"/>
        </w:rPr>
        <w:t> </w:t>
      </w:r>
      <w:r w:rsidRPr="00F920DE">
        <w:rPr>
          <w:rFonts w:ascii="Times New Roman" w:hAnsi="Times New Roman"/>
        </w:rPr>
        <w:t>tureckim systemie szkolnictwa” (ang. „Promoting Integration of Syrian children into Turkish Education System”). Ma on postać bezpośredniej dotacji w</w:t>
      </w:r>
      <w:r>
        <w:rPr>
          <w:rFonts w:ascii="Times New Roman" w:hAnsi="Times New Roman"/>
        </w:rPr>
        <w:t> </w:t>
      </w:r>
      <w:r w:rsidRPr="00F920DE">
        <w:rPr>
          <w:rFonts w:ascii="Times New Roman" w:hAnsi="Times New Roman"/>
        </w:rPr>
        <w:t>wysokości 300 mln EUR na rzecz Ministerstwa Edukacji Narodowej i</w:t>
      </w:r>
      <w:r>
        <w:rPr>
          <w:rFonts w:ascii="Times New Roman" w:hAnsi="Times New Roman"/>
        </w:rPr>
        <w:t> </w:t>
      </w:r>
      <w:r w:rsidRPr="00F920DE">
        <w:rPr>
          <w:rFonts w:ascii="Times New Roman" w:hAnsi="Times New Roman"/>
        </w:rPr>
        <w:t>służy integracji syryjskich dzieci w</w:t>
      </w:r>
      <w:r>
        <w:rPr>
          <w:rFonts w:ascii="Times New Roman" w:hAnsi="Times New Roman"/>
        </w:rPr>
        <w:t> </w:t>
      </w:r>
      <w:r w:rsidRPr="00F920DE">
        <w:rPr>
          <w:rFonts w:ascii="Times New Roman" w:hAnsi="Times New Roman"/>
        </w:rPr>
        <w:t>tureckim systemie szkolnictwa.</w:t>
      </w:r>
    </w:p>
  </w:footnote>
  <w:footnote w:id="50">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PIKTES oznacza „Promowanie integracji dzieci syryjskich w</w:t>
      </w:r>
      <w:r>
        <w:rPr>
          <w:rFonts w:ascii="Times New Roman" w:hAnsi="Times New Roman"/>
        </w:rPr>
        <w:t> </w:t>
      </w:r>
      <w:r w:rsidRPr="00F920DE">
        <w:rPr>
          <w:rFonts w:ascii="Times New Roman" w:hAnsi="Times New Roman"/>
        </w:rPr>
        <w:t>tureckim systemie szkolnictwa” (ang. „Promoting Integration of Syrian Kids into Turkish Education System”). Ma on postać bezpośredniej dotacji w</w:t>
      </w:r>
      <w:r>
        <w:rPr>
          <w:rFonts w:ascii="Times New Roman" w:hAnsi="Times New Roman"/>
        </w:rPr>
        <w:t> </w:t>
      </w:r>
      <w:r w:rsidRPr="00F920DE">
        <w:rPr>
          <w:rFonts w:ascii="Times New Roman" w:hAnsi="Times New Roman"/>
        </w:rPr>
        <w:t>wysokości 400 mln EUR na rzecz Ministerstwa Edukacji Narodowej i</w:t>
      </w:r>
      <w:r>
        <w:rPr>
          <w:rFonts w:ascii="Times New Roman" w:hAnsi="Times New Roman"/>
        </w:rPr>
        <w:t> </w:t>
      </w:r>
      <w:r w:rsidRPr="00F920DE">
        <w:rPr>
          <w:rFonts w:ascii="Times New Roman" w:hAnsi="Times New Roman"/>
        </w:rPr>
        <w:t>służy integracji syryjskich dzieci w</w:t>
      </w:r>
      <w:r>
        <w:rPr>
          <w:rFonts w:ascii="Times New Roman" w:hAnsi="Times New Roman"/>
        </w:rPr>
        <w:t> </w:t>
      </w:r>
      <w:r w:rsidRPr="00F920DE">
        <w:rPr>
          <w:rFonts w:ascii="Times New Roman" w:hAnsi="Times New Roman"/>
        </w:rPr>
        <w:t>tureckim systemie szkolnictwa.</w:t>
      </w:r>
    </w:p>
  </w:footnote>
  <w:footnote w:id="51">
    <w:p w:rsidR="00DA7D28" w:rsidRPr="00F920DE" w:rsidRDefault="00DA7D28" w:rsidP="007E2168">
      <w:pPr>
        <w:pStyle w:val="FootnoteText"/>
        <w:jc w:val="both"/>
        <w:rPr>
          <w:rFonts w:ascii="Times New Roman" w:eastAsiaTheme="minorHAnsi" w:hAnsi="Times New Roman"/>
          <w:lang w:val="en-GB" w:eastAsia="en-US"/>
        </w:rPr>
      </w:pPr>
      <w:r w:rsidRPr="00F920DE">
        <w:rPr>
          <w:rStyle w:val="FootnoteReference"/>
          <w:rFonts w:ascii="Times New Roman" w:hAnsi="Times New Roman"/>
        </w:rPr>
        <w:footnoteRef/>
      </w:r>
      <w:r w:rsidRPr="00F920DE">
        <w:rPr>
          <w:rFonts w:ascii="Times New Roman" w:hAnsi="Times New Roman"/>
        </w:rPr>
        <w:t xml:space="preserve"> </w:t>
      </w:r>
      <w:r w:rsidRPr="00F920DE">
        <w:rPr>
          <w:rFonts w:ascii="Times New Roman" w:eastAsiaTheme="minorHAnsi" w:hAnsi="Times New Roman"/>
        </w:rPr>
        <w:t>SIHHAT oznacza „Poprawa statusu zdrowotnego ludności syryjskiej objętej tymczasową ochroną i</w:t>
      </w:r>
      <w:r>
        <w:rPr>
          <w:rFonts w:ascii="Times New Roman" w:eastAsiaTheme="minorHAnsi" w:hAnsi="Times New Roman"/>
        </w:rPr>
        <w:t> </w:t>
      </w:r>
      <w:r w:rsidRPr="00F920DE">
        <w:rPr>
          <w:rFonts w:ascii="Times New Roman" w:eastAsiaTheme="minorHAnsi" w:hAnsi="Times New Roman"/>
        </w:rPr>
        <w:t xml:space="preserve">usługi powiązane” (ang. </w:t>
      </w:r>
      <w:r w:rsidRPr="00F920DE">
        <w:rPr>
          <w:rFonts w:ascii="Times New Roman" w:eastAsiaTheme="minorHAnsi" w:hAnsi="Times New Roman"/>
          <w:lang w:val="en-GB"/>
        </w:rPr>
        <w:t>„Improving the health status of the Syrian population under temporary protection and related services”) i</w:t>
      </w:r>
      <w:r>
        <w:rPr>
          <w:rFonts w:ascii="Times New Roman" w:eastAsiaTheme="minorHAnsi" w:hAnsi="Times New Roman"/>
          <w:lang w:val="en-GB"/>
        </w:rPr>
        <w:t> </w:t>
      </w:r>
      <w:r w:rsidRPr="00F920DE">
        <w:rPr>
          <w:rFonts w:ascii="Times New Roman" w:eastAsiaTheme="minorHAnsi" w:hAnsi="Times New Roman"/>
          <w:lang w:val="en-GB"/>
        </w:rPr>
        <w:t>realizowany jest</w:t>
      </w:r>
      <w:r w:rsidRPr="00C95BE4">
        <w:rPr>
          <w:rFonts w:ascii="Times New Roman" w:eastAsiaTheme="minorHAnsi" w:hAnsi="Times New Roman"/>
          <w:lang w:val="en-GB"/>
        </w:rPr>
        <w:t xml:space="preserve"> przez władze tureckie</w:t>
      </w:r>
      <w:r w:rsidRPr="00F920DE">
        <w:rPr>
          <w:rFonts w:ascii="Times New Roman" w:eastAsiaTheme="minorHAnsi" w:hAnsi="Times New Roman"/>
          <w:lang w:val="en-GB"/>
        </w:rPr>
        <w:t>.</w:t>
      </w:r>
    </w:p>
  </w:footnote>
  <w:footnote w:id="52">
    <w:p w:rsidR="00DA7D28" w:rsidRPr="00F920DE" w:rsidRDefault="00DA7D28" w:rsidP="007E216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118 lekarzy specjalistów, 482 lekarzy prowadzących, 754 położne/pielęgniarki, 892 dwujęzycznych opiekunów pacjentów, 323 osoby zatrudnione jako personel pomocniczy.</w:t>
      </w:r>
    </w:p>
  </w:footnote>
  <w:footnote w:id="53">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Zob. tabelę projektów na stronie DG ds. Polityki Sąsiedztwa i</w:t>
      </w:r>
      <w:r>
        <w:rPr>
          <w:rFonts w:ascii="Times New Roman" w:hAnsi="Times New Roman"/>
        </w:rPr>
        <w:t> </w:t>
      </w:r>
      <w:r w:rsidRPr="00F920DE">
        <w:rPr>
          <w:rFonts w:ascii="Times New Roman" w:hAnsi="Times New Roman"/>
        </w:rPr>
        <w:t>Negocjacji w</w:t>
      </w:r>
      <w:r>
        <w:rPr>
          <w:rFonts w:ascii="Times New Roman" w:hAnsi="Times New Roman"/>
        </w:rPr>
        <w:t> </w:t>
      </w:r>
      <w:r w:rsidRPr="00F920DE">
        <w:rPr>
          <w:rFonts w:ascii="Times New Roman" w:hAnsi="Times New Roman"/>
        </w:rPr>
        <w:t>sprawie Rozszerzenia, z</w:t>
      </w:r>
      <w:r>
        <w:rPr>
          <w:rFonts w:ascii="Times New Roman" w:hAnsi="Times New Roman"/>
        </w:rPr>
        <w:t> </w:t>
      </w:r>
      <w:r w:rsidRPr="00F920DE">
        <w:rPr>
          <w:rFonts w:ascii="Times New Roman" w:hAnsi="Times New Roman"/>
        </w:rPr>
        <w:t>wyjątkiem projektów wymienionych jako projekty w</w:t>
      </w:r>
      <w:r>
        <w:rPr>
          <w:rFonts w:ascii="Times New Roman" w:hAnsi="Times New Roman"/>
        </w:rPr>
        <w:t> </w:t>
      </w:r>
      <w:r w:rsidRPr="00F920DE">
        <w:rPr>
          <w:rFonts w:ascii="Times New Roman" w:hAnsi="Times New Roman"/>
        </w:rPr>
        <w:t xml:space="preserve">dziedzinie edukacji/wsparcia społeczno-ekonomicznego. </w:t>
      </w:r>
    </w:p>
  </w:footnote>
  <w:footnote w:id="54">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https://ec.europa.eu/neighbourhood-enlargement/sites/near/files/call_for_expression_of_interest_-_socio-economic_support.zip</w:t>
      </w:r>
    </w:p>
  </w:footnote>
  <w:footnote w:id="55">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21">
        <w:r w:rsidRPr="00F920DE">
          <w:rPr>
            <w:rStyle w:val="Hyperlink"/>
            <w:rFonts w:ascii="Times New Roman" w:hAnsi="Times New Roman"/>
          </w:rPr>
          <w:t>Ramy wyników instrumentu – sprawozdanie monitorujące</w:t>
        </w:r>
      </w:hyperlink>
    </w:p>
  </w:footnote>
  <w:footnote w:id="56">
    <w:p w:rsidR="00DA7D28" w:rsidRPr="00F920DE" w:rsidRDefault="00DA7D28" w:rsidP="00A43470">
      <w:pPr>
        <w:jc w:val="both"/>
        <w:rPr>
          <w:rFonts w:ascii="Times New Roman" w:eastAsia="Times New Roman" w:hAnsi="Times New Roman"/>
          <w:sz w:val="20"/>
          <w:szCs w:val="20"/>
        </w:rPr>
      </w:pPr>
      <w:r w:rsidRPr="00F920DE">
        <w:rPr>
          <w:rStyle w:val="FootnoteReference"/>
          <w:rFonts w:ascii="Times New Roman" w:hAnsi="Times New Roman"/>
        </w:rPr>
        <w:footnoteRef/>
      </w:r>
      <w:r w:rsidRPr="00F920DE">
        <w:rPr>
          <w:rFonts w:ascii="Times New Roman" w:hAnsi="Times New Roman"/>
          <w:sz w:val="20"/>
          <w:szCs w:val="20"/>
        </w:rPr>
        <w:t xml:space="preserve"> Decyzja wykonawcza Komisji C(2017) 3378 z</w:t>
      </w:r>
      <w:r>
        <w:rPr>
          <w:rFonts w:ascii="Times New Roman" w:hAnsi="Times New Roman"/>
          <w:sz w:val="20"/>
          <w:szCs w:val="20"/>
        </w:rPr>
        <w:t> </w:t>
      </w:r>
      <w:r w:rsidRPr="00F920DE">
        <w:rPr>
          <w:rFonts w:ascii="Times New Roman" w:hAnsi="Times New Roman"/>
          <w:sz w:val="20"/>
          <w:szCs w:val="20"/>
        </w:rPr>
        <w:t>23.5.2017 w</w:t>
      </w:r>
      <w:r>
        <w:rPr>
          <w:rFonts w:ascii="Times New Roman" w:hAnsi="Times New Roman"/>
          <w:sz w:val="20"/>
          <w:szCs w:val="20"/>
        </w:rPr>
        <w:t> </w:t>
      </w:r>
      <w:r w:rsidRPr="00F920DE">
        <w:rPr>
          <w:rFonts w:ascii="Times New Roman" w:hAnsi="Times New Roman"/>
          <w:sz w:val="20"/>
          <w:szCs w:val="20"/>
        </w:rPr>
        <w:t>sprawie środka wsparcia w</w:t>
      </w:r>
      <w:r>
        <w:rPr>
          <w:rFonts w:ascii="Times New Roman" w:hAnsi="Times New Roman"/>
          <w:sz w:val="20"/>
          <w:szCs w:val="20"/>
        </w:rPr>
        <w:t> </w:t>
      </w:r>
      <w:r w:rsidRPr="00F920DE">
        <w:rPr>
          <w:rFonts w:ascii="Times New Roman" w:hAnsi="Times New Roman"/>
          <w:sz w:val="20"/>
          <w:szCs w:val="20"/>
        </w:rPr>
        <w:t>zakresie monitorowania, oceny, audytu i</w:t>
      </w:r>
      <w:r>
        <w:rPr>
          <w:rFonts w:ascii="Times New Roman" w:hAnsi="Times New Roman"/>
          <w:sz w:val="20"/>
          <w:szCs w:val="20"/>
        </w:rPr>
        <w:t> </w:t>
      </w:r>
      <w:r w:rsidRPr="00F920DE">
        <w:rPr>
          <w:rFonts w:ascii="Times New Roman" w:hAnsi="Times New Roman"/>
          <w:sz w:val="20"/>
          <w:szCs w:val="20"/>
        </w:rPr>
        <w:t>komunikacji na potrzeby Instrumentu Pomocy dla Uchodźców w</w:t>
      </w:r>
      <w:r>
        <w:rPr>
          <w:rFonts w:ascii="Times New Roman" w:hAnsi="Times New Roman"/>
          <w:sz w:val="20"/>
          <w:szCs w:val="20"/>
        </w:rPr>
        <w:t> </w:t>
      </w:r>
      <w:r w:rsidRPr="00F920DE">
        <w:rPr>
          <w:rFonts w:ascii="Times New Roman" w:hAnsi="Times New Roman"/>
          <w:sz w:val="20"/>
          <w:szCs w:val="20"/>
        </w:rPr>
        <w:t xml:space="preserve">Turcji. </w:t>
      </w:r>
    </w:p>
  </w:footnote>
  <w:footnote w:id="57">
    <w:p w:rsidR="00DA7D28" w:rsidRPr="00F920DE" w:rsidRDefault="00DA7D28" w:rsidP="009E2AED">
      <w:pPr>
        <w:rPr>
          <w:rFonts w:ascii="Times New Roman" w:hAnsi="Times New Roman"/>
          <w:color w:val="000000"/>
          <w:sz w:val="20"/>
          <w:szCs w:val="20"/>
        </w:rPr>
      </w:pPr>
      <w:r w:rsidRPr="00F920DE">
        <w:rPr>
          <w:rStyle w:val="FootnoteReference"/>
          <w:rFonts w:ascii="Times New Roman" w:hAnsi="Times New Roman"/>
        </w:rPr>
        <w:footnoteRef/>
      </w:r>
      <w:r w:rsidRPr="00F920DE">
        <w:rPr>
          <w:rFonts w:ascii="Times New Roman" w:hAnsi="Times New Roman"/>
          <w:sz w:val="20"/>
          <w:szCs w:val="20"/>
        </w:rPr>
        <w:t xml:space="preserve"> Przykłady: </w:t>
      </w:r>
      <w:r w:rsidRPr="00F920DE">
        <w:rPr>
          <w:rFonts w:ascii="Times New Roman" w:hAnsi="Times New Roman"/>
          <w:color w:val="000000"/>
          <w:sz w:val="20"/>
          <w:szCs w:val="20"/>
        </w:rPr>
        <w:t>ocena działań humanitarnych Unii Europejskiej podjętych w</w:t>
      </w:r>
      <w:r>
        <w:rPr>
          <w:rFonts w:ascii="Times New Roman" w:hAnsi="Times New Roman"/>
          <w:color w:val="000000"/>
          <w:sz w:val="20"/>
          <w:szCs w:val="20"/>
        </w:rPr>
        <w:t> </w:t>
      </w:r>
      <w:r w:rsidRPr="00F920DE">
        <w:rPr>
          <w:rFonts w:ascii="Times New Roman" w:hAnsi="Times New Roman"/>
          <w:color w:val="000000"/>
          <w:sz w:val="20"/>
          <w:szCs w:val="20"/>
        </w:rPr>
        <w:t>odpowiedzi na kryzys uchodźczy w</w:t>
      </w:r>
      <w:r>
        <w:rPr>
          <w:rFonts w:ascii="Times New Roman" w:hAnsi="Times New Roman"/>
          <w:color w:val="000000"/>
          <w:sz w:val="20"/>
          <w:szCs w:val="20"/>
        </w:rPr>
        <w:t> </w:t>
      </w:r>
      <w:r w:rsidRPr="00F920DE">
        <w:rPr>
          <w:rFonts w:ascii="Times New Roman" w:hAnsi="Times New Roman"/>
          <w:color w:val="000000"/>
          <w:sz w:val="20"/>
          <w:szCs w:val="20"/>
        </w:rPr>
        <w:t>Turcji, 2016–2017; ocena siatki bezpieczeństwa socjalnego w</w:t>
      </w:r>
      <w:r>
        <w:rPr>
          <w:rFonts w:ascii="Times New Roman" w:hAnsi="Times New Roman"/>
          <w:color w:val="000000"/>
          <w:sz w:val="20"/>
          <w:szCs w:val="20"/>
        </w:rPr>
        <w:t> </w:t>
      </w:r>
      <w:r w:rsidRPr="00F920DE">
        <w:rPr>
          <w:rFonts w:ascii="Times New Roman" w:hAnsi="Times New Roman"/>
          <w:color w:val="000000"/>
          <w:sz w:val="20"/>
          <w:szCs w:val="20"/>
        </w:rPr>
        <w:t>sytuacjach nadzwyczajnych (ESSN) finansowanego przez DG ECHO w</w:t>
      </w:r>
      <w:r>
        <w:rPr>
          <w:rFonts w:ascii="Times New Roman" w:hAnsi="Times New Roman"/>
          <w:color w:val="000000"/>
          <w:sz w:val="20"/>
          <w:szCs w:val="20"/>
        </w:rPr>
        <w:t> </w:t>
      </w:r>
      <w:r w:rsidRPr="00F920DE">
        <w:rPr>
          <w:rFonts w:ascii="Times New Roman" w:hAnsi="Times New Roman"/>
          <w:color w:val="000000"/>
          <w:sz w:val="20"/>
          <w:szCs w:val="20"/>
        </w:rPr>
        <w:t>Turcji, listopad 20</w:t>
      </w:r>
      <w:r w:rsidRPr="008E2A80">
        <w:rPr>
          <w:rFonts w:ascii="Times New Roman" w:hAnsi="Times New Roman"/>
          <w:color w:val="000000"/>
          <w:sz w:val="20"/>
          <w:szCs w:val="20"/>
        </w:rPr>
        <w:t>16 r.</w:t>
      </w:r>
      <w:r w:rsidRPr="00F920DE">
        <w:rPr>
          <w:rFonts w:ascii="Times New Roman" w:hAnsi="Times New Roman"/>
          <w:color w:val="000000"/>
          <w:sz w:val="20"/>
          <w:szCs w:val="20"/>
        </w:rPr>
        <w:t>–luty 20</w:t>
      </w:r>
      <w:r w:rsidRPr="008E2A80">
        <w:rPr>
          <w:rFonts w:ascii="Times New Roman" w:hAnsi="Times New Roman"/>
          <w:color w:val="000000"/>
          <w:sz w:val="20"/>
          <w:szCs w:val="20"/>
        </w:rPr>
        <w:t>18 r.</w:t>
      </w:r>
      <w:r w:rsidRPr="00F920DE">
        <w:rPr>
          <w:rFonts w:ascii="Times New Roman" w:hAnsi="Times New Roman"/>
          <w:color w:val="000000"/>
          <w:sz w:val="20"/>
          <w:szCs w:val="20"/>
        </w:rPr>
        <w:t>; śródokresowa ocena strategiczna regionalnego funduszu powierniczego UE w</w:t>
      </w:r>
      <w:r>
        <w:rPr>
          <w:rFonts w:ascii="Times New Roman" w:hAnsi="Times New Roman"/>
          <w:color w:val="000000"/>
          <w:sz w:val="20"/>
          <w:szCs w:val="20"/>
        </w:rPr>
        <w:t> </w:t>
      </w:r>
      <w:r w:rsidRPr="00F920DE">
        <w:rPr>
          <w:rFonts w:ascii="Times New Roman" w:hAnsi="Times New Roman"/>
          <w:color w:val="000000"/>
          <w:sz w:val="20"/>
          <w:szCs w:val="20"/>
        </w:rPr>
        <w:t>odpowiedzi na kryzys w</w:t>
      </w:r>
      <w:r>
        <w:rPr>
          <w:rFonts w:ascii="Times New Roman" w:hAnsi="Times New Roman"/>
          <w:color w:val="000000"/>
          <w:sz w:val="20"/>
          <w:szCs w:val="20"/>
        </w:rPr>
        <w:t> </w:t>
      </w:r>
      <w:r w:rsidRPr="00F920DE">
        <w:rPr>
          <w:rFonts w:ascii="Times New Roman" w:hAnsi="Times New Roman"/>
          <w:color w:val="000000"/>
          <w:sz w:val="20"/>
          <w:szCs w:val="20"/>
        </w:rPr>
        <w:t>Syrii.</w:t>
      </w:r>
    </w:p>
  </w:footnote>
  <w:footnote w:id="58">
    <w:p w:rsidR="00DA7D28" w:rsidRPr="00F920DE" w:rsidRDefault="00DA7D2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Sprawozdanie Europejskiego Trybunału Obrachunkowego: </w:t>
      </w:r>
      <w:hyperlink r:id="rId22">
        <w:r w:rsidRPr="00F920DE">
          <w:rPr>
            <w:rStyle w:val="Hyperlink"/>
            <w:rFonts w:ascii="Times New Roman" w:hAnsi="Times New Roman"/>
          </w:rPr>
          <w:t>https://www.eca.europa.eu/Lists/ECADocuments/SR18_27/SR_TRF_PL.pdf</w:t>
        </w:r>
      </w:hyperlink>
      <w:r w:rsidRPr="00F920DE">
        <w:rPr>
          <w:rFonts w:ascii="Times New Roman" w:hAnsi="Times New Roman"/>
        </w:rPr>
        <w:t xml:space="preserve"> </w:t>
      </w:r>
    </w:p>
  </w:footnote>
  <w:footnote w:id="59">
    <w:p w:rsidR="00DA7D28" w:rsidRPr="00F920DE" w:rsidRDefault="00DA7D28">
      <w:pPr>
        <w:pStyle w:val="FootnoteText"/>
        <w:rPr>
          <w:rFonts w:ascii="Times New Roman" w:eastAsia="Times New Roman" w:hAnsi="Times New Roman"/>
        </w:rPr>
      </w:pPr>
      <w:r w:rsidRPr="00F920DE">
        <w:rPr>
          <w:rStyle w:val="FootnoteReference"/>
          <w:rFonts w:ascii="Times New Roman" w:hAnsi="Times New Roman"/>
        </w:rPr>
        <w:footnoteRef/>
      </w:r>
      <w:r w:rsidRPr="00F920DE">
        <w:rPr>
          <w:rFonts w:ascii="Times New Roman" w:hAnsi="Times New Roman"/>
        </w:rPr>
        <w:t xml:space="preserve"> 180 tys. osób obejrzało je za pośrednictwem Facebooka, 65 tys. – Twittera, tysiąc zalajkowało na portalu YouTube, a</w:t>
      </w:r>
      <w:r>
        <w:rPr>
          <w:rFonts w:ascii="Times New Roman" w:hAnsi="Times New Roman"/>
        </w:rPr>
        <w:t> </w:t>
      </w:r>
      <w:r w:rsidRPr="00F920DE">
        <w:rPr>
          <w:rFonts w:ascii="Times New Roman" w:hAnsi="Times New Roman"/>
        </w:rPr>
        <w:t>6 tys. dowiedziało się o</w:t>
      </w:r>
      <w:r>
        <w:rPr>
          <w:rFonts w:ascii="Times New Roman" w:hAnsi="Times New Roman"/>
        </w:rPr>
        <w:t> </w:t>
      </w:r>
      <w:r w:rsidRPr="00F920DE">
        <w:rPr>
          <w:rFonts w:ascii="Times New Roman" w:hAnsi="Times New Roman"/>
        </w:rPr>
        <w:t>wydarzeniu na pośrednictwem Instagramu.</w:t>
      </w:r>
    </w:p>
  </w:footnote>
  <w:footnote w:id="60">
    <w:p w:rsidR="00DA7D28" w:rsidRPr="00F920DE" w:rsidRDefault="00DA7D28" w:rsidP="00756F04">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Strona kampanii „Zwyczajne nadzwyczajne” i</w:t>
      </w:r>
      <w:r>
        <w:rPr>
          <w:rFonts w:ascii="Times New Roman" w:hAnsi="Times New Roman"/>
        </w:rPr>
        <w:t> </w:t>
      </w:r>
      <w:r w:rsidRPr="00F920DE">
        <w:rPr>
          <w:rFonts w:ascii="Times New Roman" w:hAnsi="Times New Roman"/>
        </w:rPr>
        <w:t xml:space="preserve">przykładowa relacja: </w:t>
      </w:r>
      <w:hyperlink r:id="rId23">
        <w:r w:rsidRPr="00F920DE">
          <w:rPr>
            <w:rStyle w:val="Hyperlink"/>
            <w:rFonts w:ascii="Times New Roman" w:hAnsi="Times New Roman"/>
          </w:rPr>
          <w:t>https://www.incredibleordinary.org/</w:t>
        </w:r>
      </w:hyperlink>
    </w:p>
    <w:p w:rsidR="00DA7D28" w:rsidRPr="00F920DE" w:rsidRDefault="00DA7D28" w:rsidP="00756F04">
      <w:pPr>
        <w:pStyle w:val="FootnoteText"/>
        <w:rPr>
          <w:rFonts w:ascii="Times New Roman" w:hAnsi="Times New Roman"/>
        </w:rPr>
      </w:pPr>
      <w:r w:rsidRPr="00F920DE">
        <w:rPr>
          <w:rFonts w:ascii="Times New Roman" w:hAnsi="Times New Roman"/>
        </w:rPr>
        <w:t xml:space="preserve"> </w:t>
      </w:r>
      <w:hyperlink r:id="rId24">
        <w:r w:rsidRPr="00F920DE">
          <w:rPr>
            <w:rStyle w:val="Hyperlink"/>
            <w:rFonts w:ascii="Times New Roman" w:hAnsi="Times New Roman"/>
          </w:rPr>
          <w:t>https://www.youtube.com/watch?v=80IhP3g4PiY&amp;list=PL3xTi8eO-wuv5sFdgYdrGeI-DK7FtZz2f</w:t>
        </w:r>
      </w:hyperlink>
    </w:p>
  </w:footnote>
  <w:footnote w:id="61">
    <w:p w:rsidR="00DA7D28" w:rsidRPr="00F920DE" w:rsidRDefault="00DA7D28" w:rsidP="000E15A8">
      <w:pPr>
        <w:pStyle w:val="FootnoteText"/>
        <w:rPr>
          <w:rFonts w:ascii="Times New Roman" w:hAnsi="Times New Roman"/>
        </w:rPr>
      </w:pPr>
      <w:r w:rsidRPr="00F920DE">
        <w:rPr>
          <w:rStyle w:val="FootnoteReference"/>
          <w:rFonts w:ascii="Times New Roman" w:hAnsi="Times New Roman"/>
        </w:rPr>
        <w:footnoteRef/>
      </w:r>
      <w:r>
        <w:rPr>
          <w:rFonts w:ascii="Times New Roman" w:hAnsi="Times New Roman"/>
        </w:rPr>
        <w:t xml:space="preserve"> </w:t>
      </w:r>
      <w:r w:rsidRPr="00F920DE">
        <w:rPr>
          <w:rFonts w:ascii="Times New Roman" w:hAnsi="Times New Roman"/>
        </w:rPr>
        <w:t>Dedykowany kanał YouTube z</w:t>
      </w:r>
      <w:r>
        <w:rPr>
          <w:rFonts w:ascii="Times New Roman" w:hAnsi="Times New Roman"/>
        </w:rPr>
        <w:t> </w:t>
      </w:r>
      <w:r w:rsidRPr="00F920DE">
        <w:rPr>
          <w:rFonts w:ascii="Times New Roman" w:hAnsi="Times New Roman"/>
        </w:rPr>
        <w:t xml:space="preserve">przykładami nagrań wideo: </w:t>
      </w:r>
      <w:hyperlink r:id="rId25">
        <w:r w:rsidRPr="00F920DE">
          <w:rPr>
            <w:rStyle w:val="Hyperlink"/>
            <w:rFonts w:ascii="Times New Roman" w:hAnsi="Times New Roman"/>
          </w:rPr>
          <w:t>https://www.youtube.com/channel/UC6FP0xxlSG8xtesxTG_xjkg</w:t>
        </w:r>
      </w:hyperlink>
    </w:p>
    <w:p w:rsidR="00DA7D28" w:rsidRPr="00F920DE" w:rsidRDefault="00C95BE4" w:rsidP="000E15A8">
      <w:pPr>
        <w:pStyle w:val="FootnoteText"/>
        <w:rPr>
          <w:rFonts w:ascii="Times New Roman" w:hAnsi="Times New Roman"/>
        </w:rPr>
      </w:pPr>
      <w:hyperlink r:id="rId26">
        <w:r w:rsidR="00DA7D28" w:rsidRPr="00F920DE">
          <w:rPr>
            <w:rStyle w:val="Hyperlink"/>
            <w:rFonts w:ascii="Times New Roman" w:hAnsi="Times New Roman"/>
          </w:rPr>
          <w:t>https://www.youtube.com/watch?v=ofRVziiCVss</w:t>
        </w:r>
      </w:hyperlink>
    </w:p>
    <w:p w:rsidR="00DA7D28" w:rsidRPr="00F920DE" w:rsidRDefault="00C95BE4" w:rsidP="000E15A8">
      <w:pPr>
        <w:pStyle w:val="FootnoteText"/>
        <w:rPr>
          <w:rFonts w:ascii="Times New Roman" w:hAnsi="Times New Roman"/>
        </w:rPr>
      </w:pPr>
      <w:hyperlink r:id="rId27">
        <w:r w:rsidR="00DA7D28" w:rsidRPr="00F920DE">
          <w:rPr>
            <w:rStyle w:val="Hyperlink"/>
            <w:rFonts w:ascii="Times New Roman" w:hAnsi="Times New Roman"/>
          </w:rPr>
          <w:t>https://www.youtube.com/watch?v=BR6AgSF8AJ4</w:t>
        </w:r>
      </w:hyperlink>
    </w:p>
    <w:p w:rsidR="00DA7D28" w:rsidRPr="00F920DE" w:rsidRDefault="00C95BE4" w:rsidP="000E15A8">
      <w:pPr>
        <w:pStyle w:val="FootnoteText"/>
        <w:rPr>
          <w:rFonts w:ascii="Times New Roman" w:hAnsi="Times New Roman"/>
        </w:rPr>
      </w:pPr>
      <w:hyperlink r:id="rId28">
        <w:r w:rsidR="00DA7D28" w:rsidRPr="00F920DE">
          <w:rPr>
            <w:rStyle w:val="Hyperlink"/>
            <w:rFonts w:ascii="Times New Roman" w:hAnsi="Times New Roman"/>
          </w:rPr>
          <w:t>https://www.youtube.com/watch?v=McaZl5tZAOM</w:t>
        </w:r>
      </w:hyperlink>
    </w:p>
    <w:p w:rsidR="00DA7D28" w:rsidRPr="00F920DE" w:rsidRDefault="00C95BE4" w:rsidP="000E15A8">
      <w:pPr>
        <w:pStyle w:val="FootnoteText"/>
        <w:rPr>
          <w:rFonts w:ascii="Times New Roman" w:hAnsi="Times New Roman"/>
        </w:rPr>
      </w:pPr>
      <w:hyperlink r:id="rId29">
        <w:r w:rsidR="00DA7D28" w:rsidRPr="00F920DE">
          <w:rPr>
            <w:rStyle w:val="Hyperlink"/>
            <w:rFonts w:ascii="Times New Roman" w:hAnsi="Times New Roman"/>
          </w:rPr>
          <w:t>https://www.youtube.com/watch?v=HQXZUPgl6Hk</w:t>
        </w:r>
      </w:hyperlink>
    </w:p>
  </w:footnote>
  <w:footnote w:id="62">
    <w:p w:rsidR="00DA7D28" w:rsidRPr="00F920DE" w:rsidRDefault="00DA7D28" w:rsidP="000E15A8">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Odcinek AidZone na kanale Euronews: </w:t>
      </w:r>
      <w:hyperlink r:id="rId30">
        <w:r w:rsidRPr="00F920DE">
          <w:rPr>
            <w:rStyle w:val="Hyperlink"/>
            <w:rFonts w:ascii="Times New Roman" w:hAnsi="Times New Roman"/>
          </w:rPr>
          <w:t>https://youtu.be/Sq3xkKXjBoc</w:t>
        </w:r>
      </w:hyperlink>
      <w:r w:rsidRPr="00F920DE">
        <w:rPr>
          <w:rFonts w:ascii="Times New Roman" w:hAnsi="Times New Roman"/>
        </w:rPr>
        <w:t xml:space="preserve"> </w:t>
      </w:r>
    </w:p>
  </w:footnote>
  <w:footnote w:id="63">
    <w:p w:rsidR="00DA7D28" w:rsidRPr="00F920DE" w:rsidRDefault="00DA7D28" w:rsidP="00862D35">
      <w:pPr>
        <w:pStyle w:val="FootnoteText"/>
        <w:rPr>
          <w:rFonts w:ascii="Times New Roman" w:hAnsi="Times New Roman"/>
        </w:rPr>
      </w:pPr>
      <w:r w:rsidRPr="00F920DE">
        <w:rPr>
          <w:rStyle w:val="FootnoteReference"/>
          <w:rFonts w:ascii="Times New Roman" w:hAnsi="Times New Roman"/>
        </w:rPr>
        <w:footnoteRef/>
      </w:r>
      <w:r w:rsidRPr="00F920DE">
        <w:rPr>
          <w:rFonts w:ascii="Times New Roman" w:hAnsi="Times New Roman"/>
        </w:rPr>
        <w:t xml:space="preserve"> </w:t>
      </w:r>
      <w:hyperlink r:id="rId31">
        <w:r w:rsidRPr="00F920DE">
          <w:rPr>
            <w:rStyle w:val="Hyperlink"/>
            <w:rFonts w:ascii="Times New Roman" w:hAnsi="Times New Roman"/>
          </w:rPr>
          <w:t>https://www.avrupa.info.tr/en/news/looking-inspiration-start-over-7487</w:t>
        </w:r>
      </w:hyperlink>
    </w:p>
    <w:p w:rsidR="00DA7D28" w:rsidRPr="00F920DE" w:rsidRDefault="00C95BE4" w:rsidP="00862D35">
      <w:pPr>
        <w:pStyle w:val="FootnoteText"/>
        <w:rPr>
          <w:rFonts w:ascii="Times New Roman" w:hAnsi="Times New Roman"/>
        </w:rPr>
      </w:pPr>
      <w:hyperlink r:id="rId32">
        <w:r w:rsidR="00DA7D28" w:rsidRPr="00F920DE">
          <w:rPr>
            <w:rStyle w:val="Hyperlink"/>
            <w:rFonts w:ascii="Times New Roman" w:hAnsi="Times New Roman"/>
          </w:rPr>
          <w:t>https://www.avrupa.info.tr/en/learning-language-key-new-life-7410</w:t>
        </w:r>
      </w:hyperlink>
    </w:p>
    <w:p w:rsidR="00DA7D28" w:rsidRPr="00F920DE" w:rsidRDefault="00DA7D28" w:rsidP="000E15A8">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4" w:rsidRPr="00C95BE4" w:rsidRDefault="00C95BE4" w:rsidP="00C95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4" w:rsidRPr="00C95BE4" w:rsidRDefault="00C95BE4" w:rsidP="00C95BE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4" w:rsidRPr="00C95BE4" w:rsidRDefault="00C95BE4" w:rsidP="00C95BE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28" w:rsidRDefault="00DA7D28">
    <w:pPr>
      <w:pStyle w:val="Header"/>
      <w:spacing w:after="1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28" w:rsidRDefault="00DA7D28">
    <w:pPr>
      <w:pStyle w:val="Header"/>
      <w:spacing w:after="1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Y="213"/>
      <w:tblW w:w="2426" w:type="dxa"/>
      <w:tblLayout w:type="fixed"/>
      <w:tblCellMar>
        <w:left w:w="0" w:type="dxa"/>
        <w:right w:w="0" w:type="dxa"/>
      </w:tblCellMar>
      <w:tblLook w:val="0000" w:firstRow="0" w:lastRow="0" w:firstColumn="0" w:lastColumn="0" w:noHBand="0" w:noVBand="0"/>
    </w:tblPr>
    <w:tblGrid>
      <w:gridCol w:w="2426"/>
    </w:tblGrid>
    <w:tr w:rsidR="00DA7D28">
      <w:trPr>
        <w:trHeight w:val="1334"/>
      </w:trPr>
      <w:tc>
        <w:tcPr>
          <w:tcW w:w="2426" w:type="dxa"/>
          <w:tcBorders>
            <w:top w:val="nil"/>
            <w:left w:val="nil"/>
            <w:bottom w:val="nil"/>
            <w:right w:val="nil"/>
          </w:tcBorders>
        </w:tcPr>
        <w:p w:rsidR="00DA7D28" w:rsidRDefault="00DA7D28">
          <w:pPr>
            <w:spacing w:line="276" w:lineRule="auto"/>
            <w:ind w:right="85"/>
            <w:rPr>
              <w:rFonts w:ascii="Arial" w:eastAsia="Arial" w:hAnsi="Arial"/>
            </w:rPr>
          </w:pPr>
          <w:r>
            <w:rPr>
              <w:noProof/>
              <w:sz w:val="20"/>
              <w:lang w:val="en-GB" w:eastAsia="en-GB" w:bidi="ar-SA"/>
            </w:rPr>
            <w:drawing>
              <wp:inline distT="0" distB="0" distL="0" distR="0" wp14:anchorId="69F351A4" wp14:editId="368FFDDC">
                <wp:extent cx="2676525" cy="800100"/>
                <wp:effectExtent l="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ivate/var/mobile/Containers/Data/Application/AF7FAA32-80C0-4BB0-8185-22037EEC4D20/tmp/Polaris/image4.png"/>
                        <pic:cNvPicPr>
                          <a:picLocks noChangeAspect="1" noChangeArrowheads="1"/>
                        </pic:cNvPicPr>
                      </pic:nvPicPr>
                      <pic:blipFill>
                        <a:blip r:embed="rId1" cstate="print"/>
                        <a:stretch>
                          <a:fillRect/>
                        </a:stretch>
                      </pic:blipFill>
                      <pic:spPr>
                        <a:xfrm>
                          <a:off x="0" y="0"/>
                          <a:ext cx="2677160" cy="800735"/>
                        </a:xfrm>
                        <a:prstGeom prst="rect">
                          <a:avLst/>
                        </a:prstGeom>
                        <a:ln cap="flat"/>
                      </pic:spPr>
                    </pic:pic>
                  </a:graphicData>
                </a:graphic>
              </wp:inline>
            </w:drawing>
          </w:r>
        </w:p>
      </w:tc>
    </w:tr>
  </w:tbl>
  <w:p w:rsidR="00DA7D28" w:rsidRDefault="00DA7D28">
    <w:pPr>
      <w:pStyle w:val="Header"/>
      <w:tabs>
        <w:tab w:val="center" w:pos="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EB565B2"/>
    <w:lvl w:ilvl="0" w:tplc="2D3A68A8">
      <w:start w:val="1"/>
      <w:numFmt w:val="bullet"/>
      <w:lvlText w:val="·"/>
      <w:lvlJc w:val="left"/>
      <w:pPr>
        <w:ind w:left="1080" w:hanging="360"/>
      </w:pPr>
      <w:rPr>
        <w:rFonts w:ascii="Symbol" w:eastAsia="Symbol" w:hAnsi="Symbol"/>
        <w:w w:val="100"/>
        <w:sz w:val="20"/>
        <w:szCs w:val="20"/>
        <w:shd w:val="clear" w:color="auto" w:fill="auto"/>
      </w:rPr>
    </w:lvl>
    <w:lvl w:ilvl="1" w:tplc="7D2CA338">
      <w:start w:val="1"/>
      <w:numFmt w:val="bullet"/>
      <w:lvlText w:val="o"/>
      <w:lvlJc w:val="left"/>
      <w:pPr>
        <w:ind w:left="1800" w:hanging="360"/>
      </w:pPr>
      <w:rPr>
        <w:rFonts w:ascii="Courier New" w:eastAsia="Courier New" w:hAnsi="Courier New"/>
        <w:w w:val="100"/>
        <w:sz w:val="20"/>
        <w:szCs w:val="20"/>
        <w:shd w:val="clear" w:color="auto" w:fill="auto"/>
      </w:rPr>
    </w:lvl>
    <w:lvl w:ilvl="2" w:tplc="14D8DFE4">
      <w:start w:val="1"/>
      <w:numFmt w:val="bullet"/>
      <w:lvlText w:val="§"/>
      <w:lvlJc w:val="left"/>
      <w:pPr>
        <w:ind w:left="2520" w:hanging="360"/>
      </w:pPr>
      <w:rPr>
        <w:rFonts w:ascii="Wingdings" w:eastAsia="Wingdings" w:hAnsi="Wingdings"/>
        <w:w w:val="100"/>
        <w:sz w:val="20"/>
        <w:szCs w:val="20"/>
        <w:shd w:val="clear" w:color="auto" w:fill="auto"/>
      </w:rPr>
    </w:lvl>
    <w:lvl w:ilvl="3" w:tplc="D036376C">
      <w:start w:val="1"/>
      <w:numFmt w:val="bullet"/>
      <w:lvlText w:val="·"/>
      <w:lvlJc w:val="left"/>
      <w:pPr>
        <w:ind w:left="3240" w:hanging="360"/>
      </w:pPr>
      <w:rPr>
        <w:rFonts w:ascii="Symbol" w:eastAsia="Symbol" w:hAnsi="Symbol"/>
        <w:w w:val="100"/>
        <w:sz w:val="20"/>
        <w:szCs w:val="20"/>
        <w:shd w:val="clear" w:color="auto" w:fill="auto"/>
      </w:rPr>
    </w:lvl>
    <w:lvl w:ilvl="4" w:tplc="BA74AD38">
      <w:start w:val="1"/>
      <w:numFmt w:val="bullet"/>
      <w:lvlText w:val="o"/>
      <w:lvlJc w:val="left"/>
      <w:pPr>
        <w:ind w:left="3960" w:hanging="360"/>
      </w:pPr>
      <w:rPr>
        <w:rFonts w:ascii="Courier New" w:eastAsia="Courier New" w:hAnsi="Courier New"/>
        <w:w w:val="100"/>
        <w:sz w:val="20"/>
        <w:szCs w:val="20"/>
        <w:shd w:val="clear" w:color="auto" w:fill="auto"/>
      </w:rPr>
    </w:lvl>
    <w:lvl w:ilvl="5" w:tplc="BB345E3C">
      <w:start w:val="1"/>
      <w:numFmt w:val="bullet"/>
      <w:lvlText w:val="§"/>
      <w:lvlJc w:val="left"/>
      <w:pPr>
        <w:ind w:left="4680" w:hanging="360"/>
      </w:pPr>
      <w:rPr>
        <w:rFonts w:ascii="Wingdings" w:eastAsia="Wingdings" w:hAnsi="Wingdings"/>
        <w:w w:val="100"/>
        <w:sz w:val="20"/>
        <w:szCs w:val="20"/>
        <w:shd w:val="clear" w:color="auto" w:fill="auto"/>
      </w:rPr>
    </w:lvl>
    <w:lvl w:ilvl="6" w:tplc="B9162674">
      <w:start w:val="1"/>
      <w:numFmt w:val="bullet"/>
      <w:lvlText w:val="·"/>
      <w:lvlJc w:val="left"/>
      <w:pPr>
        <w:ind w:left="5400" w:hanging="360"/>
      </w:pPr>
      <w:rPr>
        <w:rFonts w:ascii="Symbol" w:eastAsia="Symbol" w:hAnsi="Symbol"/>
        <w:w w:val="100"/>
        <w:sz w:val="20"/>
        <w:szCs w:val="20"/>
        <w:shd w:val="clear" w:color="auto" w:fill="auto"/>
      </w:rPr>
    </w:lvl>
    <w:lvl w:ilvl="7" w:tplc="9C62F604">
      <w:start w:val="1"/>
      <w:numFmt w:val="bullet"/>
      <w:lvlText w:val="o"/>
      <w:lvlJc w:val="left"/>
      <w:pPr>
        <w:ind w:left="6120" w:hanging="360"/>
      </w:pPr>
      <w:rPr>
        <w:rFonts w:ascii="Courier New" w:eastAsia="Courier New" w:hAnsi="Courier New"/>
        <w:w w:val="100"/>
        <w:sz w:val="20"/>
        <w:szCs w:val="20"/>
        <w:shd w:val="clear" w:color="auto" w:fill="auto"/>
      </w:rPr>
    </w:lvl>
    <w:lvl w:ilvl="8" w:tplc="80B05FE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72798DE"/>
    <w:lvl w:ilvl="0" w:tplc="81A89F5A">
      <w:start w:val="1"/>
      <w:numFmt w:val="bullet"/>
      <w:lvlText w:val="·"/>
      <w:lvlJc w:val="left"/>
      <w:pPr>
        <w:ind w:left="1440" w:hanging="360"/>
      </w:pPr>
      <w:rPr>
        <w:rFonts w:ascii="Symbol" w:eastAsia="Symbol" w:hAnsi="Symbol"/>
        <w:w w:val="100"/>
        <w:sz w:val="20"/>
        <w:szCs w:val="20"/>
        <w:shd w:val="clear" w:color="auto" w:fill="auto"/>
      </w:rPr>
    </w:lvl>
    <w:lvl w:ilvl="1" w:tplc="BAAE1F00">
      <w:start w:val="1"/>
      <w:numFmt w:val="bullet"/>
      <w:lvlText w:val="o"/>
      <w:lvlJc w:val="left"/>
      <w:pPr>
        <w:ind w:left="2160" w:hanging="360"/>
      </w:pPr>
      <w:rPr>
        <w:rFonts w:ascii="Courier New" w:eastAsia="Courier New" w:hAnsi="Courier New"/>
        <w:w w:val="100"/>
        <w:sz w:val="20"/>
        <w:szCs w:val="20"/>
        <w:shd w:val="clear" w:color="auto" w:fill="auto"/>
      </w:rPr>
    </w:lvl>
    <w:lvl w:ilvl="2" w:tplc="BB6A5BD0">
      <w:start w:val="1"/>
      <w:numFmt w:val="bullet"/>
      <w:lvlText w:val="§"/>
      <w:lvlJc w:val="left"/>
      <w:pPr>
        <w:ind w:left="2880" w:hanging="360"/>
      </w:pPr>
      <w:rPr>
        <w:rFonts w:ascii="Wingdings" w:eastAsia="Wingdings" w:hAnsi="Wingdings"/>
        <w:w w:val="100"/>
        <w:sz w:val="20"/>
        <w:szCs w:val="20"/>
        <w:shd w:val="clear" w:color="auto" w:fill="auto"/>
      </w:rPr>
    </w:lvl>
    <w:lvl w:ilvl="3" w:tplc="C4B04C14">
      <w:start w:val="1"/>
      <w:numFmt w:val="bullet"/>
      <w:lvlText w:val="·"/>
      <w:lvlJc w:val="left"/>
      <w:pPr>
        <w:ind w:left="3600" w:hanging="360"/>
      </w:pPr>
      <w:rPr>
        <w:rFonts w:ascii="Symbol" w:eastAsia="Symbol" w:hAnsi="Symbol"/>
        <w:w w:val="100"/>
        <w:sz w:val="20"/>
        <w:szCs w:val="20"/>
        <w:shd w:val="clear" w:color="auto" w:fill="auto"/>
      </w:rPr>
    </w:lvl>
    <w:lvl w:ilvl="4" w:tplc="1CC61F40">
      <w:start w:val="1"/>
      <w:numFmt w:val="bullet"/>
      <w:lvlText w:val="o"/>
      <w:lvlJc w:val="left"/>
      <w:pPr>
        <w:ind w:left="4320" w:hanging="360"/>
      </w:pPr>
      <w:rPr>
        <w:rFonts w:ascii="Courier New" w:eastAsia="Courier New" w:hAnsi="Courier New"/>
        <w:w w:val="100"/>
        <w:sz w:val="20"/>
        <w:szCs w:val="20"/>
        <w:shd w:val="clear" w:color="auto" w:fill="auto"/>
      </w:rPr>
    </w:lvl>
    <w:lvl w:ilvl="5" w:tplc="606A42E0">
      <w:start w:val="1"/>
      <w:numFmt w:val="bullet"/>
      <w:lvlText w:val="§"/>
      <w:lvlJc w:val="left"/>
      <w:pPr>
        <w:ind w:left="5040" w:hanging="360"/>
      </w:pPr>
      <w:rPr>
        <w:rFonts w:ascii="Wingdings" w:eastAsia="Wingdings" w:hAnsi="Wingdings"/>
        <w:w w:val="100"/>
        <w:sz w:val="20"/>
        <w:szCs w:val="20"/>
        <w:shd w:val="clear" w:color="auto" w:fill="auto"/>
      </w:rPr>
    </w:lvl>
    <w:lvl w:ilvl="6" w:tplc="002AC5B8">
      <w:start w:val="1"/>
      <w:numFmt w:val="bullet"/>
      <w:lvlText w:val="·"/>
      <w:lvlJc w:val="left"/>
      <w:pPr>
        <w:ind w:left="5760" w:hanging="360"/>
      </w:pPr>
      <w:rPr>
        <w:rFonts w:ascii="Symbol" w:eastAsia="Symbol" w:hAnsi="Symbol"/>
        <w:w w:val="100"/>
        <w:sz w:val="20"/>
        <w:szCs w:val="20"/>
        <w:shd w:val="clear" w:color="auto" w:fill="auto"/>
      </w:rPr>
    </w:lvl>
    <w:lvl w:ilvl="7" w:tplc="BEB6FFCC">
      <w:start w:val="1"/>
      <w:numFmt w:val="bullet"/>
      <w:lvlText w:val="o"/>
      <w:lvlJc w:val="left"/>
      <w:pPr>
        <w:ind w:left="6480" w:hanging="360"/>
      </w:pPr>
      <w:rPr>
        <w:rFonts w:ascii="Courier New" w:eastAsia="Courier New" w:hAnsi="Courier New"/>
        <w:w w:val="100"/>
        <w:sz w:val="20"/>
        <w:szCs w:val="20"/>
        <w:shd w:val="clear" w:color="auto" w:fill="auto"/>
      </w:rPr>
    </w:lvl>
    <w:lvl w:ilvl="8" w:tplc="D1205BC6">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28A522B2"/>
    <w:lvl w:ilvl="0" w:tplc="9C388CB2">
      <w:start w:val="1"/>
      <w:numFmt w:val="decimal"/>
      <w:lvlText w:val="%1."/>
      <w:lvlJc w:val="left"/>
      <w:pPr>
        <w:ind w:left="720" w:hanging="360"/>
      </w:pPr>
    </w:lvl>
    <w:lvl w:ilvl="1" w:tplc="2F52DA4E">
      <w:start w:val="1"/>
      <w:numFmt w:val="lowerLetter"/>
      <w:lvlText w:val="%2."/>
      <w:lvlJc w:val="left"/>
      <w:pPr>
        <w:ind w:left="1440" w:hanging="360"/>
      </w:pPr>
    </w:lvl>
    <w:lvl w:ilvl="2" w:tplc="75C8F7DA">
      <w:start w:val="1"/>
      <w:numFmt w:val="lowerRoman"/>
      <w:lvlText w:val="%3."/>
      <w:lvlJc w:val="right"/>
      <w:pPr>
        <w:ind w:left="1980" w:hanging="180"/>
      </w:pPr>
    </w:lvl>
    <w:lvl w:ilvl="3" w:tplc="F65A8BB4">
      <w:start w:val="1"/>
      <w:numFmt w:val="decimal"/>
      <w:lvlText w:val="%4."/>
      <w:lvlJc w:val="left"/>
      <w:pPr>
        <w:ind w:left="2880" w:hanging="360"/>
      </w:pPr>
    </w:lvl>
    <w:lvl w:ilvl="4" w:tplc="1BCE342A">
      <w:start w:val="1"/>
      <w:numFmt w:val="lowerLetter"/>
      <w:lvlText w:val="%5."/>
      <w:lvlJc w:val="left"/>
      <w:pPr>
        <w:ind w:left="3600" w:hanging="360"/>
      </w:pPr>
    </w:lvl>
    <w:lvl w:ilvl="5" w:tplc="86782C30">
      <w:start w:val="1"/>
      <w:numFmt w:val="lowerRoman"/>
      <w:lvlText w:val="%6."/>
      <w:lvlJc w:val="right"/>
      <w:pPr>
        <w:ind w:left="4140" w:hanging="180"/>
      </w:pPr>
    </w:lvl>
    <w:lvl w:ilvl="6" w:tplc="936654B4">
      <w:start w:val="1"/>
      <w:numFmt w:val="decimal"/>
      <w:lvlText w:val="%7."/>
      <w:lvlJc w:val="left"/>
      <w:pPr>
        <w:ind w:left="5040" w:hanging="360"/>
      </w:pPr>
    </w:lvl>
    <w:lvl w:ilvl="7" w:tplc="FABC850E">
      <w:start w:val="1"/>
      <w:numFmt w:val="lowerLetter"/>
      <w:lvlText w:val="%8."/>
      <w:lvlJc w:val="left"/>
      <w:pPr>
        <w:ind w:left="5760" w:hanging="360"/>
      </w:pPr>
    </w:lvl>
    <w:lvl w:ilvl="8" w:tplc="0F349F52">
      <w:start w:val="1"/>
      <w:numFmt w:val="lowerRoman"/>
      <w:lvlText w:val="%9."/>
      <w:lvlJc w:val="right"/>
      <w:pPr>
        <w:ind w:left="6300" w:hanging="180"/>
      </w:pPr>
    </w:lvl>
  </w:abstractNum>
  <w:abstractNum w:abstractNumId="3" w15:restartNumberingAfterBreak="0">
    <w:nsid w:val="00000004"/>
    <w:multiLevelType w:val="hybridMultilevel"/>
    <w:tmpl w:val="7188E8F6"/>
    <w:lvl w:ilvl="0" w:tplc="C246964C">
      <w:start w:val="1"/>
      <w:numFmt w:val="bullet"/>
      <w:lvlText w:val="·"/>
      <w:lvlJc w:val="left"/>
      <w:pPr>
        <w:ind w:left="1080" w:hanging="360"/>
      </w:pPr>
      <w:rPr>
        <w:rFonts w:ascii="Symbol" w:eastAsia="Symbol" w:hAnsi="Symbol"/>
        <w:w w:val="100"/>
        <w:sz w:val="20"/>
        <w:szCs w:val="20"/>
        <w:shd w:val="clear" w:color="auto" w:fill="auto"/>
      </w:rPr>
    </w:lvl>
    <w:lvl w:ilvl="1" w:tplc="84705808">
      <w:start w:val="1"/>
      <w:numFmt w:val="bullet"/>
      <w:lvlText w:val="o"/>
      <w:lvlJc w:val="left"/>
      <w:pPr>
        <w:ind w:left="1800" w:hanging="360"/>
      </w:pPr>
      <w:rPr>
        <w:rFonts w:ascii="Courier New" w:eastAsia="Courier New" w:hAnsi="Courier New"/>
        <w:w w:val="100"/>
        <w:sz w:val="20"/>
        <w:szCs w:val="20"/>
        <w:shd w:val="clear" w:color="auto" w:fill="auto"/>
      </w:rPr>
    </w:lvl>
    <w:lvl w:ilvl="2" w:tplc="B04A95AA">
      <w:start w:val="1"/>
      <w:numFmt w:val="bullet"/>
      <w:lvlText w:val="§"/>
      <w:lvlJc w:val="left"/>
      <w:pPr>
        <w:ind w:left="2520" w:hanging="360"/>
      </w:pPr>
      <w:rPr>
        <w:rFonts w:ascii="Wingdings" w:eastAsia="Wingdings" w:hAnsi="Wingdings"/>
        <w:w w:val="100"/>
        <w:sz w:val="20"/>
        <w:szCs w:val="20"/>
        <w:shd w:val="clear" w:color="auto" w:fill="auto"/>
      </w:rPr>
    </w:lvl>
    <w:lvl w:ilvl="3" w:tplc="37D8CAE4">
      <w:start w:val="1"/>
      <w:numFmt w:val="bullet"/>
      <w:lvlText w:val="·"/>
      <w:lvlJc w:val="left"/>
      <w:pPr>
        <w:ind w:left="3240" w:hanging="360"/>
      </w:pPr>
      <w:rPr>
        <w:rFonts w:ascii="Symbol" w:eastAsia="Symbol" w:hAnsi="Symbol"/>
        <w:w w:val="100"/>
        <w:sz w:val="20"/>
        <w:szCs w:val="20"/>
        <w:shd w:val="clear" w:color="auto" w:fill="auto"/>
      </w:rPr>
    </w:lvl>
    <w:lvl w:ilvl="4" w:tplc="16062E50">
      <w:start w:val="1"/>
      <w:numFmt w:val="bullet"/>
      <w:lvlText w:val="o"/>
      <w:lvlJc w:val="left"/>
      <w:pPr>
        <w:ind w:left="3960" w:hanging="360"/>
      </w:pPr>
      <w:rPr>
        <w:rFonts w:ascii="Courier New" w:eastAsia="Courier New" w:hAnsi="Courier New"/>
        <w:w w:val="100"/>
        <w:sz w:val="20"/>
        <w:szCs w:val="20"/>
        <w:shd w:val="clear" w:color="auto" w:fill="auto"/>
      </w:rPr>
    </w:lvl>
    <w:lvl w:ilvl="5" w:tplc="3DA0A6C4">
      <w:start w:val="1"/>
      <w:numFmt w:val="bullet"/>
      <w:lvlText w:val="§"/>
      <w:lvlJc w:val="left"/>
      <w:pPr>
        <w:ind w:left="4680" w:hanging="360"/>
      </w:pPr>
      <w:rPr>
        <w:rFonts w:ascii="Wingdings" w:eastAsia="Wingdings" w:hAnsi="Wingdings"/>
        <w:w w:val="100"/>
        <w:sz w:val="20"/>
        <w:szCs w:val="20"/>
        <w:shd w:val="clear" w:color="auto" w:fill="auto"/>
      </w:rPr>
    </w:lvl>
    <w:lvl w:ilvl="6" w:tplc="57001E54">
      <w:start w:val="1"/>
      <w:numFmt w:val="bullet"/>
      <w:lvlText w:val="·"/>
      <w:lvlJc w:val="left"/>
      <w:pPr>
        <w:ind w:left="5400" w:hanging="360"/>
      </w:pPr>
      <w:rPr>
        <w:rFonts w:ascii="Symbol" w:eastAsia="Symbol" w:hAnsi="Symbol"/>
        <w:w w:val="100"/>
        <w:sz w:val="20"/>
        <w:szCs w:val="20"/>
        <w:shd w:val="clear" w:color="auto" w:fill="auto"/>
      </w:rPr>
    </w:lvl>
    <w:lvl w:ilvl="7" w:tplc="EB129E42">
      <w:start w:val="1"/>
      <w:numFmt w:val="bullet"/>
      <w:lvlText w:val="o"/>
      <w:lvlJc w:val="left"/>
      <w:pPr>
        <w:ind w:left="6120" w:hanging="360"/>
      </w:pPr>
      <w:rPr>
        <w:rFonts w:ascii="Courier New" w:eastAsia="Courier New" w:hAnsi="Courier New"/>
        <w:w w:val="100"/>
        <w:sz w:val="20"/>
        <w:szCs w:val="20"/>
        <w:shd w:val="clear" w:color="auto" w:fill="auto"/>
      </w:rPr>
    </w:lvl>
    <w:lvl w:ilvl="8" w:tplc="F2EC111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5376A8B5"/>
    <w:lvl w:ilvl="0" w:tplc="6DA6F394">
      <w:start w:val="1"/>
      <w:numFmt w:val="bullet"/>
      <w:lvlText w:val="·"/>
      <w:lvlJc w:val="left"/>
      <w:pPr>
        <w:ind w:left="1080" w:hanging="360"/>
      </w:pPr>
      <w:rPr>
        <w:rFonts w:ascii="Symbol" w:eastAsia="Symbol" w:hAnsi="Symbol"/>
        <w:w w:val="100"/>
        <w:sz w:val="20"/>
        <w:szCs w:val="20"/>
        <w:shd w:val="clear" w:color="auto" w:fill="auto"/>
      </w:rPr>
    </w:lvl>
    <w:lvl w:ilvl="1" w:tplc="14A8E642">
      <w:start w:val="1"/>
      <w:numFmt w:val="bullet"/>
      <w:lvlText w:val="o"/>
      <w:lvlJc w:val="left"/>
      <w:pPr>
        <w:ind w:left="1800" w:hanging="360"/>
      </w:pPr>
      <w:rPr>
        <w:rFonts w:ascii="Courier New" w:eastAsia="Courier New" w:hAnsi="Courier New"/>
        <w:w w:val="100"/>
        <w:sz w:val="20"/>
        <w:szCs w:val="20"/>
        <w:shd w:val="clear" w:color="auto" w:fill="auto"/>
      </w:rPr>
    </w:lvl>
    <w:lvl w:ilvl="2" w:tplc="073E3FC8">
      <w:start w:val="1"/>
      <w:numFmt w:val="bullet"/>
      <w:lvlText w:val="§"/>
      <w:lvlJc w:val="left"/>
      <w:pPr>
        <w:ind w:left="2520" w:hanging="360"/>
      </w:pPr>
      <w:rPr>
        <w:rFonts w:ascii="Wingdings" w:eastAsia="Wingdings" w:hAnsi="Wingdings"/>
        <w:w w:val="100"/>
        <w:sz w:val="20"/>
        <w:szCs w:val="20"/>
        <w:shd w:val="clear" w:color="auto" w:fill="auto"/>
      </w:rPr>
    </w:lvl>
    <w:lvl w:ilvl="3" w:tplc="5BD46650">
      <w:start w:val="1"/>
      <w:numFmt w:val="bullet"/>
      <w:lvlText w:val="·"/>
      <w:lvlJc w:val="left"/>
      <w:pPr>
        <w:ind w:left="3240" w:hanging="360"/>
      </w:pPr>
      <w:rPr>
        <w:rFonts w:ascii="Symbol" w:eastAsia="Symbol" w:hAnsi="Symbol"/>
        <w:w w:val="100"/>
        <w:sz w:val="20"/>
        <w:szCs w:val="20"/>
        <w:shd w:val="clear" w:color="auto" w:fill="auto"/>
      </w:rPr>
    </w:lvl>
    <w:lvl w:ilvl="4" w:tplc="8E0CF1A4">
      <w:start w:val="1"/>
      <w:numFmt w:val="bullet"/>
      <w:lvlText w:val="o"/>
      <w:lvlJc w:val="left"/>
      <w:pPr>
        <w:ind w:left="3960" w:hanging="360"/>
      </w:pPr>
      <w:rPr>
        <w:rFonts w:ascii="Courier New" w:eastAsia="Courier New" w:hAnsi="Courier New"/>
        <w:w w:val="100"/>
        <w:sz w:val="20"/>
        <w:szCs w:val="20"/>
        <w:shd w:val="clear" w:color="auto" w:fill="auto"/>
      </w:rPr>
    </w:lvl>
    <w:lvl w:ilvl="5" w:tplc="C6D0B784">
      <w:start w:val="1"/>
      <w:numFmt w:val="bullet"/>
      <w:lvlText w:val="§"/>
      <w:lvlJc w:val="left"/>
      <w:pPr>
        <w:ind w:left="4680" w:hanging="360"/>
      </w:pPr>
      <w:rPr>
        <w:rFonts w:ascii="Wingdings" w:eastAsia="Wingdings" w:hAnsi="Wingdings"/>
        <w:w w:val="100"/>
        <w:sz w:val="20"/>
        <w:szCs w:val="20"/>
        <w:shd w:val="clear" w:color="auto" w:fill="auto"/>
      </w:rPr>
    </w:lvl>
    <w:lvl w:ilvl="6" w:tplc="D4682844">
      <w:start w:val="1"/>
      <w:numFmt w:val="bullet"/>
      <w:lvlText w:val="·"/>
      <w:lvlJc w:val="left"/>
      <w:pPr>
        <w:ind w:left="5400" w:hanging="360"/>
      </w:pPr>
      <w:rPr>
        <w:rFonts w:ascii="Symbol" w:eastAsia="Symbol" w:hAnsi="Symbol"/>
        <w:w w:val="100"/>
        <w:sz w:val="20"/>
        <w:szCs w:val="20"/>
        <w:shd w:val="clear" w:color="auto" w:fill="auto"/>
      </w:rPr>
    </w:lvl>
    <w:lvl w:ilvl="7" w:tplc="10480406">
      <w:start w:val="1"/>
      <w:numFmt w:val="bullet"/>
      <w:lvlText w:val="o"/>
      <w:lvlJc w:val="left"/>
      <w:pPr>
        <w:ind w:left="6120" w:hanging="360"/>
      </w:pPr>
      <w:rPr>
        <w:rFonts w:ascii="Courier New" w:eastAsia="Courier New" w:hAnsi="Courier New"/>
        <w:w w:val="100"/>
        <w:sz w:val="20"/>
        <w:szCs w:val="20"/>
        <w:shd w:val="clear" w:color="auto" w:fill="auto"/>
      </w:rPr>
    </w:lvl>
    <w:lvl w:ilvl="8" w:tplc="9E5846E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133E2DE2"/>
    <w:lvl w:ilvl="0" w:tplc="F0020142">
      <w:start w:val="1"/>
      <w:numFmt w:val="lowerLetter"/>
      <w:lvlText w:val="%1."/>
      <w:lvlJc w:val="left"/>
      <w:pPr>
        <w:ind w:left="1287" w:hanging="360"/>
      </w:pPr>
    </w:lvl>
    <w:lvl w:ilvl="1" w:tplc="8598A61A">
      <w:start w:val="1"/>
      <w:numFmt w:val="lowerLetter"/>
      <w:lvlText w:val="%2."/>
      <w:lvlJc w:val="left"/>
      <w:pPr>
        <w:ind w:left="2007" w:hanging="360"/>
      </w:pPr>
    </w:lvl>
    <w:lvl w:ilvl="2" w:tplc="B566B684">
      <w:start w:val="1"/>
      <w:numFmt w:val="lowerRoman"/>
      <w:lvlText w:val="%3."/>
      <w:lvlJc w:val="right"/>
      <w:pPr>
        <w:ind w:left="2547" w:hanging="180"/>
      </w:pPr>
    </w:lvl>
    <w:lvl w:ilvl="3" w:tplc="73422026">
      <w:start w:val="1"/>
      <w:numFmt w:val="decimal"/>
      <w:lvlText w:val="%4."/>
      <w:lvlJc w:val="left"/>
      <w:pPr>
        <w:ind w:left="3447" w:hanging="360"/>
      </w:pPr>
    </w:lvl>
    <w:lvl w:ilvl="4" w:tplc="9BCC607C">
      <w:start w:val="1"/>
      <w:numFmt w:val="lowerLetter"/>
      <w:lvlText w:val="%5."/>
      <w:lvlJc w:val="left"/>
      <w:pPr>
        <w:ind w:left="4167" w:hanging="360"/>
      </w:pPr>
    </w:lvl>
    <w:lvl w:ilvl="5" w:tplc="F4700AAA">
      <w:start w:val="1"/>
      <w:numFmt w:val="lowerRoman"/>
      <w:lvlText w:val="%6."/>
      <w:lvlJc w:val="right"/>
      <w:pPr>
        <w:ind w:left="4707" w:hanging="180"/>
      </w:pPr>
    </w:lvl>
    <w:lvl w:ilvl="6" w:tplc="923A1DC6">
      <w:start w:val="1"/>
      <w:numFmt w:val="decimal"/>
      <w:lvlText w:val="%7."/>
      <w:lvlJc w:val="left"/>
      <w:pPr>
        <w:ind w:left="5607" w:hanging="360"/>
      </w:pPr>
    </w:lvl>
    <w:lvl w:ilvl="7" w:tplc="AEDA5136">
      <w:start w:val="1"/>
      <w:numFmt w:val="lowerLetter"/>
      <w:lvlText w:val="%8."/>
      <w:lvlJc w:val="left"/>
      <w:pPr>
        <w:ind w:left="6327" w:hanging="360"/>
      </w:pPr>
    </w:lvl>
    <w:lvl w:ilvl="8" w:tplc="DCD440A8">
      <w:start w:val="1"/>
      <w:numFmt w:val="lowerRoman"/>
      <w:lvlText w:val="%9."/>
      <w:lvlJc w:val="right"/>
      <w:pPr>
        <w:ind w:left="6867" w:hanging="180"/>
      </w:pPr>
    </w:lvl>
  </w:abstractNum>
  <w:abstractNum w:abstractNumId="6" w15:restartNumberingAfterBreak="0">
    <w:nsid w:val="00000007"/>
    <w:multiLevelType w:val="hybridMultilevel"/>
    <w:tmpl w:val="57365A4C"/>
    <w:lvl w:ilvl="0" w:tplc="FB7ED5B2">
      <w:start w:val="1"/>
      <w:numFmt w:val="bullet"/>
      <w:lvlText w:val="·"/>
      <w:lvlJc w:val="left"/>
      <w:pPr>
        <w:ind w:left="1080" w:hanging="360"/>
      </w:pPr>
      <w:rPr>
        <w:rFonts w:ascii="Symbol" w:eastAsia="Symbol" w:hAnsi="Symbol"/>
        <w:w w:val="100"/>
        <w:sz w:val="20"/>
        <w:szCs w:val="20"/>
        <w:shd w:val="clear" w:color="auto" w:fill="auto"/>
      </w:rPr>
    </w:lvl>
    <w:lvl w:ilvl="1" w:tplc="BFEA0BE6">
      <w:start w:val="1"/>
      <w:numFmt w:val="bullet"/>
      <w:lvlText w:val="o"/>
      <w:lvlJc w:val="left"/>
      <w:pPr>
        <w:ind w:left="1800" w:hanging="360"/>
      </w:pPr>
      <w:rPr>
        <w:rFonts w:ascii="Courier New" w:eastAsia="Courier New" w:hAnsi="Courier New"/>
        <w:w w:val="100"/>
        <w:sz w:val="20"/>
        <w:szCs w:val="20"/>
        <w:shd w:val="clear" w:color="auto" w:fill="auto"/>
      </w:rPr>
    </w:lvl>
    <w:lvl w:ilvl="2" w:tplc="B5FE5D40">
      <w:start w:val="1"/>
      <w:numFmt w:val="bullet"/>
      <w:lvlText w:val="§"/>
      <w:lvlJc w:val="left"/>
      <w:pPr>
        <w:ind w:left="2520" w:hanging="360"/>
      </w:pPr>
      <w:rPr>
        <w:rFonts w:ascii="Wingdings" w:eastAsia="Wingdings" w:hAnsi="Wingdings"/>
        <w:w w:val="100"/>
        <w:sz w:val="20"/>
        <w:szCs w:val="20"/>
        <w:shd w:val="clear" w:color="auto" w:fill="auto"/>
      </w:rPr>
    </w:lvl>
    <w:lvl w:ilvl="3" w:tplc="CF3EFBEC">
      <w:start w:val="1"/>
      <w:numFmt w:val="bullet"/>
      <w:lvlText w:val="·"/>
      <w:lvlJc w:val="left"/>
      <w:pPr>
        <w:ind w:left="3240" w:hanging="360"/>
      </w:pPr>
      <w:rPr>
        <w:rFonts w:ascii="Symbol" w:eastAsia="Symbol" w:hAnsi="Symbol"/>
        <w:w w:val="100"/>
        <w:sz w:val="20"/>
        <w:szCs w:val="20"/>
        <w:shd w:val="clear" w:color="auto" w:fill="auto"/>
      </w:rPr>
    </w:lvl>
    <w:lvl w:ilvl="4" w:tplc="4274D5DA">
      <w:start w:val="1"/>
      <w:numFmt w:val="bullet"/>
      <w:lvlText w:val="o"/>
      <w:lvlJc w:val="left"/>
      <w:pPr>
        <w:ind w:left="3960" w:hanging="360"/>
      </w:pPr>
      <w:rPr>
        <w:rFonts w:ascii="Courier New" w:eastAsia="Courier New" w:hAnsi="Courier New"/>
        <w:w w:val="100"/>
        <w:sz w:val="20"/>
        <w:szCs w:val="20"/>
        <w:shd w:val="clear" w:color="auto" w:fill="auto"/>
      </w:rPr>
    </w:lvl>
    <w:lvl w:ilvl="5" w:tplc="95684B38">
      <w:start w:val="1"/>
      <w:numFmt w:val="bullet"/>
      <w:lvlText w:val="§"/>
      <w:lvlJc w:val="left"/>
      <w:pPr>
        <w:ind w:left="4680" w:hanging="360"/>
      </w:pPr>
      <w:rPr>
        <w:rFonts w:ascii="Wingdings" w:eastAsia="Wingdings" w:hAnsi="Wingdings"/>
        <w:w w:val="100"/>
        <w:sz w:val="20"/>
        <w:szCs w:val="20"/>
        <w:shd w:val="clear" w:color="auto" w:fill="auto"/>
      </w:rPr>
    </w:lvl>
    <w:lvl w:ilvl="6" w:tplc="379CE63E">
      <w:start w:val="1"/>
      <w:numFmt w:val="bullet"/>
      <w:lvlText w:val="·"/>
      <w:lvlJc w:val="left"/>
      <w:pPr>
        <w:ind w:left="5400" w:hanging="360"/>
      </w:pPr>
      <w:rPr>
        <w:rFonts w:ascii="Symbol" w:eastAsia="Symbol" w:hAnsi="Symbol"/>
        <w:w w:val="100"/>
        <w:sz w:val="20"/>
        <w:szCs w:val="20"/>
        <w:shd w:val="clear" w:color="auto" w:fill="auto"/>
      </w:rPr>
    </w:lvl>
    <w:lvl w:ilvl="7" w:tplc="54E696F6">
      <w:start w:val="1"/>
      <w:numFmt w:val="bullet"/>
      <w:lvlText w:val="o"/>
      <w:lvlJc w:val="left"/>
      <w:pPr>
        <w:ind w:left="6120" w:hanging="360"/>
      </w:pPr>
      <w:rPr>
        <w:rFonts w:ascii="Courier New" w:eastAsia="Courier New" w:hAnsi="Courier New"/>
        <w:w w:val="100"/>
        <w:sz w:val="20"/>
        <w:szCs w:val="20"/>
        <w:shd w:val="clear" w:color="auto" w:fill="auto"/>
      </w:rPr>
    </w:lvl>
    <w:lvl w:ilvl="8" w:tplc="FB68810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3162604F"/>
    <w:lvl w:ilvl="0" w:tplc="AF32B814">
      <w:start w:val="1"/>
      <w:numFmt w:val="decimal"/>
      <w:lvlText w:val="%1."/>
      <w:lvlJc w:val="left"/>
      <w:pPr>
        <w:ind w:left="720" w:hanging="360"/>
      </w:pPr>
    </w:lvl>
    <w:lvl w:ilvl="1" w:tplc="89CA6BF2">
      <w:start w:val="1"/>
      <w:numFmt w:val="lowerLetter"/>
      <w:lvlText w:val="%2."/>
      <w:lvlJc w:val="left"/>
      <w:pPr>
        <w:ind w:left="1440" w:hanging="360"/>
      </w:pPr>
    </w:lvl>
    <w:lvl w:ilvl="2" w:tplc="8D789868">
      <w:start w:val="1"/>
      <w:numFmt w:val="lowerRoman"/>
      <w:lvlText w:val="%3."/>
      <w:lvlJc w:val="right"/>
      <w:pPr>
        <w:ind w:left="1980" w:hanging="180"/>
      </w:pPr>
    </w:lvl>
    <w:lvl w:ilvl="3" w:tplc="63ECECEE">
      <w:start w:val="1"/>
      <w:numFmt w:val="decimal"/>
      <w:lvlText w:val="%4."/>
      <w:lvlJc w:val="left"/>
      <w:pPr>
        <w:ind w:left="2880" w:hanging="360"/>
      </w:pPr>
    </w:lvl>
    <w:lvl w:ilvl="4" w:tplc="0F4E9788">
      <w:start w:val="1"/>
      <w:numFmt w:val="lowerLetter"/>
      <w:lvlText w:val="%5."/>
      <w:lvlJc w:val="left"/>
      <w:pPr>
        <w:ind w:left="3600" w:hanging="360"/>
      </w:pPr>
    </w:lvl>
    <w:lvl w:ilvl="5" w:tplc="C0FC3734">
      <w:start w:val="1"/>
      <w:numFmt w:val="lowerRoman"/>
      <w:lvlText w:val="%6."/>
      <w:lvlJc w:val="right"/>
      <w:pPr>
        <w:ind w:left="4140" w:hanging="180"/>
      </w:pPr>
    </w:lvl>
    <w:lvl w:ilvl="6" w:tplc="38A2FD72">
      <w:start w:val="1"/>
      <w:numFmt w:val="decimal"/>
      <w:lvlText w:val="%7."/>
      <w:lvlJc w:val="left"/>
      <w:pPr>
        <w:ind w:left="5040" w:hanging="360"/>
      </w:pPr>
    </w:lvl>
    <w:lvl w:ilvl="7" w:tplc="C65E86D0">
      <w:start w:val="1"/>
      <w:numFmt w:val="lowerLetter"/>
      <w:lvlText w:val="%8."/>
      <w:lvlJc w:val="left"/>
      <w:pPr>
        <w:ind w:left="5760" w:hanging="360"/>
      </w:pPr>
    </w:lvl>
    <w:lvl w:ilvl="8" w:tplc="7BC0DECE">
      <w:start w:val="1"/>
      <w:numFmt w:val="lowerRoman"/>
      <w:lvlText w:val="%9."/>
      <w:lvlJc w:val="right"/>
      <w:pPr>
        <w:ind w:left="6300" w:hanging="180"/>
      </w:pPr>
    </w:lvl>
  </w:abstractNum>
  <w:abstractNum w:abstractNumId="8" w15:restartNumberingAfterBreak="0">
    <w:nsid w:val="00000009"/>
    <w:multiLevelType w:val="hybridMultilevel"/>
    <w:tmpl w:val="31A0FBDD"/>
    <w:lvl w:ilvl="0" w:tplc="71401CD4">
      <w:start w:val="1"/>
      <w:numFmt w:val="bullet"/>
      <w:lvlText w:val="·"/>
      <w:lvlJc w:val="left"/>
      <w:pPr>
        <w:ind w:left="1080" w:hanging="360"/>
      </w:pPr>
      <w:rPr>
        <w:rFonts w:ascii="Symbol" w:eastAsia="Symbol" w:hAnsi="Symbol"/>
        <w:w w:val="100"/>
        <w:sz w:val="20"/>
        <w:szCs w:val="20"/>
        <w:shd w:val="clear" w:color="auto" w:fill="auto"/>
      </w:rPr>
    </w:lvl>
    <w:lvl w:ilvl="1" w:tplc="46F6C6B0">
      <w:start w:val="1"/>
      <w:numFmt w:val="bullet"/>
      <w:lvlText w:val="o"/>
      <w:lvlJc w:val="left"/>
      <w:pPr>
        <w:ind w:left="1800" w:hanging="360"/>
      </w:pPr>
      <w:rPr>
        <w:rFonts w:ascii="Courier New" w:eastAsia="Courier New" w:hAnsi="Courier New"/>
        <w:w w:val="100"/>
        <w:sz w:val="20"/>
        <w:szCs w:val="20"/>
        <w:shd w:val="clear" w:color="auto" w:fill="auto"/>
      </w:rPr>
    </w:lvl>
    <w:lvl w:ilvl="2" w:tplc="D292E982">
      <w:start w:val="1"/>
      <w:numFmt w:val="bullet"/>
      <w:lvlText w:val="§"/>
      <w:lvlJc w:val="left"/>
      <w:pPr>
        <w:ind w:left="2520" w:hanging="360"/>
      </w:pPr>
      <w:rPr>
        <w:rFonts w:ascii="Wingdings" w:eastAsia="Wingdings" w:hAnsi="Wingdings"/>
        <w:w w:val="100"/>
        <w:sz w:val="20"/>
        <w:szCs w:val="20"/>
        <w:shd w:val="clear" w:color="auto" w:fill="auto"/>
      </w:rPr>
    </w:lvl>
    <w:lvl w:ilvl="3" w:tplc="D9E83B24">
      <w:start w:val="1"/>
      <w:numFmt w:val="bullet"/>
      <w:lvlText w:val="·"/>
      <w:lvlJc w:val="left"/>
      <w:pPr>
        <w:ind w:left="3240" w:hanging="360"/>
      </w:pPr>
      <w:rPr>
        <w:rFonts w:ascii="Symbol" w:eastAsia="Symbol" w:hAnsi="Symbol"/>
        <w:w w:val="100"/>
        <w:sz w:val="20"/>
        <w:szCs w:val="20"/>
        <w:shd w:val="clear" w:color="auto" w:fill="auto"/>
      </w:rPr>
    </w:lvl>
    <w:lvl w:ilvl="4" w:tplc="3842A5B8">
      <w:start w:val="1"/>
      <w:numFmt w:val="bullet"/>
      <w:lvlText w:val="o"/>
      <w:lvlJc w:val="left"/>
      <w:pPr>
        <w:ind w:left="3960" w:hanging="360"/>
      </w:pPr>
      <w:rPr>
        <w:rFonts w:ascii="Courier New" w:eastAsia="Courier New" w:hAnsi="Courier New"/>
        <w:w w:val="100"/>
        <w:sz w:val="20"/>
        <w:szCs w:val="20"/>
        <w:shd w:val="clear" w:color="auto" w:fill="auto"/>
      </w:rPr>
    </w:lvl>
    <w:lvl w:ilvl="5" w:tplc="F5D6AD74">
      <w:start w:val="1"/>
      <w:numFmt w:val="bullet"/>
      <w:lvlText w:val="§"/>
      <w:lvlJc w:val="left"/>
      <w:pPr>
        <w:ind w:left="4680" w:hanging="360"/>
      </w:pPr>
      <w:rPr>
        <w:rFonts w:ascii="Wingdings" w:eastAsia="Wingdings" w:hAnsi="Wingdings"/>
        <w:w w:val="100"/>
        <w:sz w:val="20"/>
        <w:szCs w:val="20"/>
        <w:shd w:val="clear" w:color="auto" w:fill="auto"/>
      </w:rPr>
    </w:lvl>
    <w:lvl w:ilvl="6" w:tplc="B3F09D5E">
      <w:start w:val="1"/>
      <w:numFmt w:val="bullet"/>
      <w:lvlText w:val="·"/>
      <w:lvlJc w:val="left"/>
      <w:pPr>
        <w:ind w:left="5400" w:hanging="360"/>
      </w:pPr>
      <w:rPr>
        <w:rFonts w:ascii="Symbol" w:eastAsia="Symbol" w:hAnsi="Symbol"/>
        <w:w w:val="100"/>
        <w:sz w:val="20"/>
        <w:szCs w:val="20"/>
        <w:shd w:val="clear" w:color="auto" w:fill="auto"/>
      </w:rPr>
    </w:lvl>
    <w:lvl w:ilvl="7" w:tplc="AF8ADC78">
      <w:start w:val="1"/>
      <w:numFmt w:val="bullet"/>
      <w:lvlText w:val="o"/>
      <w:lvlJc w:val="left"/>
      <w:pPr>
        <w:ind w:left="6120" w:hanging="360"/>
      </w:pPr>
      <w:rPr>
        <w:rFonts w:ascii="Courier New" w:eastAsia="Courier New" w:hAnsi="Courier New"/>
        <w:w w:val="100"/>
        <w:sz w:val="20"/>
        <w:szCs w:val="20"/>
        <w:shd w:val="clear" w:color="auto" w:fill="auto"/>
      </w:rPr>
    </w:lvl>
    <w:lvl w:ilvl="8" w:tplc="915A94A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F7839F"/>
    <w:lvl w:ilvl="0" w:tplc="0680D962">
      <w:start w:val="1"/>
      <w:numFmt w:val="bullet"/>
      <w:pStyle w:val="Listpara1"/>
      <w:lvlText w:val="·"/>
      <w:lvlJc w:val="left"/>
      <w:pPr>
        <w:ind w:left="1080" w:hanging="360"/>
      </w:pPr>
      <w:rPr>
        <w:rFonts w:ascii="Symbol" w:eastAsia="Symbol" w:hAnsi="Symbol"/>
        <w:w w:val="100"/>
        <w:sz w:val="20"/>
        <w:szCs w:val="20"/>
        <w:shd w:val="clear" w:color="auto" w:fill="auto"/>
      </w:rPr>
    </w:lvl>
    <w:lvl w:ilvl="1" w:tplc="0FB61070">
      <w:start w:val="1"/>
      <w:numFmt w:val="bullet"/>
      <w:lvlText w:val="·"/>
      <w:lvlJc w:val="left"/>
      <w:pPr>
        <w:ind w:left="1800" w:hanging="360"/>
      </w:pPr>
      <w:rPr>
        <w:rFonts w:ascii="Symbol" w:eastAsia="Symbol" w:hAnsi="Symbol"/>
        <w:w w:val="100"/>
        <w:sz w:val="20"/>
        <w:szCs w:val="20"/>
        <w:shd w:val="clear" w:color="auto" w:fill="auto"/>
      </w:rPr>
    </w:lvl>
    <w:lvl w:ilvl="2" w:tplc="E3E42146">
      <w:start w:val="1"/>
      <w:numFmt w:val="bullet"/>
      <w:lvlText w:val="§"/>
      <w:lvlJc w:val="left"/>
      <w:pPr>
        <w:ind w:left="2520" w:hanging="360"/>
      </w:pPr>
      <w:rPr>
        <w:rFonts w:ascii="Wingdings" w:eastAsia="Wingdings" w:hAnsi="Wingdings"/>
        <w:w w:val="100"/>
        <w:sz w:val="20"/>
        <w:szCs w:val="20"/>
        <w:shd w:val="clear" w:color="auto" w:fill="auto"/>
      </w:rPr>
    </w:lvl>
    <w:lvl w:ilvl="3" w:tplc="D118410A">
      <w:start w:val="1"/>
      <w:numFmt w:val="bullet"/>
      <w:lvlText w:val="·"/>
      <w:lvlJc w:val="left"/>
      <w:pPr>
        <w:ind w:left="3240" w:hanging="360"/>
      </w:pPr>
      <w:rPr>
        <w:rFonts w:ascii="Symbol" w:eastAsia="Symbol" w:hAnsi="Symbol"/>
        <w:w w:val="100"/>
        <w:sz w:val="20"/>
        <w:szCs w:val="20"/>
        <w:shd w:val="clear" w:color="auto" w:fill="auto"/>
      </w:rPr>
    </w:lvl>
    <w:lvl w:ilvl="4" w:tplc="85F0EABE">
      <w:start w:val="1"/>
      <w:numFmt w:val="bullet"/>
      <w:lvlText w:val="o"/>
      <w:lvlJc w:val="left"/>
      <w:pPr>
        <w:ind w:left="3960" w:hanging="360"/>
      </w:pPr>
      <w:rPr>
        <w:rFonts w:ascii="Courier New" w:eastAsia="Courier New" w:hAnsi="Courier New"/>
        <w:w w:val="100"/>
        <w:sz w:val="20"/>
        <w:szCs w:val="20"/>
        <w:shd w:val="clear" w:color="auto" w:fill="auto"/>
      </w:rPr>
    </w:lvl>
    <w:lvl w:ilvl="5" w:tplc="375C3050">
      <w:start w:val="1"/>
      <w:numFmt w:val="bullet"/>
      <w:lvlText w:val="§"/>
      <w:lvlJc w:val="left"/>
      <w:pPr>
        <w:ind w:left="4680" w:hanging="360"/>
      </w:pPr>
      <w:rPr>
        <w:rFonts w:ascii="Wingdings" w:eastAsia="Wingdings" w:hAnsi="Wingdings"/>
        <w:w w:val="100"/>
        <w:sz w:val="20"/>
        <w:szCs w:val="20"/>
        <w:shd w:val="clear" w:color="auto" w:fill="auto"/>
      </w:rPr>
    </w:lvl>
    <w:lvl w:ilvl="6" w:tplc="E47C1EEE">
      <w:start w:val="1"/>
      <w:numFmt w:val="bullet"/>
      <w:lvlText w:val="·"/>
      <w:lvlJc w:val="left"/>
      <w:pPr>
        <w:ind w:left="5400" w:hanging="360"/>
      </w:pPr>
      <w:rPr>
        <w:rFonts w:ascii="Symbol" w:eastAsia="Symbol" w:hAnsi="Symbol"/>
        <w:w w:val="100"/>
        <w:sz w:val="20"/>
        <w:szCs w:val="20"/>
        <w:shd w:val="clear" w:color="auto" w:fill="auto"/>
      </w:rPr>
    </w:lvl>
    <w:lvl w:ilvl="7" w:tplc="DED65C22">
      <w:start w:val="1"/>
      <w:numFmt w:val="bullet"/>
      <w:lvlText w:val="o"/>
      <w:lvlJc w:val="left"/>
      <w:pPr>
        <w:ind w:left="6120" w:hanging="360"/>
      </w:pPr>
      <w:rPr>
        <w:rFonts w:ascii="Courier New" w:eastAsia="Courier New" w:hAnsi="Courier New"/>
        <w:w w:val="100"/>
        <w:sz w:val="20"/>
        <w:szCs w:val="20"/>
        <w:shd w:val="clear" w:color="auto" w:fill="auto"/>
      </w:rPr>
    </w:lvl>
    <w:lvl w:ilvl="8" w:tplc="F140C42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12E25C88"/>
    <w:lvl w:ilvl="0" w:tplc="480E9FE2">
      <w:start w:val="1"/>
      <w:numFmt w:val="bullet"/>
      <w:lvlText w:val="·"/>
      <w:lvlJc w:val="left"/>
      <w:pPr>
        <w:ind w:left="1080" w:hanging="360"/>
      </w:pPr>
      <w:rPr>
        <w:rFonts w:ascii="Symbol" w:eastAsia="Symbol" w:hAnsi="Symbol"/>
        <w:w w:val="100"/>
        <w:sz w:val="20"/>
        <w:szCs w:val="20"/>
        <w:shd w:val="clear" w:color="auto" w:fill="auto"/>
      </w:rPr>
    </w:lvl>
    <w:lvl w:ilvl="1" w:tplc="3A6CB46A">
      <w:start w:val="1"/>
      <w:numFmt w:val="bullet"/>
      <w:lvlText w:val="o"/>
      <w:lvlJc w:val="left"/>
      <w:pPr>
        <w:ind w:left="1800" w:hanging="360"/>
      </w:pPr>
      <w:rPr>
        <w:rFonts w:ascii="Courier New" w:eastAsia="Courier New" w:hAnsi="Courier New"/>
        <w:w w:val="100"/>
        <w:sz w:val="20"/>
        <w:szCs w:val="20"/>
        <w:shd w:val="clear" w:color="auto" w:fill="auto"/>
      </w:rPr>
    </w:lvl>
    <w:lvl w:ilvl="2" w:tplc="E40AEFBC">
      <w:start w:val="1"/>
      <w:numFmt w:val="bullet"/>
      <w:lvlText w:val="§"/>
      <w:lvlJc w:val="left"/>
      <w:pPr>
        <w:ind w:left="2520" w:hanging="360"/>
      </w:pPr>
      <w:rPr>
        <w:rFonts w:ascii="Wingdings" w:eastAsia="Wingdings" w:hAnsi="Wingdings"/>
        <w:w w:val="100"/>
        <w:sz w:val="20"/>
        <w:szCs w:val="20"/>
        <w:shd w:val="clear" w:color="auto" w:fill="auto"/>
      </w:rPr>
    </w:lvl>
    <w:lvl w:ilvl="3" w:tplc="C4906B88">
      <w:start w:val="1"/>
      <w:numFmt w:val="bullet"/>
      <w:lvlText w:val="·"/>
      <w:lvlJc w:val="left"/>
      <w:pPr>
        <w:ind w:left="3240" w:hanging="360"/>
      </w:pPr>
      <w:rPr>
        <w:rFonts w:ascii="Symbol" w:eastAsia="Symbol" w:hAnsi="Symbol"/>
        <w:w w:val="100"/>
        <w:sz w:val="20"/>
        <w:szCs w:val="20"/>
        <w:shd w:val="clear" w:color="auto" w:fill="auto"/>
      </w:rPr>
    </w:lvl>
    <w:lvl w:ilvl="4" w:tplc="C69E24AC">
      <w:start w:val="1"/>
      <w:numFmt w:val="bullet"/>
      <w:lvlText w:val="o"/>
      <w:lvlJc w:val="left"/>
      <w:pPr>
        <w:ind w:left="3960" w:hanging="360"/>
      </w:pPr>
      <w:rPr>
        <w:rFonts w:ascii="Courier New" w:eastAsia="Courier New" w:hAnsi="Courier New"/>
        <w:w w:val="100"/>
        <w:sz w:val="20"/>
        <w:szCs w:val="20"/>
        <w:shd w:val="clear" w:color="auto" w:fill="auto"/>
      </w:rPr>
    </w:lvl>
    <w:lvl w:ilvl="5" w:tplc="249A6EA6">
      <w:start w:val="1"/>
      <w:numFmt w:val="bullet"/>
      <w:lvlText w:val="§"/>
      <w:lvlJc w:val="left"/>
      <w:pPr>
        <w:ind w:left="4680" w:hanging="360"/>
      </w:pPr>
      <w:rPr>
        <w:rFonts w:ascii="Wingdings" w:eastAsia="Wingdings" w:hAnsi="Wingdings"/>
        <w:w w:val="100"/>
        <w:sz w:val="20"/>
        <w:szCs w:val="20"/>
        <w:shd w:val="clear" w:color="auto" w:fill="auto"/>
      </w:rPr>
    </w:lvl>
    <w:lvl w:ilvl="6" w:tplc="4EB62900">
      <w:start w:val="1"/>
      <w:numFmt w:val="bullet"/>
      <w:lvlText w:val="·"/>
      <w:lvlJc w:val="left"/>
      <w:pPr>
        <w:ind w:left="5400" w:hanging="360"/>
      </w:pPr>
      <w:rPr>
        <w:rFonts w:ascii="Symbol" w:eastAsia="Symbol" w:hAnsi="Symbol"/>
        <w:w w:val="100"/>
        <w:sz w:val="20"/>
        <w:szCs w:val="20"/>
        <w:shd w:val="clear" w:color="auto" w:fill="auto"/>
      </w:rPr>
    </w:lvl>
    <w:lvl w:ilvl="7" w:tplc="427C07F6">
      <w:start w:val="1"/>
      <w:numFmt w:val="bullet"/>
      <w:lvlText w:val="o"/>
      <w:lvlJc w:val="left"/>
      <w:pPr>
        <w:ind w:left="6120" w:hanging="360"/>
      </w:pPr>
      <w:rPr>
        <w:rFonts w:ascii="Courier New" w:eastAsia="Courier New" w:hAnsi="Courier New"/>
        <w:w w:val="100"/>
        <w:sz w:val="20"/>
        <w:szCs w:val="20"/>
        <w:shd w:val="clear" w:color="auto" w:fill="auto"/>
      </w:rPr>
    </w:lvl>
    <w:lvl w:ilvl="8" w:tplc="C43E187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4B28EE67"/>
    <w:lvl w:ilvl="0" w:tplc="F7BEF8AE">
      <w:start w:val="1"/>
      <w:numFmt w:val="bullet"/>
      <w:lvlText w:val="·"/>
      <w:lvlJc w:val="left"/>
      <w:pPr>
        <w:ind w:left="1080" w:hanging="360"/>
      </w:pPr>
      <w:rPr>
        <w:rFonts w:ascii="Symbol" w:eastAsia="Symbol" w:hAnsi="Symbol"/>
        <w:w w:val="100"/>
        <w:sz w:val="20"/>
        <w:szCs w:val="20"/>
        <w:shd w:val="clear" w:color="auto" w:fill="auto"/>
      </w:rPr>
    </w:lvl>
    <w:lvl w:ilvl="1" w:tplc="F3189058">
      <w:start w:val="1"/>
      <w:numFmt w:val="bullet"/>
      <w:lvlText w:val="o"/>
      <w:lvlJc w:val="left"/>
      <w:pPr>
        <w:ind w:left="1800" w:hanging="360"/>
      </w:pPr>
      <w:rPr>
        <w:rFonts w:ascii="Courier New" w:eastAsia="Courier New" w:hAnsi="Courier New"/>
        <w:w w:val="100"/>
        <w:sz w:val="20"/>
        <w:szCs w:val="20"/>
        <w:shd w:val="clear" w:color="auto" w:fill="auto"/>
      </w:rPr>
    </w:lvl>
    <w:lvl w:ilvl="2" w:tplc="F23C68B4">
      <w:start w:val="1"/>
      <w:numFmt w:val="bullet"/>
      <w:lvlText w:val="§"/>
      <w:lvlJc w:val="left"/>
      <w:pPr>
        <w:ind w:left="2520" w:hanging="360"/>
      </w:pPr>
      <w:rPr>
        <w:rFonts w:ascii="Wingdings" w:eastAsia="Wingdings" w:hAnsi="Wingdings"/>
        <w:w w:val="100"/>
        <w:sz w:val="20"/>
        <w:szCs w:val="20"/>
        <w:shd w:val="clear" w:color="auto" w:fill="auto"/>
      </w:rPr>
    </w:lvl>
    <w:lvl w:ilvl="3" w:tplc="47481ADE">
      <w:start w:val="1"/>
      <w:numFmt w:val="bullet"/>
      <w:lvlText w:val="·"/>
      <w:lvlJc w:val="left"/>
      <w:pPr>
        <w:ind w:left="3240" w:hanging="360"/>
      </w:pPr>
      <w:rPr>
        <w:rFonts w:ascii="Symbol" w:eastAsia="Symbol" w:hAnsi="Symbol"/>
        <w:w w:val="100"/>
        <w:sz w:val="20"/>
        <w:szCs w:val="20"/>
        <w:shd w:val="clear" w:color="auto" w:fill="auto"/>
      </w:rPr>
    </w:lvl>
    <w:lvl w:ilvl="4" w:tplc="38125F6A">
      <w:start w:val="1"/>
      <w:numFmt w:val="bullet"/>
      <w:lvlText w:val="o"/>
      <w:lvlJc w:val="left"/>
      <w:pPr>
        <w:ind w:left="3960" w:hanging="360"/>
      </w:pPr>
      <w:rPr>
        <w:rFonts w:ascii="Courier New" w:eastAsia="Courier New" w:hAnsi="Courier New"/>
        <w:w w:val="100"/>
        <w:sz w:val="20"/>
        <w:szCs w:val="20"/>
        <w:shd w:val="clear" w:color="auto" w:fill="auto"/>
      </w:rPr>
    </w:lvl>
    <w:lvl w:ilvl="5" w:tplc="EFF88B00">
      <w:start w:val="1"/>
      <w:numFmt w:val="bullet"/>
      <w:lvlText w:val="§"/>
      <w:lvlJc w:val="left"/>
      <w:pPr>
        <w:ind w:left="4680" w:hanging="360"/>
      </w:pPr>
      <w:rPr>
        <w:rFonts w:ascii="Wingdings" w:eastAsia="Wingdings" w:hAnsi="Wingdings"/>
        <w:w w:val="100"/>
        <w:sz w:val="20"/>
        <w:szCs w:val="20"/>
        <w:shd w:val="clear" w:color="auto" w:fill="auto"/>
      </w:rPr>
    </w:lvl>
    <w:lvl w:ilvl="6" w:tplc="E260004E">
      <w:start w:val="1"/>
      <w:numFmt w:val="bullet"/>
      <w:lvlText w:val="·"/>
      <w:lvlJc w:val="left"/>
      <w:pPr>
        <w:ind w:left="5400" w:hanging="360"/>
      </w:pPr>
      <w:rPr>
        <w:rFonts w:ascii="Symbol" w:eastAsia="Symbol" w:hAnsi="Symbol"/>
        <w:w w:val="100"/>
        <w:sz w:val="20"/>
        <w:szCs w:val="20"/>
        <w:shd w:val="clear" w:color="auto" w:fill="auto"/>
      </w:rPr>
    </w:lvl>
    <w:lvl w:ilvl="7" w:tplc="1E786A38">
      <w:start w:val="1"/>
      <w:numFmt w:val="bullet"/>
      <w:lvlText w:val="o"/>
      <w:lvlJc w:val="left"/>
      <w:pPr>
        <w:ind w:left="6120" w:hanging="360"/>
      </w:pPr>
      <w:rPr>
        <w:rFonts w:ascii="Courier New" w:eastAsia="Courier New" w:hAnsi="Courier New"/>
        <w:w w:val="100"/>
        <w:sz w:val="20"/>
        <w:szCs w:val="20"/>
        <w:shd w:val="clear" w:color="auto" w:fill="auto"/>
      </w:rPr>
    </w:lvl>
    <w:lvl w:ilvl="8" w:tplc="4FB0A54C">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6C3BD2BD"/>
    <w:lvl w:ilvl="0" w:tplc="D26C36E2">
      <w:start w:val="1"/>
      <w:numFmt w:val="decimal"/>
      <w:lvlText w:val="%1."/>
      <w:lvlJc w:val="left"/>
      <w:pPr>
        <w:ind w:left="1080" w:hanging="360"/>
      </w:pPr>
    </w:lvl>
    <w:lvl w:ilvl="1" w:tplc="E6C22FB6">
      <w:start w:val="1"/>
      <w:numFmt w:val="lowerLetter"/>
      <w:lvlText w:val="%2."/>
      <w:lvlJc w:val="left"/>
      <w:pPr>
        <w:ind w:left="1800" w:hanging="360"/>
      </w:pPr>
    </w:lvl>
    <w:lvl w:ilvl="2" w:tplc="9F806A0E">
      <w:start w:val="1"/>
      <w:numFmt w:val="lowerRoman"/>
      <w:lvlText w:val="%3."/>
      <w:lvlJc w:val="right"/>
      <w:pPr>
        <w:ind w:left="2340" w:hanging="180"/>
      </w:pPr>
    </w:lvl>
    <w:lvl w:ilvl="3" w:tplc="28EC6490">
      <w:start w:val="1"/>
      <w:numFmt w:val="decimal"/>
      <w:lvlText w:val="%4."/>
      <w:lvlJc w:val="left"/>
      <w:pPr>
        <w:ind w:left="3240" w:hanging="360"/>
      </w:pPr>
    </w:lvl>
    <w:lvl w:ilvl="4" w:tplc="5BBCD680">
      <w:start w:val="1"/>
      <w:numFmt w:val="lowerLetter"/>
      <w:lvlText w:val="%5."/>
      <w:lvlJc w:val="left"/>
      <w:pPr>
        <w:ind w:left="3960" w:hanging="360"/>
      </w:pPr>
    </w:lvl>
    <w:lvl w:ilvl="5" w:tplc="95C4063A">
      <w:start w:val="1"/>
      <w:numFmt w:val="lowerRoman"/>
      <w:lvlText w:val="%6."/>
      <w:lvlJc w:val="right"/>
      <w:pPr>
        <w:ind w:left="4500" w:hanging="180"/>
      </w:pPr>
    </w:lvl>
    <w:lvl w:ilvl="6" w:tplc="2216E6D8">
      <w:start w:val="1"/>
      <w:numFmt w:val="decimal"/>
      <w:lvlText w:val="%7."/>
      <w:lvlJc w:val="left"/>
      <w:pPr>
        <w:ind w:left="5400" w:hanging="360"/>
      </w:pPr>
    </w:lvl>
    <w:lvl w:ilvl="7" w:tplc="A31E52E8">
      <w:start w:val="1"/>
      <w:numFmt w:val="lowerLetter"/>
      <w:lvlText w:val="%8."/>
      <w:lvlJc w:val="left"/>
      <w:pPr>
        <w:ind w:left="6120" w:hanging="360"/>
      </w:pPr>
    </w:lvl>
    <w:lvl w:ilvl="8" w:tplc="EC5E60B4">
      <w:start w:val="1"/>
      <w:numFmt w:val="lowerRoman"/>
      <w:lvlText w:val="%9."/>
      <w:lvlJc w:val="right"/>
      <w:pPr>
        <w:ind w:left="6660" w:hanging="180"/>
      </w:pPr>
    </w:lvl>
  </w:abstractNum>
  <w:abstractNum w:abstractNumId="13" w15:restartNumberingAfterBreak="0">
    <w:nsid w:val="2DFF3B0B"/>
    <w:multiLevelType w:val="hybridMultilevel"/>
    <w:tmpl w:val="988A8D70"/>
    <w:lvl w:ilvl="0" w:tplc="27C280B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F40E8"/>
    <w:multiLevelType w:val="hybridMultilevel"/>
    <w:tmpl w:val="A3602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AE2B70"/>
    <w:multiLevelType w:val="multilevel"/>
    <w:tmpl w:val="452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B75E6"/>
    <w:multiLevelType w:val="hybridMultilevel"/>
    <w:tmpl w:val="780D04C9"/>
    <w:lvl w:ilvl="0" w:tplc="15245B78">
      <w:start w:val="1"/>
      <w:numFmt w:val="bullet"/>
      <w:lvlText w:val="·"/>
      <w:lvlJc w:val="left"/>
      <w:pPr>
        <w:ind w:left="1080" w:hanging="360"/>
      </w:pPr>
      <w:rPr>
        <w:rFonts w:ascii="Symbol" w:eastAsia="Symbol" w:hAnsi="Symbol"/>
        <w:w w:val="100"/>
        <w:sz w:val="20"/>
        <w:szCs w:val="20"/>
        <w:shd w:val="clear" w:color="auto" w:fill="auto"/>
      </w:rPr>
    </w:lvl>
    <w:lvl w:ilvl="1" w:tplc="8AD81CE0">
      <w:start w:val="1"/>
      <w:numFmt w:val="bullet"/>
      <w:lvlText w:val="o"/>
      <w:lvlJc w:val="left"/>
      <w:pPr>
        <w:ind w:left="1800" w:hanging="360"/>
      </w:pPr>
      <w:rPr>
        <w:rFonts w:ascii="Courier New" w:eastAsia="Courier New" w:hAnsi="Courier New"/>
        <w:w w:val="100"/>
        <w:sz w:val="20"/>
        <w:szCs w:val="20"/>
        <w:shd w:val="clear" w:color="auto" w:fill="auto"/>
      </w:rPr>
    </w:lvl>
    <w:lvl w:ilvl="2" w:tplc="1AFA4A50">
      <w:start w:val="1"/>
      <w:numFmt w:val="bullet"/>
      <w:lvlText w:val="§"/>
      <w:lvlJc w:val="left"/>
      <w:pPr>
        <w:ind w:left="2520" w:hanging="360"/>
      </w:pPr>
      <w:rPr>
        <w:rFonts w:ascii="Wingdings" w:eastAsia="Wingdings" w:hAnsi="Wingdings"/>
        <w:w w:val="100"/>
        <w:sz w:val="20"/>
        <w:szCs w:val="20"/>
        <w:shd w:val="clear" w:color="auto" w:fill="auto"/>
      </w:rPr>
    </w:lvl>
    <w:lvl w:ilvl="3" w:tplc="3246F302">
      <w:start w:val="1"/>
      <w:numFmt w:val="bullet"/>
      <w:lvlText w:val="·"/>
      <w:lvlJc w:val="left"/>
      <w:pPr>
        <w:ind w:left="3240" w:hanging="360"/>
      </w:pPr>
      <w:rPr>
        <w:rFonts w:ascii="Symbol" w:eastAsia="Symbol" w:hAnsi="Symbol"/>
        <w:w w:val="100"/>
        <w:sz w:val="20"/>
        <w:szCs w:val="20"/>
        <w:shd w:val="clear" w:color="auto" w:fill="auto"/>
      </w:rPr>
    </w:lvl>
    <w:lvl w:ilvl="4" w:tplc="25967130">
      <w:start w:val="1"/>
      <w:numFmt w:val="bullet"/>
      <w:lvlText w:val="o"/>
      <w:lvlJc w:val="left"/>
      <w:pPr>
        <w:ind w:left="3960" w:hanging="360"/>
      </w:pPr>
      <w:rPr>
        <w:rFonts w:ascii="Courier New" w:eastAsia="Courier New" w:hAnsi="Courier New"/>
        <w:w w:val="100"/>
        <w:sz w:val="20"/>
        <w:szCs w:val="20"/>
        <w:shd w:val="clear" w:color="auto" w:fill="auto"/>
      </w:rPr>
    </w:lvl>
    <w:lvl w:ilvl="5" w:tplc="B838F106">
      <w:start w:val="1"/>
      <w:numFmt w:val="bullet"/>
      <w:lvlText w:val="§"/>
      <w:lvlJc w:val="left"/>
      <w:pPr>
        <w:ind w:left="4680" w:hanging="360"/>
      </w:pPr>
      <w:rPr>
        <w:rFonts w:ascii="Wingdings" w:eastAsia="Wingdings" w:hAnsi="Wingdings"/>
        <w:w w:val="100"/>
        <w:sz w:val="20"/>
        <w:szCs w:val="20"/>
        <w:shd w:val="clear" w:color="auto" w:fill="auto"/>
      </w:rPr>
    </w:lvl>
    <w:lvl w:ilvl="6" w:tplc="FD1E2FD0">
      <w:start w:val="1"/>
      <w:numFmt w:val="bullet"/>
      <w:lvlText w:val="·"/>
      <w:lvlJc w:val="left"/>
      <w:pPr>
        <w:ind w:left="5400" w:hanging="360"/>
      </w:pPr>
      <w:rPr>
        <w:rFonts w:ascii="Symbol" w:eastAsia="Symbol" w:hAnsi="Symbol"/>
        <w:w w:val="100"/>
        <w:sz w:val="20"/>
        <w:szCs w:val="20"/>
        <w:shd w:val="clear" w:color="auto" w:fill="auto"/>
      </w:rPr>
    </w:lvl>
    <w:lvl w:ilvl="7" w:tplc="C55CF5E0">
      <w:start w:val="1"/>
      <w:numFmt w:val="bullet"/>
      <w:lvlText w:val="o"/>
      <w:lvlJc w:val="left"/>
      <w:pPr>
        <w:ind w:left="6120" w:hanging="360"/>
      </w:pPr>
      <w:rPr>
        <w:rFonts w:ascii="Courier New" w:eastAsia="Courier New" w:hAnsi="Courier New"/>
        <w:w w:val="100"/>
        <w:sz w:val="20"/>
        <w:szCs w:val="20"/>
        <w:shd w:val="clear" w:color="auto" w:fill="auto"/>
      </w:rPr>
    </w:lvl>
    <w:lvl w:ilvl="8" w:tplc="3DA40702">
      <w:start w:val="1"/>
      <w:numFmt w:val="bullet"/>
      <w:lvlText w:val="§"/>
      <w:lvlJc w:val="left"/>
      <w:pPr>
        <w:ind w:left="6840" w:hanging="360"/>
      </w:pPr>
      <w:rPr>
        <w:rFonts w:ascii="Wingdings" w:eastAsia="Wingdings" w:hAnsi="Wingdings"/>
        <w:w w:val="100"/>
        <w:sz w:val="20"/>
        <w:szCs w:val="20"/>
        <w:shd w:val="clear" w:color="auto" w:fill="auto"/>
      </w:rPr>
    </w:lvl>
  </w:abstractNum>
  <w:num w:numId="1">
    <w:abstractNumId w:val="16"/>
  </w:num>
  <w:num w:numId="2">
    <w:abstractNumId w:val="11"/>
  </w:num>
  <w:num w:numId="3">
    <w:abstractNumId w:val="6"/>
  </w:num>
  <w:num w:numId="4">
    <w:abstractNumId w:val="4"/>
  </w:num>
  <w:num w:numId="5">
    <w:abstractNumId w:val="12"/>
  </w:num>
  <w:num w:numId="6">
    <w:abstractNumId w:val="5"/>
  </w:num>
  <w:num w:numId="7">
    <w:abstractNumId w:val="7"/>
  </w:num>
  <w:num w:numId="8">
    <w:abstractNumId w:val="9"/>
  </w:num>
  <w:num w:numId="9">
    <w:abstractNumId w:val="2"/>
  </w:num>
  <w:num w:numId="10">
    <w:abstractNumId w:val="8"/>
  </w:num>
  <w:num w:numId="11">
    <w:abstractNumId w:val="10"/>
  </w:num>
  <w:num w:numId="12">
    <w:abstractNumId w:val="3"/>
  </w:num>
  <w:num w:numId="13">
    <w:abstractNumId w:val="0"/>
  </w:num>
  <w:num w:numId="14">
    <w:abstractNumId w:val="1"/>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4"/>
  </w:compat>
  <w:docVars>
    <w:docVar w:name="DocStatus" w:val="Green"/>
    <w:docVar w:name="LW_CORRIGENDUM" w:val="CORRIGENDUM_x000b__x000b_This document corrects document COM(2019) 174 final of 10.4.2019. _x000b_Concerns all language versions._x000b_Correction of the last sentence of the second paragraph of point 1.2._x000b_The text shall read as follows:"/>
    <w:docVar w:name="LW_COVERPAGE_EXISTS" w:val="True"/>
    <w:docVar w:name="LW_COVERPAGE_GUID" w:val="8697A4E9-F847-42C5-A345-707210EB9396"/>
    <w:docVar w:name="LW_COVERPAGE_TYPE" w:val="1"/>
    <w:docVar w:name="LW_CROSSREFERENCE" w:val="&lt;UNUSED&gt;"/>
    <w:docVar w:name="LW_DocType" w:val="NORMAL"/>
    <w:docVar w:name="LW_EMISSION" w:val="15.4.2019"/>
    <w:docVar w:name="LW_EMISSION_ISODATE" w:val="2019-04-15"/>
    <w:docVar w:name="LW_EMISSION_LOCATION" w:val="BRX"/>
    <w:docVar w:name="LW_EMISSION_PREFIX" w:val="Bruksela, dnia "/>
    <w:docVar w:name="LW_EMISSION_SUFFIX" w:val=" r."/>
    <w:docVar w:name="LW_ID_DOCTYPE_NONLW" w:val="CP-012"/>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2"/>
    <w:docVar w:name="LW_REF.INST.NEW_TEXT" w:val="(2019) 1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rzecie sprawozdanie roczne w sprawie Instrumentu Pomocy dla Uchod\u378?ców w Turcji_x000d__x000d__x000d__x000d__x000d__x000d__x000b_"/>
    <w:docVar w:name="LW_TYPE.DOC.CP" w:val="KOMUNIKAT KOMISJI DO PARLAMENTU EUROPEJSKIEGO I RADY"/>
    <w:docVar w:name="LW_TYPE.DOC.CP.USERTEXT" w:val="&lt;EMPTY&gt;"/>
  </w:docVars>
  <w:rsids>
    <w:rsidRoot w:val="00E90063"/>
    <w:rsid w:val="00006781"/>
    <w:rsid w:val="00010E50"/>
    <w:rsid w:val="00017684"/>
    <w:rsid w:val="00037558"/>
    <w:rsid w:val="00042E33"/>
    <w:rsid w:val="00044366"/>
    <w:rsid w:val="000500C3"/>
    <w:rsid w:val="00051658"/>
    <w:rsid w:val="000520F0"/>
    <w:rsid w:val="00062123"/>
    <w:rsid w:val="000768F3"/>
    <w:rsid w:val="00093DE4"/>
    <w:rsid w:val="00094369"/>
    <w:rsid w:val="00096111"/>
    <w:rsid w:val="000A244B"/>
    <w:rsid w:val="000B140D"/>
    <w:rsid w:val="000C1423"/>
    <w:rsid w:val="000C37CD"/>
    <w:rsid w:val="000C4138"/>
    <w:rsid w:val="000D59A1"/>
    <w:rsid w:val="000D7482"/>
    <w:rsid w:val="000E15A8"/>
    <w:rsid w:val="000F547E"/>
    <w:rsid w:val="00100A6A"/>
    <w:rsid w:val="00112BBE"/>
    <w:rsid w:val="001136E6"/>
    <w:rsid w:val="001164A2"/>
    <w:rsid w:val="00136B35"/>
    <w:rsid w:val="00150C0B"/>
    <w:rsid w:val="00154A29"/>
    <w:rsid w:val="00163E88"/>
    <w:rsid w:val="00195980"/>
    <w:rsid w:val="001A38FE"/>
    <w:rsid w:val="001A466A"/>
    <w:rsid w:val="001A6B4D"/>
    <w:rsid w:val="001B4027"/>
    <w:rsid w:val="001B6EF5"/>
    <w:rsid w:val="001E59AD"/>
    <w:rsid w:val="001F2559"/>
    <w:rsid w:val="001F39D0"/>
    <w:rsid w:val="001F775F"/>
    <w:rsid w:val="00206AD1"/>
    <w:rsid w:val="00232D63"/>
    <w:rsid w:val="0025354F"/>
    <w:rsid w:val="00256041"/>
    <w:rsid w:val="00270F6F"/>
    <w:rsid w:val="002816A1"/>
    <w:rsid w:val="002913F3"/>
    <w:rsid w:val="00292E5E"/>
    <w:rsid w:val="002C1885"/>
    <w:rsid w:val="002C2C21"/>
    <w:rsid w:val="002C6752"/>
    <w:rsid w:val="002E7A8C"/>
    <w:rsid w:val="002F0837"/>
    <w:rsid w:val="00303F2F"/>
    <w:rsid w:val="003110AA"/>
    <w:rsid w:val="0031540D"/>
    <w:rsid w:val="00325AAE"/>
    <w:rsid w:val="00335B18"/>
    <w:rsid w:val="0033748D"/>
    <w:rsid w:val="00342913"/>
    <w:rsid w:val="00345FA5"/>
    <w:rsid w:val="00347C9A"/>
    <w:rsid w:val="00360A4A"/>
    <w:rsid w:val="00392AF4"/>
    <w:rsid w:val="00394F61"/>
    <w:rsid w:val="003C3941"/>
    <w:rsid w:val="003D6328"/>
    <w:rsid w:val="003E4C6A"/>
    <w:rsid w:val="003E59A7"/>
    <w:rsid w:val="003F1B01"/>
    <w:rsid w:val="00400919"/>
    <w:rsid w:val="00414297"/>
    <w:rsid w:val="00424673"/>
    <w:rsid w:val="00427B0B"/>
    <w:rsid w:val="00435926"/>
    <w:rsid w:val="004362C2"/>
    <w:rsid w:val="0045688F"/>
    <w:rsid w:val="004574AC"/>
    <w:rsid w:val="00461755"/>
    <w:rsid w:val="00463663"/>
    <w:rsid w:val="00464275"/>
    <w:rsid w:val="00473634"/>
    <w:rsid w:val="004B230A"/>
    <w:rsid w:val="004B593C"/>
    <w:rsid w:val="004C2387"/>
    <w:rsid w:val="004C4B2D"/>
    <w:rsid w:val="004E2CDF"/>
    <w:rsid w:val="004E2F64"/>
    <w:rsid w:val="004F4FD2"/>
    <w:rsid w:val="00502702"/>
    <w:rsid w:val="00507309"/>
    <w:rsid w:val="00523273"/>
    <w:rsid w:val="00526467"/>
    <w:rsid w:val="0053471F"/>
    <w:rsid w:val="00552762"/>
    <w:rsid w:val="0055742B"/>
    <w:rsid w:val="00557D0B"/>
    <w:rsid w:val="005662E4"/>
    <w:rsid w:val="00582737"/>
    <w:rsid w:val="00583DE3"/>
    <w:rsid w:val="005867EA"/>
    <w:rsid w:val="00590F12"/>
    <w:rsid w:val="00597AF8"/>
    <w:rsid w:val="005A40C8"/>
    <w:rsid w:val="00607ECF"/>
    <w:rsid w:val="00614774"/>
    <w:rsid w:val="0062665E"/>
    <w:rsid w:val="00631992"/>
    <w:rsid w:val="0065297A"/>
    <w:rsid w:val="00654291"/>
    <w:rsid w:val="00654510"/>
    <w:rsid w:val="006558B1"/>
    <w:rsid w:val="00656B52"/>
    <w:rsid w:val="0066728A"/>
    <w:rsid w:val="006731AA"/>
    <w:rsid w:val="00673AB7"/>
    <w:rsid w:val="00674DEB"/>
    <w:rsid w:val="006871BB"/>
    <w:rsid w:val="0069702B"/>
    <w:rsid w:val="006A637D"/>
    <w:rsid w:val="006B4BA0"/>
    <w:rsid w:val="006B50E3"/>
    <w:rsid w:val="006B747D"/>
    <w:rsid w:val="006C3DED"/>
    <w:rsid w:val="006D54CE"/>
    <w:rsid w:val="006E7F75"/>
    <w:rsid w:val="006F1ADE"/>
    <w:rsid w:val="00701F10"/>
    <w:rsid w:val="00706981"/>
    <w:rsid w:val="00707137"/>
    <w:rsid w:val="00714114"/>
    <w:rsid w:val="007172B7"/>
    <w:rsid w:val="00730187"/>
    <w:rsid w:val="007373F9"/>
    <w:rsid w:val="0074154B"/>
    <w:rsid w:val="00754BA6"/>
    <w:rsid w:val="00756F04"/>
    <w:rsid w:val="00766F30"/>
    <w:rsid w:val="00776E51"/>
    <w:rsid w:val="0077749B"/>
    <w:rsid w:val="00782CB4"/>
    <w:rsid w:val="00790ABB"/>
    <w:rsid w:val="007916E2"/>
    <w:rsid w:val="00794864"/>
    <w:rsid w:val="007A085F"/>
    <w:rsid w:val="007B60B4"/>
    <w:rsid w:val="007B762D"/>
    <w:rsid w:val="007C3BDA"/>
    <w:rsid w:val="007C437E"/>
    <w:rsid w:val="007D44B2"/>
    <w:rsid w:val="007E2168"/>
    <w:rsid w:val="007E5B6C"/>
    <w:rsid w:val="007E6FEF"/>
    <w:rsid w:val="0080238D"/>
    <w:rsid w:val="00803EA5"/>
    <w:rsid w:val="008049E4"/>
    <w:rsid w:val="00805FCB"/>
    <w:rsid w:val="00812CE3"/>
    <w:rsid w:val="008141F0"/>
    <w:rsid w:val="00816011"/>
    <w:rsid w:val="00824213"/>
    <w:rsid w:val="008262E3"/>
    <w:rsid w:val="0083674F"/>
    <w:rsid w:val="00844532"/>
    <w:rsid w:val="00850ABA"/>
    <w:rsid w:val="00862D35"/>
    <w:rsid w:val="00864003"/>
    <w:rsid w:val="00867EB4"/>
    <w:rsid w:val="00870359"/>
    <w:rsid w:val="008715EB"/>
    <w:rsid w:val="00882C48"/>
    <w:rsid w:val="008939A8"/>
    <w:rsid w:val="008A1FAE"/>
    <w:rsid w:val="008A425E"/>
    <w:rsid w:val="008A645A"/>
    <w:rsid w:val="008B0E3C"/>
    <w:rsid w:val="008D1920"/>
    <w:rsid w:val="008D3D82"/>
    <w:rsid w:val="008E2A80"/>
    <w:rsid w:val="008F1CAB"/>
    <w:rsid w:val="008F5783"/>
    <w:rsid w:val="0090740C"/>
    <w:rsid w:val="00910F8C"/>
    <w:rsid w:val="009311A1"/>
    <w:rsid w:val="009375B5"/>
    <w:rsid w:val="0094669F"/>
    <w:rsid w:val="00953346"/>
    <w:rsid w:val="00961714"/>
    <w:rsid w:val="0096253B"/>
    <w:rsid w:val="00973070"/>
    <w:rsid w:val="00974476"/>
    <w:rsid w:val="00977618"/>
    <w:rsid w:val="009879A9"/>
    <w:rsid w:val="00990AF5"/>
    <w:rsid w:val="009A47C4"/>
    <w:rsid w:val="009B14E9"/>
    <w:rsid w:val="009C2C18"/>
    <w:rsid w:val="009D0146"/>
    <w:rsid w:val="009D4AAE"/>
    <w:rsid w:val="009E06A9"/>
    <w:rsid w:val="009E2AED"/>
    <w:rsid w:val="009F5963"/>
    <w:rsid w:val="009F6E21"/>
    <w:rsid w:val="00A009FC"/>
    <w:rsid w:val="00A01F29"/>
    <w:rsid w:val="00A137CB"/>
    <w:rsid w:val="00A33774"/>
    <w:rsid w:val="00A345D4"/>
    <w:rsid w:val="00A35AD3"/>
    <w:rsid w:val="00A36B13"/>
    <w:rsid w:val="00A43470"/>
    <w:rsid w:val="00A43980"/>
    <w:rsid w:val="00A51754"/>
    <w:rsid w:val="00A567BE"/>
    <w:rsid w:val="00A56A4A"/>
    <w:rsid w:val="00A640F4"/>
    <w:rsid w:val="00A67DE6"/>
    <w:rsid w:val="00A74806"/>
    <w:rsid w:val="00A8023F"/>
    <w:rsid w:val="00A9208F"/>
    <w:rsid w:val="00AA369F"/>
    <w:rsid w:val="00AB57E6"/>
    <w:rsid w:val="00AC2C23"/>
    <w:rsid w:val="00AF1A1B"/>
    <w:rsid w:val="00B00F69"/>
    <w:rsid w:val="00B0160B"/>
    <w:rsid w:val="00B017D8"/>
    <w:rsid w:val="00B12A15"/>
    <w:rsid w:val="00B2130B"/>
    <w:rsid w:val="00B550F1"/>
    <w:rsid w:val="00B605D1"/>
    <w:rsid w:val="00B75DA4"/>
    <w:rsid w:val="00B826DA"/>
    <w:rsid w:val="00BA730C"/>
    <w:rsid w:val="00BB3386"/>
    <w:rsid w:val="00BC4DF1"/>
    <w:rsid w:val="00BC6868"/>
    <w:rsid w:val="00BD0487"/>
    <w:rsid w:val="00BD610D"/>
    <w:rsid w:val="00BD70E9"/>
    <w:rsid w:val="00BE7F2C"/>
    <w:rsid w:val="00BF5D5C"/>
    <w:rsid w:val="00C03954"/>
    <w:rsid w:val="00C05599"/>
    <w:rsid w:val="00C065E6"/>
    <w:rsid w:val="00C075BD"/>
    <w:rsid w:val="00C14B61"/>
    <w:rsid w:val="00C32A5F"/>
    <w:rsid w:val="00C52D92"/>
    <w:rsid w:val="00C61DF6"/>
    <w:rsid w:val="00C716A1"/>
    <w:rsid w:val="00C7723C"/>
    <w:rsid w:val="00C80AA7"/>
    <w:rsid w:val="00C83ADE"/>
    <w:rsid w:val="00C86CE7"/>
    <w:rsid w:val="00C95BE4"/>
    <w:rsid w:val="00CA3A44"/>
    <w:rsid w:val="00CB63A6"/>
    <w:rsid w:val="00CD57E9"/>
    <w:rsid w:val="00D026DF"/>
    <w:rsid w:val="00D5105A"/>
    <w:rsid w:val="00D6406C"/>
    <w:rsid w:val="00D64D8A"/>
    <w:rsid w:val="00D674B4"/>
    <w:rsid w:val="00D67579"/>
    <w:rsid w:val="00D935D8"/>
    <w:rsid w:val="00DA0FBA"/>
    <w:rsid w:val="00DA66A2"/>
    <w:rsid w:val="00DA7D28"/>
    <w:rsid w:val="00DB1079"/>
    <w:rsid w:val="00DB3084"/>
    <w:rsid w:val="00DB31A2"/>
    <w:rsid w:val="00DB7561"/>
    <w:rsid w:val="00DC0619"/>
    <w:rsid w:val="00DC5C36"/>
    <w:rsid w:val="00DD368A"/>
    <w:rsid w:val="00DD39EB"/>
    <w:rsid w:val="00DD3C63"/>
    <w:rsid w:val="00DD66EA"/>
    <w:rsid w:val="00DE515C"/>
    <w:rsid w:val="00E1416E"/>
    <w:rsid w:val="00E1711B"/>
    <w:rsid w:val="00E22C56"/>
    <w:rsid w:val="00E23801"/>
    <w:rsid w:val="00E24441"/>
    <w:rsid w:val="00E2519C"/>
    <w:rsid w:val="00E348D1"/>
    <w:rsid w:val="00E378AE"/>
    <w:rsid w:val="00E50C63"/>
    <w:rsid w:val="00E534CF"/>
    <w:rsid w:val="00E570FD"/>
    <w:rsid w:val="00E71E02"/>
    <w:rsid w:val="00E72108"/>
    <w:rsid w:val="00E73CA1"/>
    <w:rsid w:val="00E82F4C"/>
    <w:rsid w:val="00E86A3E"/>
    <w:rsid w:val="00E90063"/>
    <w:rsid w:val="00EA0DB0"/>
    <w:rsid w:val="00EB26C4"/>
    <w:rsid w:val="00EB760F"/>
    <w:rsid w:val="00EC07AB"/>
    <w:rsid w:val="00EC2629"/>
    <w:rsid w:val="00ED205F"/>
    <w:rsid w:val="00ED34D0"/>
    <w:rsid w:val="00ED67EF"/>
    <w:rsid w:val="00EE0D8B"/>
    <w:rsid w:val="00EE4BFE"/>
    <w:rsid w:val="00EF1BDC"/>
    <w:rsid w:val="00F03923"/>
    <w:rsid w:val="00F07587"/>
    <w:rsid w:val="00F1018C"/>
    <w:rsid w:val="00F25F60"/>
    <w:rsid w:val="00F35B53"/>
    <w:rsid w:val="00F4605F"/>
    <w:rsid w:val="00F47D7D"/>
    <w:rsid w:val="00F525B0"/>
    <w:rsid w:val="00F62AC7"/>
    <w:rsid w:val="00F74D5A"/>
    <w:rsid w:val="00F87176"/>
    <w:rsid w:val="00F920DE"/>
    <w:rsid w:val="00F95FD0"/>
    <w:rsid w:val="00FA0567"/>
    <w:rsid w:val="00FB39AD"/>
    <w:rsid w:val="00FC375A"/>
    <w:rsid w:val="00FC43CE"/>
    <w:rsid w:val="00FC6B4A"/>
    <w:rsid w:val="00FC718A"/>
    <w:rsid w:val="00FD0065"/>
    <w:rsid w:val="00FD4C08"/>
    <w:rsid w:val="00FF0AFF"/>
    <w:rsid w:val="00FF442B"/>
    <w:rsid w:val="00FF5A0E"/>
    <w:rsid w:val="00FF7668"/>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2E85F61-8541-4ABB-8F81-0D6F9BAF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pl-PL"/>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7"/>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7"/>
    <w:qFormat/>
    <w:rsid w:val="00D67579"/>
    <w:pPr>
      <w:keepNext/>
      <w:keepLines/>
      <w:numPr>
        <w:numId w:val="17"/>
      </w:numPr>
      <w:spacing w:before="240" w:after="120"/>
      <w:ind w:left="714" w:hanging="357"/>
      <w:outlineLvl w:val="0"/>
    </w:pPr>
    <w:rPr>
      <w:rFonts w:ascii="Times New Roman" w:eastAsia="Arial" w:hAnsi="Times New Roman"/>
      <w:b/>
      <w:sz w:val="24"/>
      <w:szCs w:val="20"/>
    </w:rPr>
  </w:style>
  <w:style w:type="paragraph" w:styleId="Heading2">
    <w:name w:val="heading 2"/>
    <w:basedOn w:val="Normal"/>
    <w:next w:val="Normal"/>
    <w:link w:val="Heading2Char"/>
    <w:uiPriority w:val="8"/>
    <w:unhideWhenUsed/>
    <w:qFormat/>
    <w:rsid w:val="00E24441"/>
    <w:pPr>
      <w:keepNext/>
      <w:spacing w:before="120" w:after="120"/>
      <w:ind w:left="357"/>
      <w:jc w:val="both"/>
      <w:outlineLvl w:val="1"/>
    </w:pPr>
    <w:rPr>
      <w:rFonts w:ascii="Times New Roman" w:eastAsia="Arial"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ListParagraph">
    <w:name w:val="List Paragraph"/>
    <w:basedOn w:val="Normal"/>
    <w:link w:val="ListParagraphChar"/>
    <w:uiPriority w:val="34"/>
    <w:qFormat/>
    <w:pPr>
      <w:ind w:left="720"/>
    </w:pPr>
    <w:rPr>
      <w:rFonts w:eastAsia="Times New Roman"/>
      <w:sz w:val="20"/>
      <w:szCs w:val="20"/>
    </w:rPr>
  </w:style>
  <w:style w:type="paragraph" w:styleId="TOCHeading">
    <w:name w:val="TOC Heading"/>
    <w:basedOn w:val="Heading1"/>
    <w:next w:val="Normal"/>
    <w:uiPriority w:val="39"/>
    <w:unhideWhenUsed/>
    <w:qFormat/>
    <w:rPr>
      <w:rFonts w:ascii="Cambria" w:eastAsia="Cambria" w:hAnsi="Cambria"/>
      <w:color w:val="365F91" w:themeColor="accent1" w:themeShade="BF"/>
      <w:sz w:val="28"/>
      <w:szCs w:val="28"/>
    </w:rPr>
  </w:style>
  <w:style w:type="paragraph" w:styleId="TOC1">
    <w:name w:val="toc 1"/>
    <w:basedOn w:val="Normal"/>
    <w:next w:val="Normal"/>
    <w:uiPriority w:val="39"/>
    <w:unhideWhenUsed/>
  </w:style>
  <w:style w:type="paragraph" w:styleId="TOC2">
    <w:name w:val="toc 2"/>
    <w:basedOn w:val="Normal"/>
    <w:next w:val="Normal"/>
    <w:uiPriority w:val="39"/>
    <w:unhideWhenUsed/>
    <w:pPr>
      <w:ind w:left="2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ascii="Times New Roman" w:eastAsia="Times New Roman" w:hAnsi="Times New Roman"/>
      <w:sz w:val="24"/>
      <w:szCs w:val="24"/>
    </w:rPr>
  </w:style>
  <w:style w:type="character" w:customStyle="1" w:styleId="Heading1Char">
    <w:name w:val="Heading 1 Char"/>
    <w:basedOn w:val="DefaultParagraphFont"/>
    <w:link w:val="Heading1"/>
    <w:uiPriority w:val="7"/>
    <w:rsid w:val="00D67579"/>
    <w:rPr>
      <w:rFonts w:ascii="Times New Roman" w:eastAsia="Arial" w:hAnsi="Times New Roman"/>
      <w:b/>
      <w:sz w:val="24"/>
      <w:szCs w:val="20"/>
    </w:rPr>
  </w:style>
  <w:style w:type="character" w:customStyle="1" w:styleId="Heading2Char">
    <w:name w:val="Heading 2 Char"/>
    <w:basedOn w:val="DefaultParagraphFont"/>
    <w:link w:val="Heading2"/>
    <w:uiPriority w:val="8"/>
    <w:rsid w:val="00E24441"/>
    <w:rPr>
      <w:rFonts w:ascii="Times New Roman" w:eastAsia="Arial" w:hAnsi="Times New Roman"/>
      <w:b/>
      <w:sz w:val="24"/>
      <w:szCs w:val="20"/>
    </w:rPr>
  </w:style>
  <w:style w:type="character" w:styleId="Hyperlink">
    <w:name w:val="Hyperlink"/>
    <w:basedOn w:val="DefaultParagraphFont"/>
    <w:uiPriority w:val="99"/>
    <w:unhideWhenUsed/>
    <w:rPr>
      <w:color w:val="0000FF" w:themeColor="hyperlink"/>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CaptionA">
    <w:name w:val="Caption A"/>
    <w:next w:val="Normal"/>
    <w:pPr>
      <w:jc w:val="both"/>
    </w:pPr>
    <w:rPr>
      <w:rFonts w:ascii="Arial" w:eastAsia="Arial Unicode MS" w:hAnsi="Arial"/>
      <w:b/>
      <w:color w:val="000000"/>
      <w:sz w:val="20"/>
      <w:szCs w:val="20"/>
    </w:rPr>
  </w:style>
  <w:style w:type="paragraph" w:styleId="CommentText">
    <w:name w:val="annotation text"/>
    <w:basedOn w:val="Normal"/>
    <w:link w:val="CommentTextChar"/>
    <w:uiPriority w:val="99"/>
    <w:semiHidden/>
    <w:unhideWhenUsed/>
    <w:pPr>
      <w:jc w:val="both"/>
    </w:pPr>
    <w:rPr>
      <w:rFonts w:ascii="Arial" w:eastAsia="Arial Unicode MS" w:hAnsi="Arial"/>
      <w:color w:val="000000"/>
      <w:sz w:val="20"/>
      <w:szCs w:val="20"/>
    </w:rPr>
  </w:style>
  <w:style w:type="character" w:customStyle="1" w:styleId="CommentTextChar">
    <w:name w:val="Comment Text Char"/>
    <w:basedOn w:val="DefaultParagraphFont"/>
    <w:link w:val="CommentText"/>
    <w:uiPriority w:val="99"/>
    <w:semiHidden/>
    <w:rPr>
      <w:rFonts w:ascii="Arial" w:eastAsia="Arial Unicode MS" w:hAnsi="Arial"/>
      <w:color w:val="000000"/>
      <w:w w:val="100"/>
      <w:sz w:val="20"/>
      <w:szCs w:val="20"/>
      <w:shd w:val="clear" w:color="auto" w:fill="auto"/>
    </w:rPr>
  </w:style>
  <w:style w:type="character" w:styleId="CommentReference">
    <w:name w:val="annotation reference"/>
    <w:basedOn w:val="DefaultParagraphFont"/>
    <w:uiPriority w:val="99"/>
    <w:semiHidden/>
    <w:unhideWhenUsed/>
    <w:rPr>
      <w:w w:val="100"/>
      <w:sz w:val="16"/>
      <w:szCs w:val="16"/>
      <w:shd w:val="clear" w:color="auto" w:fill="auto"/>
    </w:rPr>
  </w:style>
  <w:style w:type="paragraph" w:customStyle="1" w:styleId="RenkliListe-Vurgu11">
    <w:name w:val="Renkli Liste - Vurgu 11"/>
    <w:basedOn w:val="Normal"/>
    <w:qFormat/>
    <w:pPr>
      <w:ind w:left="720"/>
    </w:pPr>
    <w:rPr>
      <w:rFonts w:eastAsia="Times New Roman"/>
      <w:sz w:val="20"/>
      <w:szCs w:val="20"/>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w w:val="100"/>
      <w:sz w:val="20"/>
      <w:szCs w:val="20"/>
      <w:shd w:val="clear" w:color="auto" w:fill="auto"/>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uiPriority w:val="99"/>
    <w:unhideWhenUsed/>
    <w:qFormat/>
    <w:rPr>
      <w:w w:val="100"/>
      <w:sz w:val="20"/>
      <w:szCs w:val="20"/>
      <w:shd w:val="clear" w:color="auto" w:fill="auto"/>
      <w:vertAlign w:val="superscript"/>
    </w:rPr>
  </w:style>
  <w:style w:type="paragraph" w:styleId="Header">
    <w:name w:val="header"/>
    <w:basedOn w:val="Normal"/>
    <w:link w:val="HeaderChar"/>
    <w:unhideWhenUsed/>
    <w:pPr>
      <w:tabs>
        <w:tab w:val="center" w:pos="4535"/>
        <w:tab w:val="right" w:pos="9071"/>
      </w:tabs>
      <w:jc w:val="both"/>
    </w:pPr>
    <w:rPr>
      <w:rFonts w:ascii="Times New Roman" w:eastAsia="Times New Roman" w:hAnsi="Times New Roman"/>
      <w:sz w:val="24"/>
      <w:szCs w:val="24"/>
    </w:rPr>
  </w:style>
  <w:style w:type="character" w:customStyle="1" w:styleId="HeaderChar">
    <w:name w:val="Header Char"/>
    <w:basedOn w:val="DefaultParagraphFont"/>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35"/>
        <w:tab w:val="right" w:pos="9071"/>
        <w:tab w:val="right" w:pos="9921"/>
      </w:tabs>
      <w:ind w:left="-850" w:right="-850"/>
    </w:pPr>
    <w:rPr>
      <w:rFonts w:ascii="Times New Roman" w:eastAsia="Times New Roman" w:hAnsi="Times New Roman"/>
      <w:sz w:val="24"/>
      <w:szCs w:val="24"/>
    </w:rPr>
  </w:style>
  <w:style w:type="character" w:customStyle="1" w:styleId="FooterChar">
    <w:name w:val="Footer Char"/>
    <w:basedOn w:val="DefaultParagraphFont"/>
    <w:link w:val="Footer"/>
    <w:rPr>
      <w:rFonts w:ascii="Times New Roman" w:eastAsia="Times New Roman" w:hAnsi="Times New Roman"/>
      <w:w w:val="100"/>
      <w:sz w:val="24"/>
      <w:szCs w:val="24"/>
      <w:shd w:val="clear" w:color="auto" w:fill="auto"/>
    </w:rPr>
  </w:style>
  <w:style w:type="paragraph" w:customStyle="1" w:styleId="Text1">
    <w:name w:val="Text 1"/>
    <w:basedOn w:val="Normal"/>
    <w:pPr>
      <w:ind w:left="482"/>
      <w:jc w:val="both"/>
    </w:pPr>
    <w:rPr>
      <w:rFonts w:ascii="Times New Roman" w:eastAsia="Times New Roman" w:hAnsi="Times New Roman"/>
      <w:sz w:val="24"/>
      <w:szCs w:val="24"/>
    </w:rPr>
  </w:style>
  <w:style w:type="character" w:customStyle="1" w:styleId="ListParagraphChar">
    <w:name w:val="List Paragraph Char"/>
    <w:link w:val="ListParagraph"/>
    <w:qFormat/>
    <w:rPr>
      <w:rFonts w:ascii="Calibri" w:eastAsia="Times New Roman" w:hAnsi="Calibri"/>
      <w:w w:val="100"/>
      <w:sz w:val="20"/>
      <w:szCs w:val="20"/>
      <w:shd w:val="clear" w:color="auto" w:fill="auto"/>
    </w:rPr>
  </w:style>
  <w:style w:type="paragraph" w:customStyle="1" w:styleId="Listpara1">
    <w:name w:val="List para 1"/>
    <w:basedOn w:val="ListParagraph"/>
    <w:link w:val="Listpara1Char"/>
    <w:qFormat/>
    <w:pPr>
      <w:numPr>
        <w:numId w:val="8"/>
      </w:numPr>
      <w:ind w:left="1071" w:hanging="357"/>
      <w:jc w:val="both"/>
    </w:pPr>
    <w:rPr>
      <w:rFonts w:ascii="Arial" w:eastAsia="Arial" w:hAnsi="Arial"/>
    </w:rPr>
  </w:style>
  <w:style w:type="character" w:customStyle="1" w:styleId="Listpara1Char">
    <w:name w:val="List para 1 Char"/>
    <w:basedOn w:val="DefaultParagraphFont"/>
    <w:link w:val="Listpara1"/>
    <w:rPr>
      <w:rFonts w:ascii="Calibri" w:eastAsia="Arial" w:hAnsi="Calibri"/>
      <w:w w:val="100"/>
      <w:sz w:val="20"/>
      <w:szCs w:val="20"/>
      <w:shd w:val="clear" w:color="auto" w:fill="auto"/>
    </w:rPr>
  </w:style>
  <w:style w:type="character" w:customStyle="1" w:styleId="Corpsdutexte">
    <w:name w:val="Corps du texte_"/>
    <w:link w:val="Corpsdutexte0"/>
    <w:rPr>
      <w:w w:val="100"/>
      <w:sz w:val="21"/>
      <w:szCs w:val="21"/>
      <w:shd w:val="clear" w:color="000000" w:fill="FFFFFF"/>
    </w:rPr>
  </w:style>
  <w:style w:type="paragraph" w:customStyle="1" w:styleId="Corpsdutexte0">
    <w:name w:val="Corps du texte"/>
    <w:basedOn w:val="Normal"/>
    <w:link w:val="Corpsdutexte"/>
    <w:pPr>
      <w:shd w:val="clear" w:color="000000" w:fill="FFFFFF"/>
      <w:jc w:val="both"/>
    </w:pPr>
    <w:rPr>
      <w:sz w:val="21"/>
      <w:szCs w:val="21"/>
    </w:rPr>
  </w:style>
  <w:style w:type="paragraph" w:styleId="CommentSubject">
    <w:name w:val="annotation subject"/>
    <w:basedOn w:val="CommentText"/>
    <w:next w:val="CommentText"/>
    <w:link w:val="CommentSubjectChar"/>
    <w:semiHidden/>
    <w:unhideWhenUsed/>
    <w:rPr>
      <w:rFonts w:ascii="Calibri" w:eastAsia="Calibri" w:hAnsi="Calibri"/>
      <w:b/>
    </w:rPr>
  </w:style>
  <w:style w:type="character" w:customStyle="1" w:styleId="CommentSubjectChar">
    <w:name w:val="Comment Subject Char"/>
    <w:basedOn w:val="CommentTextChar"/>
    <w:link w:val="CommentSubject"/>
    <w:semiHidden/>
    <w:rPr>
      <w:rFonts w:ascii="Arial" w:eastAsia="Arial Unicode MS" w:hAnsi="Arial"/>
      <w:b/>
      <w:color w:val="000000"/>
      <w:w w:val="100"/>
      <w:sz w:val="20"/>
      <w:szCs w:val="20"/>
      <w:shd w:val="clear" w:color="auto" w:fill="auto"/>
    </w:rPr>
  </w:style>
  <w:style w:type="paragraph" w:customStyle="1" w:styleId="ManualNumPar1">
    <w:name w:val="Manual NumPar 1"/>
    <w:basedOn w:val="Normal"/>
    <w:next w:val="Normal"/>
    <w:pPr>
      <w:ind w:left="1700" w:hanging="850"/>
      <w:jc w:val="both"/>
    </w:pPr>
    <w:rPr>
      <w:rFonts w:ascii="Times New Roman" w:eastAsia="Times New Roman" w:hAnsi="Times New Roman"/>
      <w:sz w:val="24"/>
      <w:szCs w:val="24"/>
    </w:rPr>
  </w:style>
  <w:style w:type="paragraph" w:customStyle="1" w:styleId="Titrearticle">
    <w:name w:val="Titre article"/>
    <w:basedOn w:val="Normal"/>
    <w:next w:val="Normal"/>
    <w:pPr>
      <w:keepNext/>
      <w:jc w:val="center"/>
    </w:pPr>
    <w:rPr>
      <w:rFonts w:ascii="Times New Roman" w:eastAsia="Times New Roman" w:hAnsi="Times New Roman"/>
      <w:i/>
      <w:sz w:val="24"/>
      <w:szCs w:val="24"/>
    </w:r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pPr>
      <w:jc w:val="both"/>
    </w:pPr>
    <w:rPr>
      <w:rFonts w:ascii="Times New Roman" w:eastAsia="Times New Roman" w:hAnsi="Times New Roman"/>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hAnsi="Times New Roman"/>
      <w:sz w:val="24"/>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w w:val="100"/>
      <w:sz w:val="20"/>
      <w:szCs w:val="20"/>
      <w:shd w:val="clear" w:color="auto" w:fill="auto"/>
    </w:rPr>
  </w:style>
  <w:style w:type="character" w:styleId="EndnoteReference">
    <w:name w:val="endnote reference"/>
    <w:basedOn w:val="DefaultParagraphFont"/>
    <w:semiHidden/>
    <w:unhideWhenUsed/>
    <w:rPr>
      <w:w w:val="100"/>
      <w:sz w:val="20"/>
      <w:szCs w:val="20"/>
      <w:shd w:val="clear" w:color="auto" w:fill="auto"/>
      <w:vertAlign w:val="superscript"/>
    </w:rPr>
  </w:style>
  <w:style w:type="paragraph" w:customStyle="1" w:styleId="Declassification">
    <w:name w:val="Declassification"/>
    <w:basedOn w:val="Normal"/>
    <w:next w:val="Normal"/>
    <w:pPr>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jc w:val="both"/>
    </w:pPr>
    <w:rPr>
      <w:rFonts w:ascii="Times New Roman" w:eastAsia="Times New Roman" w:hAnsi="Times New Roman"/>
      <w:sz w:val="24"/>
      <w:szCs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ind w:left="-567" w:right="-567"/>
    </w:pPr>
    <w:rPr>
      <w:rFonts w:ascii="Times New Roman" w:eastAsia="Times New Roman" w:hAnsi="Times New Roman"/>
      <w:sz w:val="24"/>
      <w:szCs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paragraph" w:customStyle="1" w:styleId="Default">
    <w:name w:val="Default"/>
    <w:pPr>
      <w:autoSpaceDE w:val="0"/>
      <w:autoSpaceDN w:val="0"/>
    </w:pPr>
    <w:rPr>
      <w:color w:val="000000"/>
      <w:sz w:val="24"/>
      <w:szCs w:val="24"/>
    </w:rPr>
  </w:style>
  <w:style w:type="paragraph" w:styleId="Revision">
    <w:name w:val="Revision"/>
    <w:hidden/>
    <w:uiPriority w:val="99"/>
    <w:semiHidden/>
  </w:style>
  <w:style w:type="character" w:styleId="FollowedHyperlink">
    <w:name w:val="FollowedHyperlink"/>
    <w:basedOn w:val="DefaultParagraphFont"/>
    <w:uiPriority w:val="99"/>
    <w:semiHidden/>
    <w:unhideWhenUsed/>
    <w:rsid w:val="00A56A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0435">
      <w:bodyDiv w:val="1"/>
      <w:marLeft w:val="0"/>
      <w:marRight w:val="0"/>
      <w:marTop w:val="0"/>
      <w:marBottom w:val="0"/>
      <w:divBdr>
        <w:top w:val="none" w:sz="0" w:space="0" w:color="auto"/>
        <w:left w:val="none" w:sz="0" w:space="0" w:color="auto"/>
        <w:bottom w:val="none" w:sz="0" w:space="0" w:color="auto"/>
        <w:right w:val="none" w:sz="0" w:space="0" w:color="auto"/>
      </w:divBdr>
    </w:div>
    <w:div w:id="235286003">
      <w:bodyDiv w:val="1"/>
      <w:marLeft w:val="0"/>
      <w:marRight w:val="0"/>
      <w:marTop w:val="0"/>
      <w:marBottom w:val="0"/>
      <w:divBdr>
        <w:top w:val="none" w:sz="0" w:space="0" w:color="auto"/>
        <w:left w:val="none" w:sz="0" w:space="0" w:color="auto"/>
        <w:bottom w:val="none" w:sz="0" w:space="0" w:color="auto"/>
        <w:right w:val="none" w:sz="0" w:space="0" w:color="auto"/>
      </w:divBdr>
    </w:div>
    <w:div w:id="391199488">
      <w:bodyDiv w:val="1"/>
      <w:marLeft w:val="0"/>
      <w:marRight w:val="0"/>
      <w:marTop w:val="0"/>
      <w:marBottom w:val="0"/>
      <w:divBdr>
        <w:top w:val="none" w:sz="0" w:space="0" w:color="auto"/>
        <w:left w:val="none" w:sz="0" w:space="0" w:color="auto"/>
        <w:bottom w:val="none" w:sz="0" w:space="0" w:color="auto"/>
        <w:right w:val="none" w:sz="0" w:space="0" w:color="auto"/>
      </w:divBdr>
    </w:div>
    <w:div w:id="602570665">
      <w:bodyDiv w:val="1"/>
      <w:marLeft w:val="0"/>
      <w:marRight w:val="0"/>
      <w:marTop w:val="0"/>
      <w:marBottom w:val="0"/>
      <w:divBdr>
        <w:top w:val="none" w:sz="0" w:space="0" w:color="auto"/>
        <w:left w:val="none" w:sz="0" w:space="0" w:color="auto"/>
        <w:bottom w:val="none" w:sz="0" w:space="0" w:color="auto"/>
        <w:right w:val="none" w:sz="0" w:space="0" w:color="auto"/>
      </w:divBdr>
    </w:div>
    <w:div w:id="943419621">
      <w:bodyDiv w:val="1"/>
      <w:marLeft w:val="0"/>
      <w:marRight w:val="0"/>
      <w:marTop w:val="0"/>
      <w:marBottom w:val="0"/>
      <w:divBdr>
        <w:top w:val="none" w:sz="0" w:space="0" w:color="auto"/>
        <w:left w:val="none" w:sz="0" w:space="0" w:color="auto"/>
        <w:bottom w:val="none" w:sz="0" w:space="0" w:color="auto"/>
        <w:right w:val="none" w:sz="0" w:space="0" w:color="auto"/>
      </w:divBdr>
    </w:div>
    <w:div w:id="1364744897">
      <w:bodyDiv w:val="1"/>
      <w:marLeft w:val="0"/>
      <w:marRight w:val="0"/>
      <w:marTop w:val="0"/>
      <w:marBottom w:val="0"/>
      <w:divBdr>
        <w:top w:val="none" w:sz="0" w:space="0" w:color="auto"/>
        <w:left w:val="none" w:sz="0" w:space="0" w:color="auto"/>
        <w:bottom w:val="none" w:sz="0" w:space="0" w:color="auto"/>
        <w:right w:val="none" w:sz="0" w:space="0" w:color="auto"/>
      </w:divBdr>
    </w:div>
    <w:div w:id="1660232118">
      <w:bodyDiv w:val="1"/>
      <w:marLeft w:val="0"/>
      <w:marRight w:val="0"/>
      <w:marTop w:val="0"/>
      <w:marBottom w:val="0"/>
      <w:divBdr>
        <w:top w:val="none" w:sz="0" w:space="0" w:color="auto"/>
        <w:left w:val="none" w:sz="0" w:space="0" w:color="auto"/>
        <w:bottom w:val="none" w:sz="0" w:space="0" w:color="auto"/>
        <w:right w:val="none" w:sz="0" w:space="0" w:color="auto"/>
      </w:divBdr>
    </w:div>
    <w:div w:id="1759013627">
      <w:bodyDiv w:val="1"/>
      <w:marLeft w:val="0"/>
      <w:marRight w:val="0"/>
      <w:marTop w:val="0"/>
      <w:marBottom w:val="0"/>
      <w:divBdr>
        <w:top w:val="none" w:sz="0" w:space="0" w:color="auto"/>
        <w:left w:val="none" w:sz="0" w:space="0" w:color="auto"/>
        <w:bottom w:val="none" w:sz="0" w:space="0" w:color="auto"/>
        <w:right w:val="none" w:sz="0" w:space="0" w:color="auto"/>
      </w:divBdr>
    </w:div>
    <w:div w:id="1853838563">
      <w:bodyDiv w:val="1"/>
      <w:marLeft w:val="0"/>
      <w:marRight w:val="0"/>
      <w:marTop w:val="0"/>
      <w:marBottom w:val="0"/>
      <w:divBdr>
        <w:top w:val="none" w:sz="0" w:space="0" w:color="auto"/>
        <w:left w:val="none" w:sz="0" w:space="0" w:color="auto"/>
        <w:bottom w:val="none" w:sz="0" w:space="0" w:color="auto"/>
        <w:right w:val="none" w:sz="0" w:space="0" w:color="auto"/>
      </w:divBdr>
    </w:div>
    <w:div w:id="21118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pl/press/press-releases/2018/06/29/facility-for-refugees-in-turkey-member-states-agree-details-of-additional-funding/" TargetMode="External"/><Relationship Id="rId13" Type="http://schemas.openxmlformats.org/officeDocument/2006/relationships/hyperlink" Target="https://www.eca.europa.eu/Lists/ECADocuments/SR18_27/SR_TRF_PL.pdf" TargetMode="External"/><Relationship Id="rId18" Type="http://schemas.openxmlformats.org/officeDocument/2006/relationships/hyperlink" Target="http://www.goc.gov.tr/icerik6/temporary-protection_915_1024_4748_icerik" TargetMode="External"/><Relationship Id="rId26" Type="http://schemas.openxmlformats.org/officeDocument/2006/relationships/hyperlink" Target="https://www.youtube.com/watch?v=ofRVziiCVss" TargetMode="External"/><Relationship Id="rId3" Type="http://schemas.openxmlformats.org/officeDocument/2006/relationships/hyperlink" Target="http://www.goc.gov.tr/icerik6/temporary-protection_915_1024_4748_icerik" TargetMode="External"/><Relationship Id="rId21" Type="http://schemas.openxmlformats.org/officeDocument/2006/relationships/hyperlink" Target="https://ec.europa.eu/neighbourhood-enlargement/sites/near/files/1811_facility_monitoring_report.pdf" TargetMode="External"/><Relationship Id="rId7" Type="http://schemas.openxmlformats.org/officeDocument/2006/relationships/hyperlink" Target="http://www.consilium.europa.eu/pl/press/press-releases/2016/02/03/refugee-facility-for-turkey/" TargetMode="External"/><Relationship Id="rId12" Type="http://schemas.openxmlformats.org/officeDocument/2006/relationships/hyperlink" Target="https://www.consilium.europa.eu/pl/press/press-releases/2016/05/12/conclusions-on-forced-displacement-and-development/" TargetMode="External"/><Relationship Id="rId17" Type="http://schemas.openxmlformats.org/officeDocument/2006/relationships/hyperlink" Target="https://ec.europa.eu/neighbourhood-enlargement/sites/near/files/facility_table.pdf" TargetMode="External"/><Relationship Id="rId25" Type="http://schemas.openxmlformats.org/officeDocument/2006/relationships/hyperlink" Target="https://www.youtube.com/channel/UC6FP0xxlSG8xtesxTG_xjkg" TargetMode="External"/><Relationship Id="rId2" Type="http://schemas.openxmlformats.org/officeDocument/2006/relationships/hyperlink" Target="https://eur-lex.europa.eu/legal-content/PL/TXT/PDF/?uri=CELEX:52018DC0091" TargetMode="External"/><Relationship Id="rId16" Type="http://schemas.openxmlformats.org/officeDocument/2006/relationships/hyperlink" Target="https://ec.europa.eu/echo/sites/echo-site/files/echo_tur_bud_2018_91000_v2.pdf" TargetMode="External"/><Relationship Id="rId20" Type="http://schemas.openxmlformats.org/officeDocument/2006/relationships/hyperlink" Target="https://ec.europa.eu/echo/blog/turkey-conditional-cash-transfer-education-programme-increases-school-attendance-syrian-and_en" TargetMode="External"/><Relationship Id="rId29" Type="http://schemas.openxmlformats.org/officeDocument/2006/relationships/hyperlink" Target="https://www.youtube.com/watch?v=HQXZUPgl6Hk" TargetMode="External"/><Relationship Id="rId1" Type="http://schemas.openxmlformats.org/officeDocument/2006/relationships/hyperlink" Target="https://eur-lex.europa.eu/legal-content/PL/TXT/PDF/?uri=CELEX:52017DC0130" TargetMode="External"/><Relationship Id="rId6" Type="http://schemas.openxmlformats.org/officeDocument/2006/relationships/hyperlink" Target="https://ec.europa.eu/neighbourhood-enlargement/neighbourhood/countries/syria/madad_en" TargetMode="External"/><Relationship Id="rId11" Type="http://schemas.openxmlformats.org/officeDocument/2006/relationships/hyperlink" Target="https://ec.europa.eu/neighbourhood-enlargement/sites/near/files/updated_needs_assessment.pdf" TargetMode="External"/><Relationship Id="rId24" Type="http://schemas.openxmlformats.org/officeDocument/2006/relationships/hyperlink" Target="https://www.youtube.com/watch?v=80IhP3g4PiY&amp;list=PL3xTi8eO-wuv5sFdgYdrGeI-DK7FtZz2f" TargetMode="External"/><Relationship Id="rId32" Type="http://schemas.openxmlformats.org/officeDocument/2006/relationships/hyperlink" Target="https://www.avrupa.info.tr/en/learning-language-key-new-life-7410" TargetMode="External"/><Relationship Id="rId5" Type="http://schemas.openxmlformats.org/officeDocument/2006/relationships/hyperlink" Target="http://europa.eu/rapid/press-release_MEMO-15-5860_pl.htm" TargetMode="External"/><Relationship Id="rId15" Type="http://schemas.openxmlformats.org/officeDocument/2006/relationships/hyperlink" Target="https://ec.europa.eu/neighbourhood-enlargement/sites/near/files/c_2018_8254_f1_annex_en_v3_p1_1001797.pdf" TargetMode="External"/><Relationship Id="rId23" Type="http://schemas.openxmlformats.org/officeDocument/2006/relationships/hyperlink" Target="https://www.incredibleordinary.org/" TargetMode="External"/><Relationship Id="rId28" Type="http://schemas.openxmlformats.org/officeDocument/2006/relationships/hyperlink" Target="https://www.youtube.com/watch?v=McaZl5tZAOM" TargetMode="External"/><Relationship Id="rId10" Type="http://schemas.openxmlformats.org/officeDocument/2006/relationships/hyperlink" Target="https://ec.europa.eu/neighbourhood-enlargement/sites/near/files/c_2018_4959_facility_commission_decision.pdf" TargetMode="External"/><Relationship Id="rId19" Type="http://schemas.openxmlformats.org/officeDocument/2006/relationships/hyperlink" Target="https://ec.europa.eu/echo/financing-decisions-hips-2018_en" TargetMode="External"/><Relationship Id="rId31" Type="http://schemas.openxmlformats.org/officeDocument/2006/relationships/hyperlink" Target="https://www.avrupa.info.tr/en/news/looking-inspiration-start-over-7487" TargetMode="External"/><Relationship Id="rId4" Type="http://schemas.openxmlformats.org/officeDocument/2006/relationships/hyperlink" Target="http://www.consilium.europa.eu/pl/press/press-releases/2016/03/18/eu-turkey-statement/" TargetMode="External"/><Relationship Id="rId9" Type="http://schemas.openxmlformats.org/officeDocument/2006/relationships/hyperlink" Target="https://ec.europa.eu/neighbourhood-enlargement/sites/near/files/c_2018_1500_facility_commission_decision.pdf" TargetMode="External"/><Relationship Id="rId14" Type="http://schemas.openxmlformats.org/officeDocument/2006/relationships/hyperlink" Target="https://ec.europa.eu/neighbourhood-enlargement/sites/near/files/facility_special_measure_on_education_2018.pdf" TargetMode="External"/><Relationship Id="rId22" Type="http://schemas.openxmlformats.org/officeDocument/2006/relationships/hyperlink" Target="https://www.eca.europa.eu/Lists/ECADocuments/SR18_27/SR_TRF_PL.pdf" TargetMode="External"/><Relationship Id="rId27" Type="http://schemas.openxmlformats.org/officeDocument/2006/relationships/hyperlink" Target="https://www.youtube.com/watch?v=BR6AgSF8AJ4" TargetMode="External"/><Relationship Id="rId30" Type="http://schemas.openxmlformats.org/officeDocument/2006/relationships/hyperlink" Target="https://youtu.be/Sq3xkKXjBoc"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net1.cec.eu.int\NEAR\A\5\Facility\4.%20Reporting\4.%20Reports\3.%20Annual%20Report%20on%20the%20Facility\3rd%20Report\15Jan2019_List%20of%20Facility%20projects%20-%20contracting%20and%20paym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298785074546094"/>
          <c:y val="5.1568627450980391E-2"/>
          <c:w val="0.32335481776118191"/>
          <c:h val="0.73283685333725812"/>
        </c:manualLayout>
      </c:layout>
      <c:pieChart>
        <c:varyColors val="1"/>
        <c:ser>
          <c:idx val="0"/>
          <c:order val="0"/>
          <c:tx>
            <c:strRef>
              <c:f>'FRIT 1 Pivot and Graphs (2)'!$B$31</c:f>
              <c:strCache>
                <c:ptCount val="1"/>
                <c:pt idx="0">
                  <c:v>Sum of Amount committed/allocated/decided 
(in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1-560C-43A9-A92E-3685010A2C0C}"/>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3-560C-43A9-A92E-3685010A2C0C}"/>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5-560C-43A9-A92E-3685010A2C0C}"/>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7-560C-43A9-A92E-3685010A2C0C}"/>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9-560C-43A9-A92E-3685010A2C0C}"/>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Lst>
          </c:dLbls>
          <c:cat>
            <c:strRef>
              <c:f>'FRIT 1 Pivot and Graphs (2)'!$A$32:$A$35</c:f>
              <c:strCache>
                <c:ptCount val="4"/>
                <c:pt idx="0">
                  <c:v>ECHO</c:v>
                </c:pt>
                <c:pt idx="1">
                  <c:v>EUTF</c:v>
                </c:pt>
                <c:pt idx="2">
                  <c:v>FPI/IcSP</c:v>
                </c:pt>
                <c:pt idx="3">
                  <c:v>IPA</c:v>
                </c:pt>
              </c:strCache>
            </c:strRef>
          </c:cat>
          <c:val>
            <c:numRef>
              <c:f>'FRIT 1 Pivot and Graphs (2)'!$B$32:$B$35</c:f>
              <c:numCache>
                <c:formatCode>General</c:formatCode>
                <c:ptCount val="4"/>
                <c:pt idx="0">
                  <c:v>1385322121.4400001</c:v>
                </c:pt>
                <c:pt idx="1">
                  <c:v>293000000</c:v>
                </c:pt>
                <c:pt idx="2">
                  <c:v>20000000</c:v>
                </c:pt>
                <c:pt idx="3">
                  <c:v>1284711512</c:v>
                </c:pt>
              </c:numCache>
            </c:numRef>
          </c:val>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A-560C-43A9-A92E-3685010A2C0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3349730768190059E-2"/>
          <c:y val="0.85325042313636013"/>
          <c:w val="0.95763074712643703"/>
          <c:h val="0.10988303881369668"/>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484B-684C-4166-8CE4-6A58195C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6249</Words>
  <Characters>39934</Characters>
  <Application>Microsoft Office Word</Application>
  <DocSecurity>0</DocSecurity>
  <Lines>633</Lines>
  <Paragraphs>139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ENEGREN Nina (NEAR)</dc:creator>
  <cp:lastModifiedBy>LAGES CARVALHO Patrick (SG)</cp:lastModifiedBy>
  <cp:revision>4</cp:revision>
  <dcterms:created xsi:type="dcterms:W3CDTF">2019-04-15T11:00:00Z</dcterms:created>
  <dcterms:modified xsi:type="dcterms:W3CDTF">2019-04-16T12:06:00Z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