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6A4CB80-251C-41D7-B9AA-9A3DEE22CB4A"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t>ONTWERP</w:t>
      </w:r>
    </w:p>
    <w:p>
      <w:pPr>
        <w:jc w:val="center"/>
        <w:rPr>
          <w:b/>
          <w:noProof/>
        </w:rPr>
      </w:pPr>
      <w:r>
        <w:rPr>
          <w:b/>
          <w:noProof/>
        </w:rPr>
        <w:t>Besluit nr. .../2019 van de bij de overeenkomst betreffende een gemeenschappelijke regeling inzake douanevervoer van 20 mei 1987 ingestelde Gemengde Commissie EU-CTC</w:t>
      </w:r>
    </w:p>
    <w:p>
      <w:pPr>
        <w:jc w:val="center"/>
        <w:rPr>
          <w:b/>
          <w:noProof/>
        </w:rPr>
      </w:pPr>
      <w:r>
        <w:rPr>
          <w:b/>
          <w:noProof/>
        </w:rPr>
        <w:t>van ..... 2019</w:t>
      </w:r>
    </w:p>
    <w:p>
      <w:pPr>
        <w:jc w:val="center"/>
        <w:rPr>
          <w:b/>
          <w:noProof/>
        </w:rPr>
      </w:pPr>
      <w:r>
        <w:rPr>
          <w:b/>
          <w:noProof/>
        </w:rPr>
        <w:t>tot wijziging van die overeenkomst</w:t>
      </w:r>
    </w:p>
    <w:p>
      <w:pPr>
        <w:rPr>
          <w:noProof/>
        </w:rPr>
      </w:pPr>
    </w:p>
    <w:p>
      <w:pPr>
        <w:keepNext/>
        <w:spacing w:before="600"/>
        <w:rPr>
          <w:noProof/>
        </w:rPr>
      </w:pPr>
      <w:r>
        <w:rPr>
          <w:noProof/>
        </w:rPr>
        <w:t>DE GEMENGDE COMMISSIE EU-CTC,</w:t>
      </w:r>
    </w:p>
    <w:p>
      <w:pPr>
        <w:rPr>
          <w:noProof/>
        </w:rPr>
      </w:pPr>
      <w:r>
        <w:rPr>
          <w:noProof/>
        </w:rPr>
        <w:t>Gezien de overeenkomst betreffende een gemeenschappelijke regeling inzake douanevervoer van 20 mei 1987, en met name artikel 15, lid 3, onder a),</w:t>
      </w:r>
    </w:p>
    <w:p>
      <w:pPr>
        <w:rPr>
          <w:noProof/>
        </w:rPr>
      </w:pPr>
    </w:p>
    <w:p>
      <w:pPr>
        <w:rPr>
          <w:noProof/>
        </w:rPr>
      </w:pPr>
      <w:r>
        <w:rPr>
          <w:noProof/>
        </w:rPr>
        <w:t>Overwegende hetgeen volgt:</w:t>
      </w:r>
    </w:p>
    <w:p>
      <w:pPr>
        <w:pStyle w:val="Considrant"/>
        <w:numPr>
          <w:ilvl w:val="0"/>
          <w:numId w:val="1"/>
        </w:numPr>
        <w:rPr>
          <w:noProof/>
        </w:rPr>
      </w:pPr>
      <w:r>
        <w:rPr>
          <w:noProof/>
        </w:rPr>
        <w:t>Ingevolge artikel 15, lid 3, onder a), van de overeenkomst betreffende een gemeenschappelijke regeling inzake douanevervoer van 20 mei 1987</w:t>
      </w:r>
      <w:r>
        <w:rPr>
          <w:rStyle w:val="FootnoteReference"/>
          <w:noProof/>
        </w:rPr>
        <w:footnoteReference w:id="1"/>
      </w:r>
      <w:r>
        <w:rPr>
          <w:noProof/>
        </w:rPr>
        <w:t xml:space="preserve"> (hierna "de overeenkomst" genoemd) stelt de bij die overeenkomst ingestelde Gemengde Commissie bij besluit wijzigingen in de aanhangsels van de overeenkomst vast. </w:t>
      </w:r>
    </w:p>
    <w:p>
      <w:pPr>
        <w:pStyle w:val="Considrant"/>
        <w:rPr>
          <w:noProof/>
        </w:rPr>
      </w:pPr>
      <w:r>
        <w:rPr>
          <w:noProof/>
        </w:rPr>
        <w:t>De bepalingen van de overeenkomst over de vereenvoudig van het douanevervoer, te weten het gebruik van het elektronische vervoersdocument (ETD) als aangifte voor douanevervoer door de lucht, zijn sinds 1 mei 2018 van toepassing. De vorige vereenvoudiging van het douanevervoer door de lucht kon slechts tot 1 mei 2018 worden gebruikt. Daarom moeten alle verwijzingen naar de vorige vereenvoudiging van het douanevervoer door de lucht dienovereenkomstig worden gewijzigd.</w:t>
      </w:r>
    </w:p>
    <w:p>
      <w:pPr>
        <w:pStyle w:val="Considrant"/>
        <w:rPr>
          <w:noProof/>
        </w:rPr>
      </w:pPr>
      <w:r>
        <w:rPr>
          <w:noProof/>
        </w:rPr>
        <w:t>Verordening (EU) 2016/679 van het Europees Parlement en de Raad</w:t>
      </w:r>
      <w:r>
        <w:rPr>
          <w:rStyle w:val="FootnoteReference"/>
          <w:noProof/>
        </w:rPr>
        <w:footnoteReference w:id="2"/>
      </w:r>
      <w:r>
        <w:rPr>
          <w:noProof/>
        </w:rPr>
        <w:t>, waarin een rechtskader voor de bescherming van persoonsgegevens in de Unie is vastgelegd, is op 24 mei 2018 in werking getreden. Met die verordening werd de vorige rechtshandeling op dit gebied, Richtlijn 95/46/EG van het Europees Parlement en de Raad</w:t>
      </w:r>
      <w:r>
        <w:rPr>
          <w:rStyle w:val="FootnoteReference"/>
          <w:noProof/>
        </w:rPr>
        <w:footnoteReference w:id="3"/>
      </w:r>
      <w:r>
        <w:rPr>
          <w:noProof/>
        </w:rPr>
        <w:t>, ingetrokken. De verwijzingen naar Richtlijn 95/46/EG in aanhangsel I van de overeenkomst moeten dus worden vervangen door verwijzingen naar Verordening (EU) 2016/679.</w:t>
      </w:r>
    </w:p>
    <w:p>
      <w:pPr>
        <w:pStyle w:val="Considrant"/>
        <w:rPr>
          <w:noProof/>
        </w:rPr>
      </w:pPr>
      <w:r>
        <w:rPr>
          <w:noProof/>
        </w:rPr>
        <w:t>Artikel 84 van Gedelegeerde Verordening (EU) 2015/2446 van de Commissie</w:t>
      </w:r>
      <w:r>
        <w:rPr>
          <w:rStyle w:val="FootnoteReference"/>
          <w:noProof/>
        </w:rPr>
        <w:footnoteReference w:id="4"/>
      </w:r>
      <w:r>
        <w:rPr>
          <w:noProof/>
        </w:rPr>
        <w:t>, waarin de door een aanvrager te vervullen voorwaarden zijn vastgelegd om een doorlopende zekerheid voor een verminderd bedrag te mogen stellen of van zekerheidstelling te worden ontheven, is gewijzigd</w:t>
      </w:r>
      <w:r>
        <w:rPr>
          <w:rStyle w:val="FootnoteReference"/>
          <w:noProof/>
        </w:rPr>
        <w:footnoteReference w:id="5"/>
      </w:r>
      <w:r>
        <w:rPr>
          <w:noProof/>
        </w:rPr>
        <w:t>. Als gevolg van de wijziging is de verplichting om over voldoende financiële middelen te beschikken als afzonderlijke voorwaarde afgeschaft, omdat uit praktijkervaring bleek dat deze voorwaarde te restrictief is uitgelegd en alleen op de beschikbaarheid van liquide middelen was gericht. Daarom moet bij de beoordeling van de financiële draagkracht van marktdeelnemers rekening worden gehouden met de beoordeling van de mate waarin zij het volledige schuldbedrag kunnen betalen. Artikel 75 van aanhangsel I van de overeenkomst geeft de bepalingen van artikel 84 van Gedelegeerde Verordening (EU) 2015/2446 van de Commissie weer en moet dus dienovereenkomstig worden gewijzigd.</w:t>
      </w:r>
    </w:p>
    <w:p>
      <w:pPr>
        <w:pStyle w:val="Considrant"/>
        <w:rPr>
          <w:noProof/>
        </w:rPr>
      </w:pPr>
      <w:r>
        <w:rPr>
          <w:noProof/>
        </w:rPr>
        <w:t>Momenteel zijn de voorwaarden waaronder via de T2-corridor vervoerde goederen de douanestatus van Uniegoederen behouden, vastgelegd in artikel 2 bis van titel I van aanhangsel II van de overeenkomst, waarvan het toepassingsgebied beperkt is tot goederen die niet onder de regeling uitvoer worden geplaatst. Het was niet de bedoeling om een dergelijke beperking voor via de T2-corridor vervoerde Uniegoederen vast te stellen. Daarom moet artikel 2 bis van aanhangsel II van de overeenkomst uit titel I worden geschrapt en moet een nieuw artikel worden ingevoegd in een nieuwe titel I bis, waarin een dergelijke beperking niet geldt.</w:t>
      </w:r>
    </w:p>
    <w:p>
      <w:pPr>
        <w:pStyle w:val="Considrant"/>
        <w:rPr>
          <w:noProof/>
        </w:rPr>
      </w:pPr>
      <w:r>
        <w:rPr>
          <w:noProof/>
        </w:rPr>
        <w:t>Naar aanleiding van de kennisgeving door Noord-Macedonië aan de VN en de EU van de inwerkingtreding van de Prespa-overeenkomst met ingang van 15 februari 2019, heeft het land dat voorheen "de voormalige Joegoslavische Republiek Macedonië" werd genoemd, zijn naam veranderd in "de Republiek Noord-Macedonië". De aanhangsels III en III bis van de overeenkomst moeten daarom worden gewijzigd om rekening te houden met de wijziging van de naam van dat land en van de respectieve landcode.</w:t>
      </w:r>
    </w:p>
    <w:p>
      <w:pPr>
        <w:pStyle w:val="Formuledadoption"/>
        <w:rPr>
          <w:noProof/>
        </w:rPr>
      </w:pPr>
      <w:r>
        <w:rPr>
          <w:noProof/>
        </w:rPr>
        <w:t>De overeenkomst moet daarom dienovereenkomstig worden gewijzigd,</w:t>
      </w:r>
    </w:p>
    <w:p>
      <w:pPr>
        <w:keepNext/>
        <w:rPr>
          <w:noProof/>
        </w:rPr>
      </w:pPr>
      <w:r>
        <w:rPr>
          <w:noProof/>
        </w:rPr>
        <w:t>HEEFT HET VOLGENDE BESLUIT VASTGESTELD:</w:t>
      </w:r>
    </w:p>
    <w:p>
      <w:pPr>
        <w:pStyle w:val="Titrearticle"/>
        <w:rPr>
          <w:noProof/>
        </w:rPr>
      </w:pPr>
      <w:r>
        <w:rPr>
          <w:noProof/>
        </w:rPr>
        <w:t>Artikel 1</w:t>
      </w:r>
    </w:p>
    <w:p>
      <w:pPr>
        <w:rPr>
          <w:noProof/>
        </w:rPr>
      </w:pPr>
      <w:r>
        <w:rPr>
          <w:noProof/>
        </w:rPr>
        <w:t>1. Aanhangsel I van de overeenkomst wordt gewijzigd overeenkomstig bijlage A bij dit besluit.</w:t>
      </w:r>
    </w:p>
    <w:p>
      <w:pPr>
        <w:rPr>
          <w:noProof/>
        </w:rPr>
      </w:pPr>
      <w:r>
        <w:rPr>
          <w:noProof/>
        </w:rPr>
        <w:t>2. Aanhangsel II van de overeenkomst wordt gewijzigd overeenkomstig bijlage B bij dit besluit.</w:t>
      </w:r>
    </w:p>
    <w:p>
      <w:pPr>
        <w:rPr>
          <w:noProof/>
        </w:rPr>
      </w:pPr>
      <w:r>
        <w:rPr>
          <w:noProof/>
        </w:rPr>
        <w:t>3. Aanhangsel III van de overeenkomst wordt gewijzigd overeenkomstig bijlage C bij dit besluit.</w:t>
      </w:r>
    </w:p>
    <w:p>
      <w:pPr>
        <w:rPr>
          <w:noProof/>
        </w:rPr>
      </w:pPr>
      <w:r>
        <w:rPr>
          <w:noProof/>
        </w:rPr>
        <w:t>4. Aanhangsel III bis van de overeenkomst wordt gewijzigd overeenkomstig bijlage C bij dit besluit.</w:t>
      </w:r>
    </w:p>
    <w:p>
      <w:pPr>
        <w:pStyle w:val="Titrearticle"/>
        <w:rPr>
          <w:noProof/>
        </w:rPr>
      </w:pPr>
      <w:r>
        <w:rPr>
          <w:noProof/>
        </w:rPr>
        <w:t>Artikel 2</w:t>
      </w:r>
    </w:p>
    <w:p>
      <w:pPr>
        <w:rPr>
          <w:noProof/>
        </w:rPr>
      </w:pPr>
      <w:r>
        <w:rPr>
          <w:noProof/>
        </w:rPr>
        <w:t>Dit besluit treedt in werking op de dag van de bekendmaking ervan.</w:t>
      </w:r>
    </w:p>
    <w:p>
      <w:pPr>
        <w:rPr>
          <w:noProof/>
        </w:rPr>
      </w:pPr>
    </w:p>
    <w:p>
      <w:pPr>
        <w:pStyle w:val="Fait"/>
        <w:rPr>
          <w:noProof/>
        </w:rPr>
      </w:pPr>
      <w:r>
        <w:rPr>
          <w:noProof/>
        </w:rPr>
        <w:t>Gedaan te........,</w:t>
      </w:r>
    </w:p>
    <w:p>
      <w:pPr>
        <w:pStyle w:val="Personnequisigne"/>
        <w:rPr>
          <w:noProof/>
        </w:rPr>
      </w:pPr>
      <w:r>
        <w:rPr>
          <w:noProof/>
        </w:rPr>
        <w:t xml:space="preserve"> </w:t>
      </w:r>
      <w:r>
        <w:rPr>
          <w:noProof/>
        </w:rPr>
        <w:tab/>
      </w:r>
      <w:r>
        <w:rPr>
          <w:noProof/>
        </w:rPr>
        <w:tab/>
      </w:r>
      <w:r>
        <w:rPr>
          <w:noProof/>
        </w:rPr>
        <w:tab/>
      </w:r>
      <w:r>
        <w:rPr>
          <w:noProof/>
        </w:rPr>
        <w:tab/>
        <w:t>Voor de Gemengde Commissie,</w:t>
      </w:r>
    </w:p>
    <w:p>
      <w:pPr>
        <w:pStyle w:val="Personnequisigne"/>
        <w:rPr>
          <w:noProof/>
        </w:rPr>
      </w:pPr>
      <w:r>
        <w:rPr>
          <w:noProof/>
        </w:rPr>
        <w:tab/>
      </w:r>
      <w:r>
        <w:rPr>
          <w:noProof/>
        </w:rPr>
        <w:tab/>
      </w:r>
      <w:r>
        <w:rPr>
          <w:noProof/>
        </w:rPr>
        <w:tab/>
      </w:r>
      <w:r>
        <w:rPr>
          <w:noProof/>
        </w:rPr>
        <w:tab/>
        <w:t>De voorzitter</w:t>
      </w:r>
    </w:p>
    <w:p>
      <w:pPr>
        <w:spacing w:before="0" w:after="200" w:line="276" w:lineRule="auto"/>
        <w:jc w:val="left"/>
        <w:rPr>
          <w:noProof/>
        </w:rPr>
      </w:pPr>
      <w:r>
        <w:rPr>
          <w:noProof/>
        </w:rPr>
        <w:br w:type="page"/>
      </w:r>
    </w:p>
    <w:p>
      <w:pPr>
        <w:jc w:val="center"/>
        <w:rPr>
          <w:b/>
          <w:noProof/>
        </w:rPr>
      </w:pPr>
      <w:r>
        <w:rPr>
          <w:b/>
          <w:noProof/>
        </w:rPr>
        <w:t>BIJLAGE A</w:t>
      </w:r>
    </w:p>
    <w:p>
      <w:pPr>
        <w:jc w:val="left"/>
        <w:rPr>
          <w:noProof/>
        </w:rPr>
      </w:pPr>
      <w:r>
        <w:rPr>
          <w:noProof/>
        </w:rPr>
        <w:t>Aanhangsel I van de overeenkomst wordt als volgt gewijzigd:</w:t>
      </w:r>
    </w:p>
    <w:p>
      <w:pPr>
        <w:rPr>
          <w:noProof/>
        </w:rPr>
      </w:pPr>
      <w:r>
        <w:rPr>
          <w:noProof/>
        </w:rPr>
        <w:t>(1)</w:t>
      </w:r>
      <w:r>
        <w:rPr>
          <w:noProof/>
        </w:rPr>
        <w:tab/>
        <w:t>In artikel 7 wordt lid 2 vervangen door:</w:t>
      </w:r>
    </w:p>
    <w:p>
      <w:pPr>
        <w:ind w:left="720"/>
        <w:rPr>
          <w:noProof/>
        </w:rPr>
      </w:pPr>
      <w:r>
        <w:rPr>
          <w:noProof/>
        </w:rPr>
        <w:t>"2. De overeenkomstsluitende partijen dragen er zorg voor dat de verwerking van de persoonsgegevens die bij de toepassing van deze overeenkomst worden uitgewisseld, geschiedt in overeenstemming met Verordening (EU) 2016/679 van het Europees Parlement en de Raad</w:t>
      </w:r>
      <w:r>
        <w:rPr>
          <w:rStyle w:val="FootnoteReference"/>
          <w:noProof/>
        </w:rPr>
        <w:footnoteReference w:id="6"/>
      </w:r>
      <w:r>
        <w:rPr>
          <w:noProof/>
        </w:rPr>
        <w:t>";</w:t>
      </w:r>
    </w:p>
    <w:p>
      <w:pPr>
        <w:rPr>
          <w:noProof/>
        </w:rPr>
      </w:pPr>
      <w:r>
        <w:rPr>
          <w:noProof/>
        </w:rPr>
        <w:t>(2)</w:t>
      </w:r>
      <w:r>
        <w:rPr>
          <w:noProof/>
        </w:rPr>
        <w:tab/>
        <w:t>In artikel 13, lid 1, wordt punt a) vervangen door:</w:t>
      </w:r>
    </w:p>
    <w:p>
      <w:pPr>
        <w:ind w:left="720"/>
        <w:rPr>
          <w:noProof/>
        </w:rPr>
      </w:pPr>
      <w:r>
        <w:rPr>
          <w:noProof/>
        </w:rPr>
        <w:t>"a) voor goederen vervoerd door de lucht waarbij gebruik wordt gemaakt van de regeling douanevervoer door de lucht op basis van een elektronisch vervoersdocument als aangifte voor douanevervoer voor vervoer door de lucht;";</w:t>
      </w:r>
    </w:p>
    <w:p>
      <w:pPr>
        <w:rPr>
          <w:noProof/>
        </w:rPr>
      </w:pPr>
      <w:r>
        <w:rPr>
          <w:noProof/>
        </w:rPr>
        <w:t>(3)</w:t>
      </w:r>
      <w:r>
        <w:rPr>
          <w:noProof/>
        </w:rPr>
        <w:tab/>
        <w:t>Artikel 55 wordt als volgt gewijzigd:</w:t>
      </w:r>
    </w:p>
    <w:p>
      <w:pPr>
        <w:ind w:firstLine="720"/>
        <w:rPr>
          <w:noProof/>
        </w:rPr>
      </w:pPr>
      <w:r>
        <w:rPr>
          <w:noProof/>
        </w:rPr>
        <w:t>a) lid 1, onder e), wordt vervangen door:</w:t>
      </w:r>
    </w:p>
    <w:p>
      <w:pPr>
        <w:ind w:left="720"/>
        <w:rPr>
          <w:noProof/>
        </w:rPr>
      </w:pPr>
      <w:r>
        <w:rPr>
          <w:noProof/>
        </w:rPr>
        <w:t>"e) het gebruik van de papieren regeling gemeenschappelijk douanevervoer door de lucht";</w:t>
      </w:r>
    </w:p>
    <w:p>
      <w:pPr>
        <w:ind w:firstLine="720"/>
        <w:rPr>
          <w:noProof/>
        </w:rPr>
      </w:pPr>
      <w:r>
        <w:rPr>
          <w:noProof/>
        </w:rPr>
        <w:t>b) in lid 3 wordt de tweede alinea geschrapt;</w:t>
      </w:r>
    </w:p>
    <w:p>
      <w:pPr>
        <w:rPr>
          <w:noProof/>
        </w:rPr>
      </w:pPr>
      <w:r>
        <w:rPr>
          <w:noProof/>
        </w:rPr>
        <w:t>(4)</w:t>
      </w:r>
      <w:r>
        <w:rPr>
          <w:noProof/>
        </w:rPr>
        <w:tab/>
        <w:t>In artikel 57, lid 3, wordt punt b) geschrapt;</w:t>
      </w:r>
    </w:p>
    <w:p>
      <w:pPr>
        <w:rPr>
          <w:noProof/>
        </w:rPr>
      </w:pPr>
      <w:r>
        <w:rPr>
          <w:noProof/>
        </w:rPr>
        <w:t>(5)</w:t>
      </w:r>
      <w:r>
        <w:rPr>
          <w:noProof/>
        </w:rPr>
        <w:tab/>
        <w:t>Artikel 75, lid 2, wordt als volgt gewijzigd:</w:t>
      </w:r>
    </w:p>
    <w:p>
      <w:pPr>
        <w:ind w:firstLine="720"/>
        <w:rPr>
          <w:noProof/>
        </w:rPr>
      </w:pPr>
      <w:r>
        <w:rPr>
          <w:noProof/>
        </w:rPr>
        <w:t>a)</w:t>
      </w:r>
      <w:r>
        <w:rPr>
          <w:noProof/>
        </w:rPr>
        <w:tab/>
        <w:t>in punt a) wordt punt vi) geschrapt;</w:t>
      </w:r>
    </w:p>
    <w:p>
      <w:pPr>
        <w:ind w:firstLine="720"/>
        <w:rPr>
          <w:noProof/>
        </w:rPr>
      </w:pPr>
      <w:r>
        <w:rPr>
          <w:noProof/>
        </w:rPr>
        <w:t>b)</w:t>
      </w:r>
      <w:r>
        <w:rPr>
          <w:noProof/>
        </w:rPr>
        <w:tab/>
        <w:t>in punt b) wordt punt vii) geschrapt;</w:t>
      </w:r>
    </w:p>
    <w:p>
      <w:pPr>
        <w:ind w:firstLine="720"/>
        <w:rPr>
          <w:noProof/>
        </w:rPr>
      </w:pPr>
      <w:r>
        <w:rPr>
          <w:noProof/>
        </w:rPr>
        <w:t>c)</w:t>
      </w:r>
      <w:r>
        <w:rPr>
          <w:noProof/>
        </w:rPr>
        <w:tab/>
        <w:t>in punt c) wordt punt xii) geschrapt;</w:t>
      </w:r>
    </w:p>
    <w:p>
      <w:pPr>
        <w:rPr>
          <w:noProof/>
        </w:rPr>
      </w:pPr>
      <w:r>
        <w:rPr>
          <w:noProof/>
        </w:rPr>
        <w:t>(6)</w:t>
      </w:r>
      <w:r>
        <w:rPr>
          <w:noProof/>
        </w:rPr>
        <w:tab/>
        <w:t xml:space="preserve">Aan artikel 75 wordt het volgende lid 3 toegevoegd: </w:t>
      </w:r>
    </w:p>
    <w:p>
      <w:pPr>
        <w:ind w:left="720"/>
        <w:rPr>
          <w:noProof/>
        </w:rPr>
      </w:pPr>
      <w:r>
        <w:rPr>
          <w:noProof/>
        </w:rPr>
        <w:t>"3.</w:t>
      </w:r>
      <w:r>
        <w:rPr>
          <w:noProof/>
        </w:rPr>
        <w:tab/>
        <w:t xml:space="preserve">Wanneer zij nagaan of de aanvrager over voldoende financiële draagkracht beschikt om vergunning te krijgen voor het gebruik van een doorlopende zekerheid voor een verminderd bedrag of ontheffing van zekerheidstelling krachtens lid 2, onder a), punt v), lid 2, onder b), punt vi) en lid 2, onder c), punt xi), houden de douaneautoriteiten rekening met de mate waarin de aanvrager in staat is aan zijn verplichtingen te voldoen met betrekking tot de betaling van zijn schulden en andere heffingen die kunnen ontstaan en die niet door die zekerheid zijn gedekt. </w:t>
      </w:r>
    </w:p>
    <w:p>
      <w:pPr>
        <w:ind w:left="720"/>
        <w:rPr>
          <w:noProof/>
        </w:rPr>
      </w:pPr>
      <w:r>
        <w:rPr>
          <w:noProof/>
        </w:rPr>
        <w:t>Indien zulks gerechtvaardigd is, kunnen de douaneautoriteiten rekening houden met het risico dat die schulden zullen ontstaan afhankelijk van het soort en de omvang van de douanegerelateerde bedrijfsactiviteiten van de aanvrager en het soort goederen die onder de zekerheid moeten vallen.";</w:t>
      </w:r>
    </w:p>
    <w:p>
      <w:pPr>
        <w:rPr>
          <w:noProof/>
        </w:rPr>
      </w:pPr>
      <w:r>
        <w:rPr>
          <w:noProof/>
        </w:rPr>
        <w:t>(7)</w:t>
      </w:r>
      <w:r>
        <w:rPr>
          <w:noProof/>
        </w:rPr>
        <w:tab/>
        <w:t xml:space="preserve">De titel van hoofdstuk VII wordt vervangen door: </w:t>
      </w:r>
    </w:p>
    <w:p>
      <w:pPr>
        <w:ind w:left="720"/>
        <w:rPr>
          <w:noProof/>
        </w:rPr>
      </w:pPr>
      <w:r>
        <w:rPr>
          <w:noProof/>
        </w:rPr>
        <w:t>"Papieren regeling gemeenschappelijk douanevervoer door de lucht en regeling gemeenschappelijk douanevervoer  op basis van een elektronisch vervoersdocument als aangifte voor douanevervoer voor vervoer door de lucht";</w:t>
      </w:r>
    </w:p>
    <w:p>
      <w:pPr>
        <w:rPr>
          <w:noProof/>
        </w:rPr>
      </w:pPr>
      <w:r>
        <w:rPr>
          <w:noProof/>
        </w:rPr>
        <w:t>(8)</w:t>
      </w:r>
      <w:r>
        <w:rPr>
          <w:noProof/>
        </w:rPr>
        <w:tab/>
        <w:t>Artikel 111 wordt geschrapt.</w:t>
      </w:r>
      <w:r>
        <w:rPr>
          <w:noProof/>
        </w:rPr>
        <w:br w:type="page"/>
      </w:r>
    </w:p>
    <w:p>
      <w:pPr>
        <w:jc w:val="center"/>
        <w:rPr>
          <w:b/>
          <w:noProof/>
        </w:rPr>
      </w:pPr>
      <w:r>
        <w:rPr>
          <w:b/>
          <w:noProof/>
        </w:rPr>
        <w:t>BIJLAGE B</w:t>
      </w:r>
    </w:p>
    <w:p>
      <w:pPr>
        <w:rPr>
          <w:noProof/>
        </w:rPr>
      </w:pPr>
      <w:r>
        <w:rPr>
          <w:noProof/>
        </w:rPr>
        <w:t>Aanhangsel II van de overeenkomst wordt als volgt gewijzigd:</w:t>
      </w:r>
    </w:p>
    <w:p>
      <w:pPr>
        <w:rPr>
          <w:noProof/>
        </w:rPr>
      </w:pPr>
      <w:r>
        <w:rPr>
          <w:noProof/>
        </w:rPr>
        <w:t>(1)</w:t>
      </w:r>
      <w:r>
        <w:rPr>
          <w:noProof/>
        </w:rPr>
        <w:tab/>
        <w:t xml:space="preserve">Het opschrift van titel I wordt vervangen door: </w:t>
      </w:r>
    </w:p>
    <w:p>
      <w:pPr>
        <w:rPr>
          <w:noProof/>
        </w:rPr>
      </w:pPr>
      <w:r>
        <w:rPr>
          <w:noProof/>
        </w:rPr>
        <w:t xml:space="preserve">"BEWIJS VAN DE DOUANESTATUS VAN UNIEGOEDEREN"; </w:t>
      </w:r>
    </w:p>
    <w:p>
      <w:pPr>
        <w:rPr>
          <w:noProof/>
        </w:rPr>
      </w:pPr>
      <w:r>
        <w:rPr>
          <w:noProof/>
        </w:rPr>
        <w:t xml:space="preserve"> (2)</w:t>
      </w:r>
      <w:r>
        <w:rPr>
          <w:noProof/>
        </w:rPr>
        <w:tab/>
        <w:t>Artikel 2 bis wordt geschrapt;</w:t>
      </w:r>
      <w:r>
        <w:rPr>
          <w:noProof/>
        </w:rPr>
        <w:tab/>
      </w:r>
    </w:p>
    <w:p>
      <w:pPr>
        <w:rPr>
          <w:noProof/>
        </w:rPr>
      </w:pPr>
      <w:r>
        <w:rPr>
          <w:noProof/>
        </w:rPr>
        <w:t xml:space="preserve">(3)  </w:t>
      </w:r>
      <w:r>
        <w:rPr>
          <w:noProof/>
        </w:rPr>
        <w:tab/>
        <w:t xml:space="preserve">De volgende titel I bis wordt ingevoegd: </w:t>
      </w:r>
    </w:p>
    <w:p>
      <w:pPr>
        <w:jc w:val="center"/>
        <w:rPr>
          <w:noProof/>
        </w:rPr>
      </w:pPr>
      <w:r>
        <w:rPr>
          <w:noProof/>
        </w:rPr>
        <w:t>"TITEL I bis</w:t>
      </w:r>
    </w:p>
    <w:p>
      <w:pPr>
        <w:jc w:val="center"/>
        <w:rPr>
          <w:noProof/>
        </w:rPr>
      </w:pPr>
      <w:r>
        <w:rPr>
          <w:noProof/>
        </w:rPr>
        <w:t>BEPALINGEN BETREFFENDE DE NIET-WIJZIGING VAN DE DOUANESTATUS VAN UNIEGOEDEREN VOOR VIA EEN T2-CORRIDOR VERVOERDE GOEDEREN</w:t>
      </w:r>
    </w:p>
    <w:p>
      <w:pPr>
        <w:jc w:val="center"/>
        <w:rPr>
          <w:i/>
          <w:noProof/>
        </w:rPr>
      </w:pPr>
      <w:r>
        <w:rPr>
          <w:i/>
          <w:noProof/>
        </w:rPr>
        <w:t>Artikel 21 bis</w:t>
      </w:r>
    </w:p>
    <w:p>
      <w:pPr>
        <w:jc w:val="center"/>
        <w:rPr>
          <w:noProof/>
        </w:rPr>
      </w:pPr>
      <w:r>
        <w:rPr>
          <w:noProof/>
        </w:rPr>
        <w:t>Vermoeden van douanestatus van Uniegoederen</w:t>
      </w:r>
    </w:p>
    <w:p>
      <w:pPr>
        <w:rPr>
          <w:noProof/>
        </w:rPr>
      </w:pPr>
    </w:p>
    <w:p>
      <w:pPr>
        <w:rPr>
          <w:noProof/>
        </w:rPr>
      </w:pPr>
      <w:r>
        <w:rPr>
          <w:noProof/>
        </w:rPr>
        <w:t>1. Goederen die de douanestatus van Uniegoederen hebben en per spoor worden vervoerd, mogen, zonder dat zij aan een douaneregeling onderworpen zijn, van de ene plaats naar een andere binnen het douanegebied van de Unie worden vervoerd via het grondgebied van een land dat deelneemt aan het gemeenschappelijk douanevervoer zonder dat hun douanestatus wijzigt, wanneer:</w:t>
      </w:r>
    </w:p>
    <w:p>
      <w:pPr>
        <w:rPr>
          <w:noProof/>
        </w:rPr>
      </w:pPr>
      <w:r>
        <w:rPr>
          <w:noProof/>
        </w:rPr>
        <w:t>— het vervoer van de goederen geschiedt onder dekking van één enkel in een lidstaat van de Europese Unie afgegeven vervoersdocument;</w:t>
      </w:r>
    </w:p>
    <w:p>
      <w:pPr>
        <w:rPr>
          <w:noProof/>
        </w:rPr>
      </w:pPr>
      <w:r>
        <w:rPr>
          <w:noProof/>
        </w:rPr>
        <w:t>— op het enkel vervoersdocument de volgende vermelding is aangebracht: "T2-corridor";</w:t>
      </w:r>
    </w:p>
    <w:p>
      <w:pPr>
        <w:rPr>
          <w:noProof/>
        </w:rPr>
      </w:pPr>
      <w:r>
        <w:rPr>
          <w:noProof/>
        </w:rPr>
        <w:t>— op de doorvoer door een land dat deelneemt aan het gemeenschappelijk douanevervoer, toezicht wordt uitgeoefend door middel van een elektronisch systeem in dat land dat deelneemt aan het gemeenschappelijk douanevervoer;</w:t>
      </w:r>
    </w:p>
    <w:p>
      <w:pPr>
        <w:rPr>
          <w:noProof/>
        </w:rPr>
      </w:pPr>
      <w:r>
        <w:rPr>
          <w:noProof/>
        </w:rPr>
        <w:t>— de betrokken spoorwegonderneming toegelaten is in het land dat deelneemt aan het gemeenschappelijk douanevervoer en over wiens grondgebied de goederen onder de "T2-corridor"-regeling worden vervoerd.</w:t>
      </w:r>
    </w:p>
    <w:p>
      <w:pPr>
        <w:rPr>
          <w:noProof/>
        </w:rPr>
      </w:pPr>
    </w:p>
    <w:p>
      <w:pPr>
        <w:rPr>
          <w:noProof/>
        </w:rPr>
      </w:pPr>
      <w:r>
        <w:rPr>
          <w:noProof/>
        </w:rPr>
        <w:t>2. Het land dat deelneemt aan het gemeenschappelijk douanevervoer, stelt de in artikel 14 van de overeenkomst bedoelde Gemengde Commissie of een door die commissie op basis van lid 5 van dat artikel opgerichte werkgroep in kennis van de nadere opzet van het elektronische toezichtsysteem en de spoorwegondernemingen die gebruik mogen maken van de in lid 1 van dit artikel genoemde regeling.".</w:t>
      </w:r>
    </w:p>
    <w:p>
      <w:pPr>
        <w:spacing w:before="0" w:after="200" w:line="276" w:lineRule="auto"/>
        <w:jc w:val="left"/>
        <w:rPr>
          <w:noProof/>
        </w:rPr>
      </w:pPr>
      <w:r>
        <w:rPr>
          <w:noProof/>
        </w:rPr>
        <w:br w:type="page"/>
      </w:r>
    </w:p>
    <w:p>
      <w:pPr>
        <w:jc w:val="center"/>
        <w:rPr>
          <w:b/>
          <w:noProof/>
        </w:rPr>
      </w:pPr>
      <w:r>
        <w:rPr>
          <w:b/>
          <w:noProof/>
        </w:rPr>
        <w:t>BIJLAGE C</w:t>
      </w:r>
    </w:p>
    <w:p>
      <w:pPr>
        <w:rPr>
          <w:noProof/>
        </w:rPr>
      </w:pPr>
    </w:p>
    <w:p>
      <w:pPr>
        <w:rPr>
          <w:noProof/>
        </w:rPr>
      </w:pPr>
      <w:r>
        <w:rPr>
          <w:noProof/>
        </w:rPr>
        <w:t>Aanhangsel III van de overeenkomst wordt als volgt gewijzigd:</w:t>
      </w:r>
    </w:p>
    <w:p>
      <w:pPr>
        <w:rPr>
          <w:noProof/>
          <w:highlight w:val="yellow"/>
        </w:rPr>
      </w:pPr>
      <w:r>
        <w:rPr>
          <w:noProof/>
        </w:rPr>
        <w:t>(1)</w:t>
      </w:r>
      <w:r>
        <w:rPr>
          <w:noProof/>
        </w:rPr>
        <w:tab/>
        <w:t xml:space="preserve">In bijlage B1 worden de woorden "MK </w:t>
      </w:r>
      <w:r>
        <w:rPr>
          <w:noProof/>
          <w:vertAlign w:val="superscript"/>
        </w:rPr>
        <w:t xml:space="preserve">(1)  </w:t>
      </w:r>
      <w:r>
        <w:rPr>
          <w:noProof/>
        </w:rPr>
        <w:t xml:space="preserve"> De voormalige Joegoslavische Republiek Macedonië" vervangen door de woorden "MK Noord-Macedonië" en wordt voetnoot </w:t>
      </w:r>
      <w:r>
        <w:rPr>
          <w:noProof/>
          <w:vertAlign w:val="superscript"/>
        </w:rPr>
        <w:t>(1)</w:t>
      </w:r>
      <w:r>
        <w:rPr>
          <w:noProof/>
        </w:rPr>
        <w:t xml:space="preserve"> geschrapt;</w:t>
      </w:r>
    </w:p>
    <w:p>
      <w:pPr>
        <w:rPr>
          <w:noProof/>
        </w:rPr>
      </w:pPr>
      <w:r>
        <w:rPr>
          <w:noProof/>
        </w:rPr>
        <w:t xml:space="preserve">(2) </w:t>
      </w:r>
      <w:r>
        <w:rPr>
          <w:noProof/>
        </w:rPr>
        <w:tab/>
        <w:t xml:space="preserve">In bijlage B6, titel III, wordt de code "MK </w:t>
      </w:r>
      <w:r>
        <w:rPr>
          <w:noProof/>
          <w:vertAlign w:val="superscript"/>
        </w:rPr>
        <w:t>(1)</w:t>
      </w:r>
      <w:r>
        <w:rPr>
          <w:noProof/>
        </w:rPr>
        <w:t>" vervangen door de code "MK";</w:t>
      </w:r>
    </w:p>
    <w:p>
      <w:pPr>
        <w:rPr>
          <w:noProof/>
        </w:rPr>
      </w:pPr>
      <w:r>
        <w:rPr>
          <w:noProof/>
        </w:rPr>
        <w:t>(3)</w:t>
      </w:r>
      <w:r>
        <w:rPr>
          <w:noProof/>
        </w:rPr>
        <w:tab/>
        <w:t>In bijlage C1, punt 1, worden de woorden "de voormalige Joegoslavische Republiek Macedonië" vervangen door de woorden "de Republiek Noord-Macedonië";</w:t>
      </w:r>
    </w:p>
    <w:p>
      <w:pPr>
        <w:rPr>
          <w:noProof/>
        </w:rPr>
      </w:pPr>
      <w:r>
        <w:rPr>
          <w:noProof/>
        </w:rPr>
        <w:t>(4)</w:t>
      </w:r>
      <w:r>
        <w:rPr>
          <w:noProof/>
        </w:rPr>
        <w:tab/>
        <w:t>In bijlage C2, punt 1, worden de woorden "de voormalige Joegoslavische Republiek Macedonië" vervangen door de woorden "de Republiek Noord-Macedonië";</w:t>
      </w:r>
    </w:p>
    <w:p>
      <w:pPr>
        <w:rPr>
          <w:noProof/>
        </w:rPr>
      </w:pPr>
      <w:r>
        <w:rPr>
          <w:noProof/>
        </w:rPr>
        <w:t>(5)</w:t>
      </w:r>
      <w:r>
        <w:rPr>
          <w:noProof/>
        </w:rPr>
        <w:tab/>
        <w:t>In bijlage C4, punt 1, worden de woorden "de voormalige Joegoslavische Republiek Macedonië" vervangen door de woorden "de Republiek Noord-Macedonië";</w:t>
      </w:r>
    </w:p>
    <w:p>
      <w:pPr>
        <w:rPr>
          <w:noProof/>
        </w:rPr>
      </w:pPr>
      <w:r>
        <w:rPr>
          <w:noProof/>
        </w:rPr>
        <w:t>(6)</w:t>
      </w:r>
      <w:r>
        <w:rPr>
          <w:noProof/>
        </w:rPr>
        <w:tab/>
        <w:t>In bijlage C5, rij 7, worden de woorden "de voormalige Joegoslavische Republiek Macedonië" vervangen door de woorden "Noord-Macedonië";</w:t>
      </w:r>
    </w:p>
    <w:p>
      <w:pPr>
        <w:rPr>
          <w:noProof/>
        </w:rPr>
      </w:pPr>
      <w:r>
        <w:rPr>
          <w:noProof/>
        </w:rPr>
        <w:t>(7)</w:t>
      </w:r>
      <w:r>
        <w:rPr>
          <w:noProof/>
        </w:rPr>
        <w:tab/>
        <w:t>In bijlage C6, rij 6, worden de woorden "de voormalige Joegoslavische Republiek Macedonië" vervangen door de woorden "Noord-Macedonië".</w:t>
      </w:r>
    </w:p>
    <w:p>
      <w:pPr>
        <w:spacing w:before="0" w:after="200" w:line="276" w:lineRule="auto"/>
        <w:jc w:val="left"/>
        <w:rPr>
          <w:noProof/>
        </w:rPr>
      </w:pPr>
      <w:r>
        <w:rPr>
          <w:noProof/>
        </w:rPr>
        <w:br w:type="page"/>
      </w:r>
    </w:p>
    <w:p>
      <w:pPr>
        <w:jc w:val="center"/>
        <w:rPr>
          <w:b/>
          <w:noProof/>
        </w:rPr>
      </w:pPr>
      <w:r>
        <w:rPr>
          <w:b/>
          <w:noProof/>
        </w:rPr>
        <w:t>BIJLAGE D</w:t>
      </w:r>
    </w:p>
    <w:p>
      <w:pPr>
        <w:jc w:val="center"/>
        <w:rPr>
          <w:noProof/>
        </w:rPr>
      </w:pPr>
    </w:p>
    <w:p>
      <w:pPr>
        <w:rPr>
          <w:noProof/>
        </w:rPr>
      </w:pPr>
      <w:r>
        <w:rPr>
          <w:noProof/>
        </w:rPr>
        <w:t xml:space="preserve">In bijlage A1 bis, titel IV, in aanhangsel III bis van de overeenkomst, wordt de code "MK </w:t>
      </w:r>
      <w:r>
        <w:rPr>
          <w:noProof/>
          <w:vertAlign w:val="superscript"/>
        </w:rPr>
        <w:t>(1)</w:t>
      </w:r>
      <w:r>
        <w:rPr>
          <w:noProof/>
        </w:rPr>
        <w:t>" vervangen door de code "MK".</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226 van 13.8.1987, blz. 2.</w:t>
      </w:r>
    </w:p>
  </w:footnote>
  <w:footnote w:id="2">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3">
    <w:p>
      <w:pPr>
        <w:pStyle w:val="FootnoteText"/>
      </w:pPr>
      <w:r>
        <w:rPr>
          <w:rStyle w:val="FootnoteReference"/>
        </w:rPr>
        <w:footnoteRef/>
      </w:r>
      <w:r>
        <w:tab/>
        <w:t>Richtlijn 95/46/EG van het Europees Parlement en de Raad van 24 oktober 1995 betreffende de bescherming van natuurlijke personen in verband met de verwerking van persoonsgegevens en betreffende het vrije verkeer van die gegevens (PB L 281 van 23.11.1995, blz. 31).</w:t>
      </w:r>
    </w:p>
  </w:footnote>
  <w:footnote w:id="4">
    <w:p>
      <w:pPr>
        <w:pStyle w:val="FootnoteText"/>
      </w:pPr>
      <w:r>
        <w:rPr>
          <w:rStyle w:val="FootnoteReference"/>
        </w:rPr>
        <w:footnoteRef/>
      </w:r>
      <w:r>
        <w:tab/>
        <w:t>Gedelegeerde Verordening (EU) 2015/2446 van de Commissie van 28 juli 2015 tot aanvulling van Verordening (EU) nr. 952/2013 van het Europees Parlement en de Raad met nadere regels betreffende een aantal bepalingen van het douanewetboek van de Unie (PB L 343 van 29.12.2015, blz. 1).</w:t>
      </w:r>
    </w:p>
  </w:footnote>
  <w:footnote w:id="5">
    <w:p>
      <w:pPr>
        <w:pStyle w:val="FootnoteText"/>
      </w:pPr>
      <w:r>
        <w:rPr>
          <w:rStyle w:val="FootnoteReference"/>
        </w:rPr>
        <w:footnoteRef/>
      </w:r>
      <w:r>
        <w:tab/>
        <w:t>Gedelegeerde Verordening (EU) 2018/1118 van de Commissie van 7 juni 2018 tot wijziging van Gedelegeerde Verordening (EU) 2015/2446 wat betreft de voorwaarden voor een vermindering van het bedrag van de doorlopende zekerheid en ontheffing van zekerheidstelling (PB L 204 van 13.8.2018, blz. 11).</w:t>
      </w:r>
    </w:p>
  </w:footnote>
  <w:footnote w:id="6">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34B8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EEE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BCD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444B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D4E2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D6D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A81FF4"/>
    <w:lvl w:ilvl="0">
      <w:start w:val="1"/>
      <w:numFmt w:val="decimal"/>
      <w:pStyle w:val="ListNumber"/>
      <w:lvlText w:val="%1."/>
      <w:lvlJc w:val="left"/>
      <w:pPr>
        <w:tabs>
          <w:tab w:val="num" w:pos="360"/>
        </w:tabs>
        <w:ind w:left="360" w:hanging="360"/>
      </w:pPr>
    </w:lvl>
  </w:abstractNum>
  <w:abstractNum w:abstractNumId="7">
    <w:nsid w:val="FFFFFF89"/>
    <w:multiLevelType w:val="singleLevel"/>
    <w:tmpl w:val="7ECA8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6: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06A4CB80-251C-41D7-B9AA-9A3DEE22CB4A"/>
    <w:docVar w:name="LW_COVERPAGE_TYPE" w:val="1"/>
    <w:docVar w:name="LW_CROSSREFERENCE" w:val="&lt;UNUSED&gt;"/>
    <w:docVar w:name="LW_DocType" w:val="ANNEX"/>
    <w:docVar w:name="LW_EMISSION" w:val="23.4.2019"/>
    <w:docVar w:name="LW_EMISSION_ISODATE" w:val="2019-04-23"/>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Gemengde Commissie EU-CTC die is ingesteld bij de overeenkomst betreffende een gemeenschappelijke regeling inzake douanevervoer van 20&lt;LWCR:NBS&gt;mei&lt;LWCR:NBS&gt;1987, met betrekking tot wijzigingen van deze overeenkomst"/>
    <w:docVar w:name="LW_OBJETACTEPRINCIPAL.CP" w:val="betreffende het standpunt dat namens de Europese Unie moet worden ingenomen in de Gemengde Commissie EU-CTC die is ingesteld bij de overeenkomst betreffende een gemeenschappelijke regeling inzake douanevervoer van 20 mei 1987, met betrekking tot wijzigingen van deze overeenkomst"/>
    <w:docVar w:name="LW_PART_NBR" w:val="1"/>
    <w:docVar w:name="LW_PART_NBR_TOTAL" w:val="1"/>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55F654-938F-4066-88F8-69FF326C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8</Pages>
  <Words>1465</Words>
  <Characters>8340</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DUBIELAK Anna (TAXUD)</dc:creator>
  <cp:lastModifiedBy>WES PDFC Administrator</cp:lastModifiedBy>
  <cp:revision>8</cp:revision>
  <cp:lastPrinted>2019-04-02T08:24:00Z</cp:lastPrinted>
  <dcterms:created xsi:type="dcterms:W3CDTF">2019-04-04T12:51:00Z</dcterms:created>
  <dcterms:modified xsi:type="dcterms:W3CDTF">2019-04-11T13:26:00Z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