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83FE480E-C854-478B-AE3C-98BEAEF6342B" style="width:450.75pt;height:397.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  <w:u w:val="none"/>
        </w:rPr>
      </w:pPr>
      <w:bookmarkStart w:id="0" w:name="_GoBack"/>
      <w:bookmarkEnd w:id="0"/>
      <w:r>
        <w:rPr>
          <w:noProof/>
          <w:u w:val="none"/>
        </w:rPr>
        <w:lastRenderedPageBreak/>
        <w:t>NÁVRH</w:t>
      </w:r>
    </w:p>
    <w:p>
      <w:pPr>
        <w:jc w:val="center"/>
        <w:rPr>
          <w:b/>
          <w:noProof/>
        </w:rPr>
      </w:pPr>
      <w:r>
        <w:rPr>
          <w:b/>
          <w:noProof/>
        </w:rPr>
        <w:t>ROZHODNUTIE č. .../2019 spoločného výboru EÚ – CTC zriadeného Dohovorom o spoločnom tranzitnom režime z 20. mája 1987</w:t>
      </w:r>
    </w:p>
    <w:p>
      <w:pPr>
        <w:jc w:val="center"/>
        <w:rPr>
          <w:b/>
          <w:noProof/>
        </w:rPr>
      </w:pPr>
      <w:r>
        <w:rPr>
          <w:b/>
          <w:noProof/>
        </w:rPr>
        <w:t>z …..2019,</w:t>
      </w:r>
    </w:p>
    <w:p>
      <w:pPr>
        <w:jc w:val="center"/>
        <w:rPr>
          <w:b/>
          <w:noProof/>
        </w:rPr>
      </w:pPr>
      <w:r>
        <w:rPr>
          <w:b/>
          <w:noProof/>
        </w:rPr>
        <w:t>ktorým sa tento dohovor mení</w:t>
      </w:r>
    </w:p>
    <w:p>
      <w:pPr>
        <w:rPr>
          <w:noProof/>
        </w:rPr>
      </w:pPr>
    </w:p>
    <w:p>
      <w:pPr>
        <w:keepNext/>
        <w:spacing w:before="600"/>
        <w:rPr>
          <w:noProof/>
        </w:rPr>
      </w:pPr>
      <w:r>
        <w:rPr>
          <w:noProof/>
        </w:rPr>
        <w:t>SPOLOČNÝ VÝBOR EÚ – CTC</w:t>
      </w:r>
    </w:p>
    <w:p>
      <w:pPr>
        <w:rPr>
          <w:noProof/>
        </w:rPr>
      </w:pPr>
      <w:r>
        <w:rPr>
          <w:noProof/>
        </w:rPr>
        <w:t>so zreteľom na Dohovor o spoločnom tranzitnom režime z 20. mája 1987, a najmä na jeho článok 15 ods. 3 písm. a),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keďže:</w:t>
      </w:r>
    </w:p>
    <w:p>
      <w:pPr>
        <w:pStyle w:val="Considrant"/>
        <w:numPr>
          <w:ilvl w:val="0"/>
          <w:numId w:val="1"/>
        </w:numPr>
        <w:rPr>
          <w:noProof/>
        </w:rPr>
      </w:pPr>
      <w:r>
        <w:rPr>
          <w:noProof/>
        </w:rPr>
        <w:t>Podľa článku 15 ods. 3 písm. a) dohovoru z 20. mája 1987 o spoločnom tranzitnom režime (ďalej len „dohovor“)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môže spoločný výbor zriadený uvedeným dohovorom prijímať rozhodnutím zmeny dodatkov k dohovoru.</w:t>
      </w:r>
    </w:p>
    <w:p>
      <w:pPr>
        <w:pStyle w:val="Considrant"/>
        <w:rPr>
          <w:noProof/>
        </w:rPr>
      </w:pPr>
      <w:r>
        <w:rPr>
          <w:noProof/>
        </w:rPr>
        <w:t>Ustanovenia dohovoru týkajúce sa zjednodušenia tranzitu spočívajúceho v používaní elektronického prepravného dokladu (EPD) ako tranzitného vyhlásenia pre leteckú dopravu sa uplatňujú od 1. mája 2018. Predchádzajúce zjednodušenie tranzitu v leteckej doprave bolo možné používať len do 1. mája 2018. Všetky odkazy na uvedené predchádzajúce zjednodušenie tranzitu v leteckej doprave uvedené v dohovore sa musia zodpovedajúcim spôsobom zmeniť.</w:t>
      </w:r>
    </w:p>
    <w:p>
      <w:pPr>
        <w:pStyle w:val="Considrant"/>
        <w:rPr>
          <w:noProof/>
        </w:rPr>
      </w:pPr>
      <w:r>
        <w:rPr>
          <w:noProof/>
        </w:rPr>
        <w:t>Nariadenie Európskeho parlamentu a Rady (EÚ) 2016/679</w:t>
      </w:r>
      <w:r>
        <w:rPr>
          <w:rStyle w:val="FootnoteReference"/>
          <w:noProof/>
        </w:rPr>
        <w:footnoteReference w:id="2"/>
      </w:r>
      <w:r>
        <w:rPr>
          <w:noProof/>
        </w:rPr>
        <w:t>, ktorým sa ustanovuje právny rámec na ochranu osobných údajov v Únii, nadobudol účinnosť 24. mája 2018. Uvedeným nariadením sa zrušil predchádzajúci právny akt v tejto oblasti, smernica Európskeho parlamentu a Rady 95/46/ES</w:t>
      </w:r>
      <w:r>
        <w:rPr>
          <w:rStyle w:val="FootnoteReference"/>
          <w:noProof/>
        </w:rPr>
        <w:footnoteReference w:id="3"/>
      </w:r>
      <w:r>
        <w:rPr>
          <w:noProof/>
        </w:rPr>
        <w:t>. V dôsledku toho by sa mali všetky odkazy na smernicu 95/46/ES v dodatku I k dohovoru nahradiť odkazmi na nariadenie (EÚ) 2016/679.</w:t>
      </w:r>
    </w:p>
    <w:p>
      <w:pPr>
        <w:pStyle w:val="Considrant"/>
        <w:rPr>
          <w:noProof/>
        </w:rPr>
      </w:pPr>
      <w:r>
        <w:rPr>
          <w:noProof/>
        </w:rPr>
        <w:t>Článok 84 delegovaného nariadenia Komisie (EÚ) 2015/2446</w:t>
      </w:r>
      <w:r>
        <w:rPr>
          <w:rStyle w:val="FootnoteReference"/>
          <w:noProof/>
        </w:rPr>
        <w:footnoteReference w:id="4"/>
      </w:r>
      <w:r>
        <w:rPr>
          <w:noProof/>
        </w:rPr>
        <w:t>, ktorým sa stanovujú podmienky, ktoré musí žiadateľ splniť, aby získal povolenie na použitie celkovej záruky so zníženou sumou alebo na upustenie od záruky, bol zmenený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. V dôsledku tejto zmeny sa zrušila požiadavka na dostatočné finančné zdroje ako samostatná podmienka, pretože praktické skúsenosti ukázali, že daná podmienka bola vykladaná príliš reštriktívne a bola zameraná len na dostupnosť hotovosti. Posúdenie schopnosti hospodárskeho subjektu zaplatiť plnú sumu dlhu by sa preto malo zahrnúť do </w:t>
      </w:r>
      <w:r>
        <w:rPr>
          <w:noProof/>
        </w:rPr>
        <w:lastRenderedPageBreak/>
        <w:t>posúdenia jeho finančného postavenia. Článok 75 dodatku I k dohovoru odzrkadľuje ustanovenia článku 84 delegovaného nariadenia (EÚ) 2015/2446, a preto by sa mal zodpovedajúcim spôsobom zmeniť.</w:t>
      </w:r>
    </w:p>
    <w:p>
      <w:pPr>
        <w:pStyle w:val="Considrant"/>
        <w:rPr>
          <w:noProof/>
        </w:rPr>
      </w:pPr>
      <w:r>
        <w:rPr>
          <w:noProof/>
        </w:rPr>
        <w:t>Podmienky, na základe ktorých si tovar prepravovaný cez T2 koridor zachováva svoj colný status tovaru Únie, sú v súčasnosti stanovené v článku 2a hlave I dodatku II k dohovoru, pričom rozsah pôsobnosti hlavy I je obmedzený na tovar, ktorý nie je umiestnený do colného režimu vývoz. Takéto obmedzenie nebolo pre tovar Únie prepravovaný cez T2 koridor stanovené zámerne. Článok 2a dodatku II k dohovoru by sa mal preto z hlavy I vypustiť a mal by sa vložiť nový článok do novej hlavy Ia, v rámci ktorej by sa takéto obmedzenie neuplatňovalo.</w:t>
      </w:r>
    </w:p>
    <w:p>
      <w:pPr>
        <w:pStyle w:val="Considrant"/>
        <w:rPr>
          <w:noProof/>
        </w:rPr>
      </w:pPr>
      <w:r>
        <w:rPr>
          <w:noProof/>
        </w:rPr>
        <w:t>Podľa oznámenia Severného Macedónska o nadobudnutí platnosti dohody z Prespy k 15. februáru 2019 adresovaného OSN a EU sa pôvodný názov krajiny „bývalá Juhoslovanská republika Macedónsko“ zmenil na „Severomacedónska republika“. Dodatky III a IIIa k dohovoru by sa preto mali zmeniť, aby zohľadňovali zmenu názvu danej krajiny a príslušného kódu krajiny.</w:t>
      </w:r>
    </w:p>
    <w:p>
      <w:pPr>
        <w:pStyle w:val="Formuledadoption"/>
        <w:rPr>
          <w:noProof/>
        </w:rPr>
      </w:pPr>
      <w:r>
        <w:rPr>
          <w:noProof/>
        </w:rPr>
        <w:t>Dohovor by sa mal preto zodpovedajúcim spôsobom zmeniť,</w:t>
      </w:r>
    </w:p>
    <w:p>
      <w:pPr>
        <w:keepNext/>
        <w:rPr>
          <w:noProof/>
        </w:rPr>
      </w:pPr>
      <w:r>
        <w:rPr>
          <w:noProof/>
        </w:rPr>
        <w:t>PRIJAL TOTO ROZHODNUTIE:</w:t>
      </w:r>
    </w:p>
    <w:p>
      <w:pPr>
        <w:pStyle w:val="Titrearticle"/>
        <w:rPr>
          <w:noProof/>
        </w:rPr>
      </w:pPr>
      <w:r>
        <w:rPr>
          <w:noProof/>
        </w:rPr>
        <w:t>Článok 1</w:t>
      </w:r>
    </w:p>
    <w:p>
      <w:pPr>
        <w:rPr>
          <w:noProof/>
        </w:rPr>
      </w:pPr>
      <w:r>
        <w:rPr>
          <w:noProof/>
        </w:rPr>
        <w:t>1. Dodatok I k dohovoru sa mení v súlade s prílohou A k tomuto rozhodnutiu.</w:t>
      </w:r>
    </w:p>
    <w:p>
      <w:pPr>
        <w:rPr>
          <w:noProof/>
        </w:rPr>
      </w:pPr>
      <w:r>
        <w:rPr>
          <w:noProof/>
        </w:rPr>
        <w:t>2. Dodatok II k dohovoru sa mení v súlade s prílohou B k tomuto rozhodnutiu.</w:t>
      </w:r>
    </w:p>
    <w:p>
      <w:pPr>
        <w:rPr>
          <w:noProof/>
        </w:rPr>
      </w:pPr>
      <w:r>
        <w:rPr>
          <w:noProof/>
        </w:rPr>
        <w:t>3. Dodatok III k dohovoru sa mení v súlade s prílohou C k tomuto rozhodnutiu.</w:t>
      </w:r>
    </w:p>
    <w:p>
      <w:pPr>
        <w:rPr>
          <w:noProof/>
        </w:rPr>
      </w:pPr>
      <w:r>
        <w:rPr>
          <w:noProof/>
        </w:rPr>
        <w:t>4. Dodatok IIIa k dohovoru sa mení v súlade s prílohou D k tomuto rozhodnutiu.</w:t>
      </w:r>
    </w:p>
    <w:p>
      <w:pPr>
        <w:pStyle w:val="Titrearticle"/>
        <w:rPr>
          <w:noProof/>
        </w:rPr>
      </w:pPr>
      <w:r>
        <w:rPr>
          <w:noProof/>
        </w:rPr>
        <w:t>Článok 2</w:t>
      </w:r>
    </w:p>
    <w:p>
      <w:pPr>
        <w:rPr>
          <w:noProof/>
        </w:rPr>
      </w:pPr>
      <w:r>
        <w:rPr>
          <w:noProof/>
        </w:rPr>
        <w:t>Toto rozhodnutie nadobúda účinnosť dňom jeho prijatia.</w:t>
      </w:r>
    </w:p>
    <w:p>
      <w:pPr>
        <w:rPr>
          <w:noProof/>
        </w:rPr>
      </w:pPr>
    </w:p>
    <w:p>
      <w:pPr>
        <w:pStyle w:val="Fait"/>
        <w:rPr>
          <w:noProof/>
        </w:rPr>
      </w:pPr>
      <w:r>
        <w:rPr>
          <w:noProof/>
        </w:rPr>
        <w:t>V ……..,</w:t>
      </w:r>
    </w:p>
    <w:p>
      <w:pPr>
        <w:pStyle w:val="Personnequisigne"/>
        <w:rPr>
          <w:noProof/>
        </w:rPr>
      </w:pP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Za spoločný výbor</w:t>
      </w:r>
    </w:p>
    <w:p>
      <w:pPr>
        <w:pStyle w:val="Personnequisigne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predseda</w:t>
      </w:r>
    </w:p>
    <w:p>
      <w:pPr>
        <w:spacing w:before="0" w:after="200" w:line="276" w:lineRule="auto"/>
        <w:jc w:val="left"/>
        <w:rPr>
          <w:noProof/>
        </w:rPr>
      </w:pPr>
      <w:r>
        <w:rPr>
          <w:noProof/>
        </w:rPr>
        <w:br w:type="page"/>
      </w:r>
    </w:p>
    <w:p>
      <w:pPr>
        <w:jc w:val="center"/>
        <w:rPr>
          <w:b/>
          <w:noProof/>
        </w:rPr>
      </w:pPr>
      <w:r>
        <w:rPr>
          <w:b/>
          <w:noProof/>
        </w:rPr>
        <w:lastRenderedPageBreak/>
        <w:t>PRÍLOHA A</w:t>
      </w:r>
    </w:p>
    <w:p>
      <w:pPr>
        <w:jc w:val="left"/>
        <w:rPr>
          <w:noProof/>
        </w:rPr>
      </w:pPr>
      <w:r>
        <w:rPr>
          <w:noProof/>
        </w:rPr>
        <w:t>Dodatok I k dohovoru sa mení takto:</w:t>
      </w:r>
    </w:p>
    <w:p>
      <w:pPr>
        <w:rPr>
          <w:noProof/>
        </w:rPr>
      </w:pPr>
      <w:r>
        <w:rPr>
          <w:noProof/>
        </w:rPr>
        <w:t>1.</w:t>
      </w:r>
      <w:r>
        <w:rPr>
          <w:noProof/>
        </w:rPr>
        <w:tab/>
        <w:t>V článku 7 sa odsek 2 nahrádza takto:</w:t>
      </w:r>
    </w:p>
    <w:p>
      <w:pPr>
        <w:ind w:left="720"/>
        <w:rPr>
          <w:noProof/>
        </w:rPr>
      </w:pPr>
      <w:r>
        <w:rPr>
          <w:noProof/>
        </w:rPr>
        <w:t>„2. Zmluvné strany zabezpečujú, aby sa spracúvanie osobných údajov, ktoré sa vymieňajú pri uplatňovaní dohovoru, vykonávalo v súlade s nariadením Európskeho parlamentu a Rady (EÚ) 2016/679</w:t>
      </w:r>
      <w:r>
        <w:rPr>
          <w:rStyle w:val="FootnoteReference"/>
          <w:noProof/>
        </w:rPr>
        <w:footnoteReference w:id="6"/>
      </w:r>
      <w:r>
        <w:rPr>
          <w:noProof/>
        </w:rPr>
        <w:t>“;</w:t>
      </w:r>
    </w:p>
    <w:p>
      <w:pPr>
        <w:rPr>
          <w:noProof/>
        </w:rPr>
      </w:pPr>
      <w:r>
        <w:rPr>
          <w:noProof/>
        </w:rPr>
        <w:t>2.</w:t>
      </w:r>
      <w:r>
        <w:rPr>
          <w:noProof/>
        </w:rPr>
        <w:tab/>
        <w:t>V článku 13 ods. 1 sa písmeno a) nahrádza takto:</w:t>
      </w:r>
    </w:p>
    <w:p>
      <w:pPr>
        <w:ind w:left="720"/>
        <w:rPr>
          <w:noProof/>
        </w:rPr>
      </w:pPr>
      <w:r>
        <w:rPr>
          <w:noProof/>
        </w:rPr>
        <w:t>a) pokiaľ ide o tovar prepravovaný letecky, keď je colný režim tranzit založený na elektronickom prepravnom doklade ako tranzitnom vyhlásení pre leteckú dopravu;“;</w:t>
      </w:r>
    </w:p>
    <w:p>
      <w:pPr>
        <w:rPr>
          <w:noProof/>
        </w:rPr>
      </w:pPr>
      <w:r>
        <w:rPr>
          <w:noProof/>
        </w:rPr>
        <w:t>3.</w:t>
      </w:r>
      <w:r>
        <w:rPr>
          <w:noProof/>
        </w:rPr>
        <w:tab/>
        <w:t>Článok 55 sa mení takto:</w:t>
      </w:r>
    </w:p>
    <w:p>
      <w:pPr>
        <w:ind w:firstLine="720"/>
        <w:rPr>
          <w:noProof/>
        </w:rPr>
      </w:pPr>
      <w:r>
        <w:rPr>
          <w:noProof/>
        </w:rPr>
        <w:t>a) v odseku 1 sa písmeno e) nahrádza takto:</w:t>
      </w:r>
    </w:p>
    <w:p>
      <w:pPr>
        <w:ind w:left="720"/>
        <w:rPr>
          <w:noProof/>
        </w:rPr>
      </w:pPr>
      <w:r>
        <w:rPr>
          <w:noProof/>
        </w:rPr>
        <w:t>„e) použitie spoločného tranzitného režimu v papierovej podobe v prípade tovaru prepravovaného letecky“;</w:t>
      </w:r>
    </w:p>
    <w:p>
      <w:pPr>
        <w:ind w:firstLine="720"/>
        <w:rPr>
          <w:noProof/>
        </w:rPr>
      </w:pPr>
      <w:r>
        <w:rPr>
          <w:noProof/>
        </w:rPr>
        <w:t>b) v odseku 3 sa druhý pododsek vypúšťa;</w:t>
      </w:r>
    </w:p>
    <w:p>
      <w:pPr>
        <w:rPr>
          <w:noProof/>
        </w:rPr>
      </w:pPr>
      <w:r>
        <w:rPr>
          <w:noProof/>
        </w:rPr>
        <w:t>4.</w:t>
      </w:r>
      <w:r>
        <w:rPr>
          <w:noProof/>
        </w:rPr>
        <w:tab/>
        <w:t>V článku 57 ods. 3 sa písmeno b) vypúšťa;</w:t>
      </w:r>
    </w:p>
    <w:p>
      <w:pPr>
        <w:rPr>
          <w:noProof/>
        </w:rPr>
      </w:pPr>
      <w:r>
        <w:rPr>
          <w:noProof/>
        </w:rPr>
        <w:t>5.</w:t>
      </w:r>
      <w:r>
        <w:rPr>
          <w:noProof/>
        </w:rPr>
        <w:tab/>
        <w:t>Článok 75 ods. 2 sa mení takto:</w:t>
      </w:r>
    </w:p>
    <w:p>
      <w:pPr>
        <w:ind w:firstLine="720"/>
        <w:rPr>
          <w:noProof/>
        </w:rPr>
      </w:pPr>
      <w:r>
        <w:rPr>
          <w:noProof/>
        </w:rPr>
        <w:t>a)</w:t>
      </w:r>
      <w:r>
        <w:rPr>
          <w:noProof/>
        </w:rPr>
        <w:tab/>
        <w:t>v písmene a) sa vypúšťa bod vi);</w:t>
      </w:r>
    </w:p>
    <w:p>
      <w:pPr>
        <w:ind w:firstLine="720"/>
        <w:rPr>
          <w:noProof/>
        </w:rPr>
      </w:pPr>
      <w:r>
        <w:rPr>
          <w:noProof/>
        </w:rPr>
        <w:t>b)</w:t>
      </w:r>
      <w:r>
        <w:rPr>
          <w:noProof/>
        </w:rPr>
        <w:tab/>
        <w:t>v písmene b) sa vypúšťa bod vii);</w:t>
      </w:r>
    </w:p>
    <w:p>
      <w:pPr>
        <w:ind w:firstLine="720"/>
        <w:rPr>
          <w:noProof/>
        </w:rPr>
      </w:pPr>
      <w:r>
        <w:rPr>
          <w:noProof/>
        </w:rPr>
        <w:t>c)</w:t>
      </w:r>
      <w:r>
        <w:rPr>
          <w:noProof/>
        </w:rPr>
        <w:tab/>
        <w:t>v písmene c) sa vypúšťa bod xii);</w:t>
      </w:r>
    </w:p>
    <w:p>
      <w:pPr>
        <w:rPr>
          <w:noProof/>
        </w:rPr>
      </w:pPr>
      <w:r>
        <w:rPr>
          <w:noProof/>
        </w:rPr>
        <w:t>6.</w:t>
      </w:r>
      <w:r>
        <w:rPr>
          <w:noProof/>
        </w:rPr>
        <w:tab/>
        <w:t>V článku 75 sa dopĺňa tento odsek 3:</w:t>
      </w:r>
    </w:p>
    <w:p>
      <w:pPr>
        <w:ind w:left="720"/>
        <w:rPr>
          <w:noProof/>
        </w:rPr>
      </w:pPr>
      <w:r>
        <w:rPr>
          <w:noProof/>
        </w:rPr>
        <w:t>„3.</w:t>
      </w:r>
      <w:r>
        <w:rPr>
          <w:noProof/>
        </w:rPr>
        <w:tab/>
        <w:t>Pri overovaní, či žiadateľ má dostatočné finančné postavenie na účely udelenia povolenia na použitie celkovej záruky so zníženou sumou alebo na upustenie od záruky, ako sa požaduje v odseku 2 písm. a) bode v), odseku 2 písm. b) bode vi) a odseku 2 písm. c) bode xi), colné orgány zohľadňujú schopnosť žiadateľa splniť si povinnosti týkajúce sa uhradenia svojich dlhov a iných poplatkov, ktoré môžu vzniknúť, na ktoré sa nevzťahuje uvedená záruka.</w:t>
      </w:r>
    </w:p>
    <w:p>
      <w:pPr>
        <w:ind w:left="720"/>
        <w:rPr>
          <w:noProof/>
        </w:rPr>
      </w:pPr>
      <w:r>
        <w:rPr>
          <w:noProof/>
        </w:rPr>
        <w:t>Ak je to odôvodnené, colné orgány môžu zohľadniť riziko vzniku uvedených dlhov so zreteľom na druh a objem obchodných činností žiadateľa súvisiacich s colným konaním a na druh tovaru, na ktorý sa vyžaduje záruka.“;</w:t>
      </w:r>
    </w:p>
    <w:p>
      <w:pPr>
        <w:rPr>
          <w:noProof/>
        </w:rPr>
      </w:pPr>
      <w:r>
        <w:rPr>
          <w:noProof/>
        </w:rPr>
        <w:t>7.</w:t>
      </w:r>
      <w:r>
        <w:rPr>
          <w:noProof/>
        </w:rPr>
        <w:tab/>
        <w:t>Názov kapitoly VII sa nahrádza takto:</w:t>
      </w:r>
    </w:p>
    <w:p>
      <w:pPr>
        <w:ind w:left="720"/>
        <w:rPr>
          <w:noProof/>
        </w:rPr>
      </w:pPr>
      <w:r>
        <w:rPr>
          <w:noProof/>
        </w:rPr>
        <w:t>„Spoločný tranzitný režim v papierovej podobe v prípade tovaru prepravovaného letecky a spoločný tranzitný režim založený na elektronickom prepravnom doklade ako tranzitnom vyhlásení pre leteckú dopravu“;</w:t>
      </w:r>
    </w:p>
    <w:p>
      <w:pPr>
        <w:rPr>
          <w:noProof/>
        </w:rPr>
      </w:pPr>
      <w:r>
        <w:rPr>
          <w:noProof/>
        </w:rPr>
        <w:t>8.</w:t>
      </w:r>
      <w:r>
        <w:rPr>
          <w:noProof/>
        </w:rPr>
        <w:tab/>
        <w:t>Článok 111 sa vypúšťa.</w:t>
      </w:r>
    </w:p>
    <w:p>
      <w:pPr>
        <w:spacing w:before="0" w:after="200" w:line="276" w:lineRule="auto"/>
        <w:jc w:val="left"/>
        <w:rPr>
          <w:noProof/>
        </w:rPr>
      </w:pPr>
      <w:r>
        <w:rPr>
          <w:noProof/>
        </w:rPr>
        <w:br w:type="page"/>
      </w:r>
    </w:p>
    <w:p>
      <w:pPr>
        <w:jc w:val="center"/>
        <w:rPr>
          <w:b/>
          <w:noProof/>
        </w:rPr>
      </w:pPr>
      <w:r>
        <w:rPr>
          <w:b/>
          <w:noProof/>
        </w:rPr>
        <w:lastRenderedPageBreak/>
        <w:t>PRÍLOHA B</w:t>
      </w:r>
    </w:p>
    <w:p>
      <w:pPr>
        <w:rPr>
          <w:noProof/>
        </w:rPr>
      </w:pPr>
      <w:r>
        <w:rPr>
          <w:noProof/>
        </w:rPr>
        <w:t>Dodatok II k dohovoru sa mení takto:</w:t>
      </w:r>
    </w:p>
    <w:p>
      <w:pPr>
        <w:rPr>
          <w:noProof/>
        </w:rPr>
      </w:pPr>
      <w:r>
        <w:rPr>
          <w:noProof/>
        </w:rPr>
        <w:t>1.</w:t>
      </w:r>
      <w:r>
        <w:rPr>
          <w:noProof/>
        </w:rPr>
        <w:tab/>
        <w:t>Názov hlavy I sa nahrádza takto:</w:t>
      </w:r>
    </w:p>
    <w:p>
      <w:pPr>
        <w:rPr>
          <w:noProof/>
        </w:rPr>
      </w:pPr>
      <w:r>
        <w:rPr>
          <w:noProof/>
        </w:rPr>
        <w:t>„DÔKAZ COLNÉHO STATUSU TOVARU ÚNIE“.</w:t>
      </w:r>
    </w:p>
    <w:p>
      <w:pPr>
        <w:rPr>
          <w:noProof/>
        </w:rPr>
      </w:pPr>
      <w:r>
        <w:rPr>
          <w:noProof/>
        </w:rPr>
        <w:t>2.</w:t>
      </w:r>
      <w:r>
        <w:rPr>
          <w:noProof/>
        </w:rPr>
        <w:tab/>
        <w:t>Článok 2a sa vypúšťa.</w:t>
      </w:r>
    </w:p>
    <w:p>
      <w:pPr>
        <w:rPr>
          <w:noProof/>
        </w:rPr>
      </w:pPr>
      <w:r>
        <w:rPr>
          <w:noProof/>
        </w:rPr>
        <w:t>3.</w:t>
      </w:r>
      <w:r>
        <w:rPr>
          <w:noProof/>
        </w:rPr>
        <w:tab/>
        <w:t>Vkladá sa táto hlava Ia:</w:t>
      </w:r>
    </w:p>
    <w:p>
      <w:pPr>
        <w:jc w:val="center"/>
        <w:rPr>
          <w:noProof/>
        </w:rPr>
      </w:pPr>
      <w:r>
        <w:rPr>
          <w:noProof/>
        </w:rPr>
        <w:t>„HLAVA Ia</w:t>
      </w:r>
    </w:p>
    <w:p>
      <w:pPr>
        <w:jc w:val="center"/>
        <w:rPr>
          <w:noProof/>
        </w:rPr>
      </w:pPr>
      <w:r>
        <w:rPr>
          <w:noProof/>
        </w:rPr>
        <w:t>USTANOVENIA TÝKAJÚCE SA NEZMENENIA COLNÉHO STATUSU TOVARU ÚNIE V PRÍPADE TOVARU PREPRAVOVANÉHO CEZ T2 KORIDOR</w:t>
      </w:r>
    </w:p>
    <w:p>
      <w:pPr>
        <w:jc w:val="center"/>
        <w:rPr>
          <w:i/>
          <w:noProof/>
        </w:rPr>
      </w:pPr>
      <w:r>
        <w:rPr>
          <w:i/>
          <w:noProof/>
        </w:rPr>
        <w:t>Článok 21a</w:t>
      </w:r>
    </w:p>
    <w:p>
      <w:pPr>
        <w:jc w:val="center"/>
        <w:rPr>
          <w:noProof/>
        </w:rPr>
      </w:pPr>
      <w:r>
        <w:rPr>
          <w:noProof/>
        </w:rPr>
        <w:t>Domnienka colného statusu tovaru Únie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1. Tovar s colným statusom tovaru Únie, ktorý sa prepravuje po železnici, sa môže pohybovať bez toho, aby podliehal colnému režimu, z jedného miesta v rámci colného územia Únie na iné miesto v rámci tohto územia a prepravovať sa cez územie krajiny spoločného tranzitného režimu bez zmeny svojho colného statusu, ak:</w:t>
      </w:r>
    </w:p>
    <w:p>
      <w:pPr>
        <w:rPr>
          <w:noProof/>
        </w:rPr>
      </w:pPr>
      <w:r>
        <w:rPr>
          <w:noProof/>
        </w:rPr>
        <w:t>— sa na prepravu tovaru vzťahuje jednotný prepravný doklad vydaný v členskom štáte Európskej únie;</w:t>
      </w:r>
    </w:p>
    <w:p>
      <w:pPr>
        <w:rPr>
          <w:noProof/>
        </w:rPr>
      </w:pPr>
      <w:r>
        <w:rPr>
          <w:noProof/>
        </w:rPr>
        <w:t>— jednotný prepravný doklad obsahuje tento záznam: „T2 koridor“,</w:t>
      </w:r>
    </w:p>
    <w:p>
      <w:pPr>
        <w:rPr>
          <w:noProof/>
        </w:rPr>
      </w:pPr>
      <w:r>
        <w:rPr>
          <w:noProof/>
        </w:rPr>
        <w:t>— sa tranzit cez krajinu spoločného tranzitného režimu monitoruje prostredníctvom elektronického systému v danej krajine spoločného tranzitného režimu,</w:t>
      </w:r>
    </w:p>
    <w:p>
      <w:pPr>
        <w:rPr>
          <w:noProof/>
        </w:rPr>
      </w:pPr>
      <w:r>
        <w:rPr>
          <w:noProof/>
        </w:rPr>
        <w:t>— príslušná železničná spoločnosť je oprávnená krajinou spoločného tranzitného režimu, na území ktorej k tranzitu dochádza, používať režim „T2 koridor“.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2. Krajina spoločného tranzitného režimu informuje spoločný výbor uvedený v článku 14 dohovoru alebo pracovnú skupinu zriadenú uvedeným výborom na základe odseku 5 daného článku o podmienkach týkajúcich sa elektronického monitorovacieho systému a o železničných spoločnostiach, ktoré sú oprávnené používať režim uvedený v odseku 1 tohto článku.“</w:t>
      </w:r>
    </w:p>
    <w:p>
      <w:pPr>
        <w:spacing w:before="0" w:after="200" w:line="276" w:lineRule="auto"/>
        <w:jc w:val="left"/>
        <w:rPr>
          <w:noProof/>
        </w:rPr>
      </w:pPr>
      <w:r>
        <w:rPr>
          <w:noProof/>
        </w:rPr>
        <w:br w:type="page"/>
      </w:r>
    </w:p>
    <w:p>
      <w:pPr>
        <w:jc w:val="center"/>
        <w:rPr>
          <w:b/>
          <w:noProof/>
        </w:rPr>
      </w:pPr>
      <w:r>
        <w:rPr>
          <w:b/>
          <w:noProof/>
        </w:rPr>
        <w:lastRenderedPageBreak/>
        <w:t>PRÍLOHA C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Dodatok III k dohovoru sa mení takto:</w:t>
      </w:r>
    </w:p>
    <w:p>
      <w:pPr>
        <w:rPr>
          <w:noProof/>
          <w:highlight w:val="yellow"/>
        </w:rPr>
      </w:pPr>
      <w:r>
        <w:rPr>
          <w:noProof/>
        </w:rPr>
        <w:t>1.</w:t>
      </w:r>
      <w:r>
        <w:rPr>
          <w:noProof/>
        </w:rPr>
        <w:tab/>
        <w:t xml:space="preserve">V prílohe B1 sa slová „MK </w:t>
      </w:r>
      <w:r>
        <w:rPr>
          <w:noProof/>
          <w:vertAlign w:val="superscript"/>
        </w:rPr>
        <w:t>(1)</w:t>
      </w:r>
      <w:r>
        <w:rPr>
          <w:noProof/>
        </w:rPr>
        <w:t xml:space="preserve"> bývalá Juhoslovanská republika Macedónsko“ nahrádzajú slovami „MK Severné Macedónsko“ a poznámka pod čiarkou</w:t>
      </w:r>
      <w:r>
        <w:rPr>
          <w:noProof/>
          <w:vertAlign w:val="superscript"/>
        </w:rPr>
        <w:t xml:space="preserve">(1) </w:t>
      </w:r>
      <w:r>
        <w:rPr>
          <w:noProof/>
        </w:rPr>
        <w:t>sa vypúšťa.</w:t>
      </w:r>
    </w:p>
    <w:p>
      <w:pPr>
        <w:rPr>
          <w:noProof/>
        </w:rPr>
      </w:pPr>
      <w:r>
        <w:rPr>
          <w:noProof/>
        </w:rPr>
        <w:t xml:space="preserve">2. </w:t>
      </w:r>
      <w:r>
        <w:rPr>
          <w:noProof/>
        </w:rPr>
        <w:tab/>
        <w:t xml:space="preserve">V prílohe B6 hlave III sa kód „MK </w:t>
      </w:r>
      <w:r>
        <w:rPr>
          <w:noProof/>
          <w:vertAlign w:val="superscript"/>
        </w:rPr>
        <w:t>(1)</w:t>
      </w:r>
      <w:r>
        <w:rPr>
          <w:noProof/>
        </w:rPr>
        <w:t>“ nahrádza kódom „MK“.</w:t>
      </w:r>
    </w:p>
    <w:p>
      <w:pPr>
        <w:rPr>
          <w:noProof/>
        </w:rPr>
      </w:pPr>
      <w:r>
        <w:rPr>
          <w:noProof/>
        </w:rPr>
        <w:t>3.</w:t>
      </w:r>
      <w:r>
        <w:rPr>
          <w:noProof/>
        </w:rPr>
        <w:tab/>
        <w:t>V prílohe C1 bode 1 sa slová „bývalá Juhoslovanská republika Macedónsko“ nahrádzajú slovami „Severomacedónska republika“.</w:t>
      </w:r>
    </w:p>
    <w:p>
      <w:pPr>
        <w:rPr>
          <w:noProof/>
        </w:rPr>
      </w:pPr>
      <w:r>
        <w:rPr>
          <w:noProof/>
        </w:rPr>
        <w:t>4.</w:t>
      </w:r>
      <w:r>
        <w:rPr>
          <w:noProof/>
        </w:rPr>
        <w:tab/>
        <w:t>V prílohe C2 bode 1 sa slová „bývalá Juhoslovanská republika Macedónsko“ nahrádzajú slovami „Severomacedónska republika“.</w:t>
      </w:r>
    </w:p>
    <w:p>
      <w:pPr>
        <w:rPr>
          <w:noProof/>
        </w:rPr>
      </w:pPr>
      <w:r>
        <w:rPr>
          <w:noProof/>
        </w:rPr>
        <w:t>5.</w:t>
      </w:r>
      <w:r>
        <w:rPr>
          <w:noProof/>
        </w:rPr>
        <w:tab/>
        <w:t>V prílohe C4 bode 1 sa slová „bývalá Juhoslovanská republika Macedónsko“ nahrádzajú slovami „Severomacedónska republika“.</w:t>
      </w:r>
    </w:p>
    <w:p>
      <w:pPr>
        <w:rPr>
          <w:noProof/>
        </w:rPr>
      </w:pPr>
      <w:r>
        <w:rPr>
          <w:noProof/>
        </w:rPr>
        <w:t>6.</w:t>
      </w:r>
      <w:r>
        <w:rPr>
          <w:noProof/>
        </w:rPr>
        <w:tab/>
        <w:t>V prílohe C5 riadku 7 sa slová „bývalá Juhoslovanská republika Macedónsko“ nahrádzajú slovami „Severné Macedónsko“.</w:t>
      </w:r>
    </w:p>
    <w:p>
      <w:pPr>
        <w:rPr>
          <w:noProof/>
        </w:rPr>
      </w:pPr>
      <w:r>
        <w:rPr>
          <w:noProof/>
        </w:rPr>
        <w:t>7.</w:t>
      </w:r>
      <w:r>
        <w:rPr>
          <w:noProof/>
        </w:rPr>
        <w:tab/>
        <w:t>V prílohe C6 riadku 6 sa slová „bývalá Juhoslovanská republika Macedónsko“ nahrádzajú slovami „Severné Macedónsko“.</w:t>
      </w:r>
    </w:p>
    <w:p>
      <w:pPr>
        <w:spacing w:before="0" w:after="200" w:line="276" w:lineRule="auto"/>
        <w:jc w:val="left"/>
        <w:rPr>
          <w:noProof/>
        </w:rPr>
      </w:pPr>
      <w:r>
        <w:rPr>
          <w:noProof/>
        </w:rPr>
        <w:br w:type="page"/>
      </w:r>
    </w:p>
    <w:p>
      <w:pPr>
        <w:jc w:val="center"/>
        <w:rPr>
          <w:b/>
          <w:noProof/>
        </w:rPr>
      </w:pPr>
      <w:r>
        <w:rPr>
          <w:b/>
          <w:noProof/>
        </w:rPr>
        <w:lastRenderedPageBreak/>
        <w:t>PRÍLOHA D</w:t>
      </w:r>
    </w:p>
    <w:p>
      <w:pPr>
        <w:jc w:val="center"/>
        <w:rPr>
          <w:noProof/>
        </w:rPr>
      </w:pPr>
    </w:p>
    <w:p>
      <w:pPr>
        <w:rPr>
          <w:noProof/>
        </w:rPr>
      </w:pPr>
      <w:r>
        <w:rPr>
          <w:noProof/>
        </w:rPr>
        <w:t xml:space="preserve">V prílohe A1a hlave IV v dodatku IIIa k dohovoru sa kód „MK </w:t>
      </w:r>
      <w:r>
        <w:rPr>
          <w:noProof/>
          <w:vertAlign w:val="superscript"/>
        </w:rPr>
        <w:t>(1)</w:t>
      </w:r>
      <w:r>
        <w:rPr>
          <w:noProof/>
        </w:rPr>
        <w:t>“ nahrádza kódom „MK“.</w:t>
      </w:r>
    </w:p>
    <w:p>
      <w:pPr>
        <w:rPr>
          <w:noProof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Ú. v. ES L 226, 13.8.1987, s. 2.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Nariadenie Európskeho parlamentu a Rady (EÚ) 2016/679 z 27. apríla 2016 o ochrane fyzických osôb pri spracúvaní osobných údajov a o voľnom pohybe takýchto údajov, ktorým sa zrušuje smernica 95/46/ES (všeobecné nariadenie o ochrane údajov) (Ú. v. EÚ L 119, 4.5.2016, s. 1).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Smernica Európskeho parlamentu a Rady 95/46/ES z 24. októbra 1995 o ochrane fyzických osôb pri spracovaní osobných údajov a voľnom pohybe týchto údajov (Ú. v. ES L 281, 23.11.1995, s. 31).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Delegované nariadenie Komisie (EÚ) 2015/2446 z 28. júla 2015, ktorým sa dopĺňa nariadenie Európskeho parlamentu a Rady (EÚ) č. 952/2013, pokiaľ ide o podrobné pravidlá, ktorými sa bližšie určujú niektoré ustanovenia Colného kódexu Únie (Ú. v. EÚ L 343, 29.12.2015, s. 1).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Delegované nariadenie Komisie (EÚ) 2018/1118 zo 7. júna 2018, ktorým sa mení delegované nariadenie (EÚ) 2015/2446, pokiaľ ide o podmienky zníženia úrovne celkovej záruky a upustenia od záruky (Ú. v. EÚ L 204, 13.8.2018, s. 11).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Nariadenie Európskeho parlamentu a Rady (EÚ) 2016/679 z 27. apríla 2016 o ochrane fyzických osôb pri spracúvaní osobných údajov a o voľnom pohybe takýchto údajov, ktorým sa zrušuje smernica 95/46/ES (všeobecné nariadenie o ochrane údajov) (Ú. v. EÚ L 119, 4.5.2016, s. 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F34B86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CBEEEA1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4BCDC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E444B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9D4E27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7D6DD1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EA81F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ECA83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UBIELAK Anna (TAXUD)">
    <w15:presenceInfo w15:providerId="None" w15:userId="DUBIELAK Anna (TAXUD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4-11 15:28:5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k"/>
    <w:docVar w:name="LW_ACCOMPAGNANT.CP" w:val="k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83FE480E-C854-478B-AE3C-98BEAEF6342B"/>
    <w:docVar w:name="LW_COVERPAGE_TYPE" w:val="1"/>
    <w:docVar w:name="LW_CROSSREFERENCE" w:val="&lt;UNUSED&gt;"/>
    <w:docVar w:name="LW_DocType" w:val="ANNEX"/>
    <w:docVar w:name="LW_EMISSION" w:val="23. 4. 2019"/>
    <w:docVar w:name="LW_EMISSION_ISODATE" w:val="2019-04-23"/>
    <w:docVar w:name="LW_EMISSION_LOCATION" w:val="BRX"/>
    <w:docVar w:name="LW_EMISSION_PREFIX" w:val="V Bruseli"/>
    <w:docVar w:name="LW_EMISSION_SUFFIX" w:val=" "/>
    <w:docVar w:name="LW_ID_DOCSTRUCTURE" w:val="COM/ANNEX"/>
    <w:docVar w:name="LW_ID_DOCTYPE" w:val="SG-017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OBJETACTEPRINCIPAL" w:val="o pozícii, ktorá sa má zauja\u357? v&lt;LWCR:NBS&gt;mene Európskej únie v&lt;LWCR:NBS&gt;spolo\u269?nom výbore EÚ \u8211? CTC zriadenom Dohovorom o&lt;LWCR:NBS&gt;spolo\u269?nom tranzitnom re\u382?ime z&lt;LWCR:NBS&gt;20.&lt;LWCR:NBS&gt;mája 1987, pokia\u318? ide o&lt;LWCR:NBS&gt;zmeny uvedeného dohovoru"/>
    <w:docVar w:name="LW_OBJETACTEPRINCIPAL.CP" w:val="o pozícii, ktorá sa má zauja\u357? v mene Európskej únie v spolo\u269?nom výbore EÚ \u8211? CTC zriadenom Dohovorom o spolo\u269?nom tranzitnom re\u382?ime z 20. mája 1987, pokia\u318? ide o zmeny uvedeného dohovoru"/>
    <w:docVar w:name="LW_PART_NBR" w:val="1"/>
    <w:docVar w:name="LW_PART_NBR_TOTAL" w:val="1"/>
    <w:docVar w:name="LW_REF.INST.NEW" w:val="COM"/>
    <w:docVar w:name="LW_REF.INST.NEW_ADOPTED" w:val="final"/>
    <w:docVar w:name="LW_REF.INST.NEW_TEXT" w:val="(2019) 18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RÍLOHA"/>
    <w:docVar w:name="LW_TYPE.DOC.CP" w:val="PRÍLOHA"/>
    <w:docVar w:name="LW_TYPEACTEPRINCIPAL" w:val="návrhu rozhodnutia Rady"/>
    <w:docVar w:name="LW_TYPEACTEPRINCIPAL.CP" w:val="návrhu rozhodnutia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E05785D-1DFF-42E0-A3F6-38784D7E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7</Pages>
  <Words>1213</Words>
  <Characters>6661</Characters>
  <Application>Microsoft Office Word</Application>
  <DocSecurity>0</DocSecurity>
  <Lines>151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DUBIELAK Anna (TAXUD)</dc:creator>
  <cp:lastModifiedBy>DIGIT/C6</cp:lastModifiedBy>
  <cp:revision>8</cp:revision>
  <dcterms:created xsi:type="dcterms:W3CDTF">2019-04-04T12:03:00Z</dcterms:created>
  <dcterms:modified xsi:type="dcterms:W3CDTF">2019-04-11T13:28:00Z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