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F9E501F-3799-4FAB-A077-63E3A9D3F8C1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lastRenderedPageBreak/>
        <w:t>PROJEKT</w:t>
      </w:r>
    </w:p>
    <w:p>
      <w:pPr>
        <w:jc w:val="center"/>
        <w:rPr>
          <w:b/>
          <w:noProof/>
        </w:rPr>
      </w:pPr>
      <w:r>
        <w:rPr>
          <w:b/>
          <w:noProof/>
        </w:rPr>
        <w:t>DECYZJI NR ..../2019 Komisji Mieszanej UE–CTC ustanowionej na mocy Konwencji z dnia 20 maja 1987 r. o wspólnej procedurze tranzytowej</w:t>
      </w:r>
    </w:p>
    <w:p>
      <w:pPr>
        <w:jc w:val="center"/>
        <w:rPr>
          <w:b/>
          <w:noProof/>
        </w:rPr>
      </w:pPr>
      <w:r>
        <w:rPr>
          <w:b/>
          <w:noProof/>
        </w:rPr>
        <w:t>z dnia … 2019 r.</w:t>
      </w:r>
    </w:p>
    <w:p>
      <w:pPr>
        <w:jc w:val="center"/>
        <w:rPr>
          <w:b/>
          <w:noProof/>
        </w:rPr>
      </w:pPr>
      <w:r>
        <w:rPr>
          <w:b/>
          <w:noProof/>
        </w:rPr>
        <w:t>zmieniającej wspomnianą wyżej Konwencję</w:t>
      </w:r>
    </w:p>
    <w:p>
      <w:pPr>
        <w:rPr>
          <w:noProof/>
        </w:rPr>
      </w:pPr>
    </w:p>
    <w:p>
      <w:pPr>
        <w:keepNext/>
        <w:spacing w:before="600"/>
        <w:rPr>
          <w:noProof/>
        </w:rPr>
      </w:pPr>
      <w:r>
        <w:rPr>
          <w:noProof/>
        </w:rPr>
        <w:t>KOMISJA MIESZANA UE–CTC,</w:t>
      </w:r>
    </w:p>
    <w:p>
      <w:pPr>
        <w:rPr>
          <w:noProof/>
        </w:rPr>
      </w:pPr>
      <w:r>
        <w:rPr>
          <w:noProof/>
        </w:rPr>
        <w:t>uwzględniając Konwencję z dnia 20 maja 1987 r. o wspólnej procedurze tranzytowej, w szczególności jej art. 15 ust. 3 lit. a),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Zgodnie z art. 15 ust. 3 lit. a) Konwencji z dnia 20 maja 1987 r. o wspólnej procedurze tranzytowej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(„Konwencja”) Komisja Mieszana powołana na mocy tej Konwencji może przyjmować w drodze decyzji zmiany w dodatkach do Konwencji. </w:t>
      </w:r>
    </w:p>
    <w:p>
      <w:pPr>
        <w:pStyle w:val="Considrant"/>
        <w:rPr>
          <w:noProof/>
        </w:rPr>
      </w:pPr>
      <w:r>
        <w:rPr>
          <w:noProof/>
        </w:rPr>
        <w:t>Od dnia 1 maja 2018 r. zastosowanie mają przepisy Konwencji dotyczące uproszczenia tranzytowego polegającego na stosowaniu elektronicznego dokumentu tranzytowego jako zgłoszenia tranzytowego w transporcie powietrznym. Poprzednie uproszczenie tranzytowe odnoszące się do transportu powietrznego można było stosować wyłącznie do dnia 1 maja 2018 r. Należy zatem odpowiednio zmienić wszystkie odniesienia do poprzedniego uproszczenia tranzytowego dla transportu powietrznego.</w:t>
      </w:r>
    </w:p>
    <w:p>
      <w:pPr>
        <w:pStyle w:val="Considrant"/>
        <w:rPr>
          <w:noProof/>
        </w:rPr>
      </w:pPr>
      <w:r>
        <w:rPr>
          <w:noProof/>
        </w:rPr>
        <w:t>Rozporządzenie Parlamentu Europejskiego i Rady (UE) 2016/679</w:t>
      </w:r>
      <w:r>
        <w:rPr>
          <w:rStyle w:val="FootnoteReference"/>
          <w:noProof/>
        </w:rPr>
        <w:footnoteReference w:id="2"/>
      </w:r>
      <w:r>
        <w:rPr>
          <w:noProof/>
        </w:rPr>
        <w:t>, w którym określono ramy prawne ochrony danych osobowych w Unii, weszło w życie dnia 24 maja 2018 r. Rozporządzeniem tym uchylono poprzedni akt prawny w tym obszarze, tj. dyrektywę 95/46/WE Parlamentu Europejskiego i Rady</w:t>
      </w:r>
      <w:r>
        <w:rPr>
          <w:rStyle w:val="FootnoteReference"/>
          <w:noProof/>
        </w:rPr>
        <w:footnoteReference w:id="3"/>
      </w:r>
      <w:r>
        <w:rPr>
          <w:noProof/>
        </w:rPr>
        <w:t>. W związku z tym odniesienia do dyrektywy 95/46/WE w załączniku I do Konwencji należy zastąpić odniesieniami do rozporządzenia (UE) 2016/679.</w:t>
      </w:r>
    </w:p>
    <w:p>
      <w:pPr>
        <w:pStyle w:val="Considrant"/>
        <w:rPr>
          <w:noProof/>
        </w:rPr>
      </w:pPr>
      <w:r>
        <w:rPr>
          <w:noProof/>
        </w:rPr>
        <w:t>Do art. 84 rozporządzenia delegowanego Komisji (UE) 2015/2446</w:t>
      </w:r>
      <w:r>
        <w:rPr>
          <w:rStyle w:val="FootnoteReference"/>
          <w:noProof/>
        </w:rPr>
        <w:footnoteReference w:id="4"/>
      </w:r>
      <w:r>
        <w:rPr>
          <w:noProof/>
        </w:rPr>
        <w:t>, w którym określono warunki, jakie wnioskodawcy muszą spełnić, aby uzyskać pozwolenie na stosowanie zabezpieczenia generalnego w obniżonej kwocie lub zwolnienia z obowiązku złożenia zabezpieczenia, wprowadzono zmiany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W wyniku tych zmian </w:t>
      </w:r>
      <w:r>
        <w:rPr>
          <w:noProof/>
        </w:rPr>
        <w:lastRenderedPageBreak/>
        <w:t>zniesiono wymóg dotyczący dostatecznych zasobów finansowych jako odrębnego warunku, ponieważ doświadczenia pokazały, że warunek ten był rozumiany w zbyt restrykcyjny sposób z naciskiem wyłącznie na dostępność środków pieniężnych. Ocenę, czy przedsiębiorcy posiadają zdolność do zapłaty pełnej kwoty długu, należy zatem włączyć do oceny ich zdolności finansowej. Należy zatem wprowadzić odpowiednie zmiany w art. 75 załącznika I do Konwencji stanowiącego powtórzenie art. 84 rozporządzenia delegowanego Komisji (UE) 2015/2446.</w:t>
      </w:r>
    </w:p>
    <w:p>
      <w:pPr>
        <w:pStyle w:val="Considrant"/>
        <w:rPr>
          <w:noProof/>
        </w:rPr>
      </w:pPr>
      <w:r>
        <w:rPr>
          <w:noProof/>
        </w:rPr>
        <w:t>Obecnie warunki, na jakich towary przewożone przez korytarz T2 zachowują swój status celny jako towary unijne, są określone w tytule I art. 2a załącznika II do Konwencji, przy czym zakres tego tytułu ogranicza się do towarów nieobjętych procedurą wywozu. Ustanowienie takiego ograniczenia w odniesieniu do towarów unijnych przemieszczanych przez korytarz T2 nie było zamierzone. Z tytułu I załącznika II do Konwencji należy zatem usunąć art. 2a, a do nowego tytułu Ia należy dodać nowy artykuł, zgodnie z którym takie ograniczenie nie miałoby zastosowania.</w:t>
      </w:r>
    </w:p>
    <w:p>
      <w:pPr>
        <w:pStyle w:val="Considrant"/>
        <w:rPr>
          <w:noProof/>
        </w:rPr>
      </w:pPr>
      <w:r>
        <w:rPr>
          <w:noProof/>
        </w:rPr>
        <w:t>W następstwie zgłoszenia dokonanego przez Macedonię Północną do ONZ i UE dotyczącego wejścia w życie porozumienia znad Prespy w dniu 15 lutego 2019 r. państwo to funkcjonujące poprzednio pod nazwą „była jugosłowiańska republika Macedonii” zmienia nazwę na „Republika Macedonii Północnej”. Należy zatem odpowiednio zmienić załączniki III i IIIa do Konwencji, aby odzwierciedlały zmianę nazwy tego państwa i jego kodu.</w:t>
      </w:r>
    </w:p>
    <w:p>
      <w:pPr>
        <w:pStyle w:val="Formuledadoption"/>
        <w:rPr>
          <w:noProof/>
        </w:rPr>
      </w:pPr>
      <w:r>
        <w:rPr>
          <w:noProof/>
        </w:rPr>
        <w:t>Należy zatem odpowiednio zmienić Konwencję,</w:t>
      </w:r>
    </w:p>
    <w:p>
      <w:pPr>
        <w:keepNext/>
        <w:rPr>
          <w:noProof/>
        </w:rPr>
      </w:pPr>
      <w:r>
        <w:rPr>
          <w:noProof/>
        </w:rPr>
        <w:t>PRZYJMUJE NINIEJSZĄ DECYZJĘ: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1. W załączniku I do Konwencji wprowadza się zmiany zgodnie z załącznikiem A do niniejszej decyzji.</w:t>
      </w:r>
    </w:p>
    <w:p>
      <w:pPr>
        <w:rPr>
          <w:noProof/>
        </w:rPr>
      </w:pPr>
      <w:r>
        <w:rPr>
          <w:noProof/>
        </w:rPr>
        <w:t>2. W załączniku II do Konwencji wprowadza się zmiany zgodnie z załącznikiem B do niniejszej decyzji.</w:t>
      </w:r>
    </w:p>
    <w:p>
      <w:pPr>
        <w:rPr>
          <w:noProof/>
        </w:rPr>
      </w:pPr>
      <w:r>
        <w:rPr>
          <w:noProof/>
        </w:rPr>
        <w:t>3. W załączniku III do Konwencji wprowadza się zmiany zgodnie z załącznikiem C do niniejszej decyzji.</w:t>
      </w:r>
    </w:p>
    <w:p>
      <w:pPr>
        <w:rPr>
          <w:noProof/>
        </w:rPr>
      </w:pPr>
      <w:r>
        <w:rPr>
          <w:noProof/>
        </w:rPr>
        <w:t>4. W załączniku IIIa do Konwencji wprowadza się zmiany zgodnie z załącznikiem D do niniejszej decyzji.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Niniejsza decyzja wchodzi w życie z dniem jej przyjęcia.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rPr>
          <w:noProof/>
        </w:rPr>
        <w:t>Sporządzono w .......dnia [...] r.</w:t>
      </w:r>
    </w:p>
    <w:p>
      <w:pPr>
        <w:pStyle w:val="Personnequisigne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 imieniu Komisji Mieszanej</w:t>
      </w:r>
    </w:p>
    <w:p>
      <w:pPr>
        <w:pStyle w:val="Personnequisigne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Przewodniczący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ZAŁĄCZNIK A</w:t>
      </w:r>
    </w:p>
    <w:p>
      <w:pPr>
        <w:jc w:val="left"/>
        <w:rPr>
          <w:noProof/>
        </w:rPr>
      </w:pPr>
      <w:r>
        <w:rPr>
          <w:noProof/>
        </w:rPr>
        <w:t>W załączniku I do Konwencji wprowadza się następujące zmiany:</w:t>
      </w:r>
    </w:p>
    <w:p>
      <w:pPr>
        <w:rPr>
          <w:noProof/>
        </w:rPr>
      </w:pPr>
      <w:r>
        <w:rPr>
          <w:noProof/>
        </w:rPr>
        <w:t>1)</w:t>
      </w:r>
      <w:r>
        <w:rPr>
          <w:noProof/>
        </w:rPr>
        <w:tab/>
        <w:t>art. 7 ust. 2 otrzymuje brzmienie:</w:t>
      </w:r>
    </w:p>
    <w:p>
      <w:pPr>
        <w:ind w:left="720"/>
        <w:rPr>
          <w:noProof/>
        </w:rPr>
      </w:pPr>
      <w:r>
        <w:rPr>
          <w:noProof/>
        </w:rPr>
        <w:t>„2. Umawiające się Strony zapewniają przetwarzanie danych osobowych, wymienianych w ramach stosowania Konwencji, zgodnie z rozporządzeniem Parlamentu Europejskiego i Rady (UE) 2016/679</w:t>
      </w:r>
      <w:r>
        <w:rPr>
          <w:rStyle w:val="FootnoteReference"/>
          <w:noProof/>
        </w:rPr>
        <w:footnoteReference w:id="6"/>
      </w:r>
      <w:r>
        <w:rPr>
          <w:noProof/>
        </w:rPr>
        <w:t>.”;</w:t>
      </w:r>
    </w:p>
    <w:p>
      <w:pPr>
        <w:rPr>
          <w:noProof/>
        </w:rPr>
      </w:pPr>
      <w:r>
        <w:rPr>
          <w:noProof/>
        </w:rPr>
        <w:t>2)</w:t>
      </w:r>
      <w:r>
        <w:rPr>
          <w:noProof/>
        </w:rPr>
        <w:tab/>
        <w:t>art. 13 ust. 1 lit. a) otrzymuje brzmienie:</w:t>
      </w:r>
    </w:p>
    <w:p>
      <w:pPr>
        <w:ind w:left="720"/>
        <w:rPr>
          <w:noProof/>
        </w:rPr>
      </w:pPr>
      <w:r>
        <w:rPr>
          <w:noProof/>
        </w:rPr>
        <w:t>„a) dla towarów przewożonych transportem lotniczym, w przypadku gdy zastosowanie ma procedura tranzytowa oparta na elektronicznym dokumencie przewozowym jako zgłoszeniu tranzytowym w transporcie lotniczym;”;</w:t>
      </w:r>
    </w:p>
    <w:p>
      <w:pPr>
        <w:rPr>
          <w:noProof/>
        </w:rPr>
      </w:pPr>
      <w:r>
        <w:rPr>
          <w:noProof/>
        </w:rPr>
        <w:t>3)</w:t>
      </w:r>
      <w:r>
        <w:rPr>
          <w:noProof/>
        </w:rPr>
        <w:tab/>
        <w:t>w art. 55 wprowadza się następujące zmiany:</w:t>
      </w:r>
    </w:p>
    <w:p>
      <w:pPr>
        <w:ind w:firstLine="720"/>
        <w:rPr>
          <w:noProof/>
        </w:rPr>
      </w:pPr>
      <w:r>
        <w:rPr>
          <w:noProof/>
        </w:rPr>
        <w:t>a) ust. 1 lit. e) otrzymuje brzmienie:</w:t>
      </w:r>
    </w:p>
    <w:p>
      <w:pPr>
        <w:ind w:left="720"/>
        <w:rPr>
          <w:noProof/>
        </w:rPr>
      </w:pPr>
      <w:r>
        <w:rPr>
          <w:noProof/>
        </w:rPr>
        <w:t>„e) stosowanie wspólnej procedury tranzytowej opartej na dokumentacji papierowej dla towarów przewożonych transportem lotniczym”;</w:t>
      </w:r>
    </w:p>
    <w:p>
      <w:pPr>
        <w:ind w:firstLine="720"/>
        <w:rPr>
          <w:noProof/>
        </w:rPr>
      </w:pPr>
      <w:r>
        <w:rPr>
          <w:noProof/>
        </w:rPr>
        <w:t>b) w ust. 3 uchyla się akapit drugi;</w:t>
      </w:r>
    </w:p>
    <w:p>
      <w:pPr>
        <w:rPr>
          <w:noProof/>
        </w:rPr>
      </w:pPr>
      <w:r>
        <w:rPr>
          <w:noProof/>
        </w:rPr>
        <w:t>4)</w:t>
      </w:r>
      <w:r>
        <w:rPr>
          <w:noProof/>
        </w:rPr>
        <w:tab/>
        <w:t>w art. 57 ust. 3 uchyla się lit. b);</w:t>
      </w:r>
    </w:p>
    <w:p>
      <w:pPr>
        <w:rPr>
          <w:noProof/>
        </w:rPr>
      </w:pPr>
      <w:r>
        <w:rPr>
          <w:noProof/>
        </w:rPr>
        <w:t>5)</w:t>
      </w:r>
      <w:r>
        <w:rPr>
          <w:noProof/>
        </w:rPr>
        <w:tab/>
        <w:t>w art. 75 ust. 2 wprowadza się następujące zmiany:</w:t>
      </w:r>
    </w:p>
    <w:p>
      <w:pPr>
        <w:ind w:firstLine="720"/>
        <w:rPr>
          <w:noProof/>
        </w:rPr>
      </w:pPr>
      <w:r>
        <w:rPr>
          <w:noProof/>
        </w:rPr>
        <w:t>a)</w:t>
      </w:r>
      <w:r>
        <w:rPr>
          <w:noProof/>
        </w:rPr>
        <w:tab/>
        <w:t>w lit. a) uchyla się ppkt (vi);</w:t>
      </w:r>
    </w:p>
    <w:p>
      <w:pPr>
        <w:ind w:firstLine="720"/>
        <w:rPr>
          <w:noProof/>
        </w:rPr>
      </w:pPr>
      <w:r>
        <w:rPr>
          <w:noProof/>
        </w:rPr>
        <w:t>b)</w:t>
      </w:r>
      <w:r>
        <w:rPr>
          <w:noProof/>
        </w:rPr>
        <w:tab/>
        <w:t>w lit. b) uchyla się ppkt (vii);</w:t>
      </w:r>
    </w:p>
    <w:p>
      <w:pPr>
        <w:ind w:firstLine="720"/>
        <w:rPr>
          <w:noProof/>
        </w:rPr>
      </w:pPr>
      <w:r>
        <w:rPr>
          <w:noProof/>
        </w:rPr>
        <w:t>c)</w:t>
      </w:r>
      <w:r>
        <w:rPr>
          <w:noProof/>
        </w:rPr>
        <w:tab/>
        <w:t>w lit. c) uchyla się ppkt (xii);</w:t>
      </w:r>
    </w:p>
    <w:p>
      <w:pPr>
        <w:rPr>
          <w:noProof/>
        </w:rPr>
      </w:pPr>
      <w:r>
        <w:rPr>
          <w:noProof/>
        </w:rPr>
        <w:t>6)</w:t>
      </w:r>
      <w:r>
        <w:rPr>
          <w:noProof/>
        </w:rPr>
        <w:tab/>
        <w:t xml:space="preserve">w art. 75 dodaje się ust. 3 w brzmieniu: </w:t>
      </w:r>
    </w:p>
    <w:p>
      <w:pPr>
        <w:ind w:left="720"/>
        <w:rPr>
          <w:noProof/>
        </w:rPr>
      </w:pPr>
      <w:r>
        <w:rPr>
          <w:noProof/>
        </w:rPr>
        <w:t>„3.</w:t>
      </w:r>
      <w:r>
        <w:rPr>
          <w:noProof/>
        </w:rPr>
        <w:tab/>
        <w:t xml:space="preserve">W trakcie weryfikacji, czy wnioskodawca ma wystarczająco dobrą sytuację finansową, aby udzielono mu pozwolenia na korzystanie z zabezpieczenia generalnego w obniżonej kwocie lub zwolnienia z obowiązku złożenia zabezpieczenia zgodnie z wymogami ust. 2 lit. a) ppkt (v), ust. 2 lit. b) ppkt (vi) i ust. 2 lit. c) ppkt (xi), organy celne uwzględniają zdolność wnioskodawcy do wypełnienia swoich obowiązków dotyczących zapłaty długów i innych opłat, które mogą zostać poniesione, nieobjętych zakresem tej gwarancji. </w:t>
      </w:r>
    </w:p>
    <w:p>
      <w:pPr>
        <w:ind w:left="720"/>
        <w:rPr>
          <w:noProof/>
        </w:rPr>
      </w:pPr>
      <w:r>
        <w:rPr>
          <w:noProof/>
        </w:rPr>
        <w:t>W uzasadnionych przypadkach organy celne mogą uwzględnić ryzyko powstania tych długów, mając na uwadze rodzaj i wielkość ceł związanych z działalnością gospodarczą wnioskodawcy i rodzaj towarów, dla których wymagana jest gwarancja.”;</w:t>
      </w:r>
    </w:p>
    <w:p>
      <w:pPr>
        <w:rPr>
          <w:noProof/>
        </w:rPr>
      </w:pPr>
      <w:r>
        <w:rPr>
          <w:noProof/>
        </w:rPr>
        <w:t>7)</w:t>
      </w:r>
      <w:r>
        <w:rPr>
          <w:noProof/>
        </w:rPr>
        <w:tab/>
        <w:t xml:space="preserve">nagłówek tytułu VII otrzymuje brzmienie: </w:t>
      </w:r>
    </w:p>
    <w:p>
      <w:pPr>
        <w:ind w:left="720"/>
        <w:rPr>
          <w:noProof/>
        </w:rPr>
      </w:pPr>
      <w:r>
        <w:rPr>
          <w:noProof/>
        </w:rPr>
        <w:t>„Wspólna procedura tranzytowa oparta na dokumentacji papierowej dla towarów przewożonych transportem lotniczym oraz wspólna procedura tranzytowa oparta na elektronicznym dokumencie przewozowym jako zgłoszeniu tranzytowym w transporcie lotniczym”;</w:t>
      </w:r>
    </w:p>
    <w:p>
      <w:pPr>
        <w:rPr>
          <w:noProof/>
        </w:rPr>
      </w:pPr>
      <w:r>
        <w:rPr>
          <w:noProof/>
        </w:rPr>
        <w:t>8)</w:t>
      </w:r>
      <w:r>
        <w:rPr>
          <w:noProof/>
        </w:rPr>
        <w:tab/>
        <w:t>uchyla się art. 111.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lastRenderedPageBreak/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ZAŁĄCZNIK B</w:t>
      </w:r>
    </w:p>
    <w:p>
      <w:pPr>
        <w:rPr>
          <w:noProof/>
        </w:rPr>
      </w:pPr>
      <w:r>
        <w:rPr>
          <w:noProof/>
        </w:rPr>
        <w:t>W załączniku II do Konwencji wprowadza się następujące zmiany:</w:t>
      </w:r>
    </w:p>
    <w:p>
      <w:pPr>
        <w:rPr>
          <w:noProof/>
        </w:rPr>
      </w:pPr>
      <w:r>
        <w:rPr>
          <w:noProof/>
        </w:rPr>
        <w:t>1)</w:t>
      </w:r>
      <w:r>
        <w:rPr>
          <w:noProof/>
        </w:rPr>
        <w:tab/>
        <w:t xml:space="preserve">tytuł I otrzymuje brzmienie: </w:t>
      </w:r>
    </w:p>
    <w:p>
      <w:pPr>
        <w:rPr>
          <w:noProof/>
        </w:rPr>
      </w:pPr>
      <w:r>
        <w:rPr>
          <w:noProof/>
        </w:rPr>
        <w:t xml:space="preserve">„POTWIERDZENIE UNIJNEGO STATUSU CELNEGO TOWARÓW”; </w:t>
      </w:r>
    </w:p>
    <w:p>
      <w:pPr>
        <w:rPr>
          <w:noProof/>
        </w:rPr>
      </w:pPr>
      <w:r>
        <w:rPr>
          <w:noProof/>
        </w:rPr>
        <w:t xml:space="preserve"> 2)</w:t>
      </w:r>
      <w:r>
        <w:rPr>
          <w:noProof/>
        </w:rPr>
        <w:tab/>
        <w:t>uchyla się art. 2a;</w:t>
      </w:r>
      <w:r>
        <w:rPr>
          <w:noProof/>
        </w:rPr>
        <w:tab/>
      </w:r>
    </w:p>
    <w:p>
      <w:pPr>
        <w:rPr>
          <w:noProof/>
        </w:rPr>
      </w:pPr>
      <w:r>
        <w:rPr>
          <w:noProof/>
        </w:rPr>
        <w:t xml:space="preserve">3) </w:t>
      </w:r>
      <w:r>
        <w:rPr>
          <w:noProof/>
        </w:rPr>
        <w:tab/>
        <w:t xml:space="preserve">dodaje się tytuł Ia w brzmieniu: </w:t>
      </w:r>
    </w:p>
    <w:p>
      <w:pPr>
        <w:jc w:val="center"/>
        <w:rPr>
          <w:noProof/>
        </w:rPr>
      </w:pPr>
      <w:r>
        <w:rPr>
          <w:noProof/>
        </w:rPr>
        <w:t>„TYTUŁ Ia</w:t>
      </w:r>
    </w:p>
    <w:p>
      <w:pPr>
        <w:jc w:val="center"/>
        <w:rPr>
          <w:noProof/>
        </w:rPr>
      </w:pPr>
      <w:r>
        <w:rPr>
          <w:noProof/>
        </w:rPr>
        <w:t>POSTANOWIENIA DOTYCZĄCE NIEZMIENIANIA UNIJNEGO STATUSU CELNEGO TOWARÓW W ODNIESIENIU DO TOWARÓW TRANSPORTOWANYCH PRZEZ KORYTARZ T2</w:t>
      </w:r>
    </w:p>
    <w:p>
      <w:pPr>
        <w:jc w:val="center"/>
        <w:rPr>
          <w:i/>
          <w:noProof/>
        </w:rPr>
      </w:pPr>
      <w:r>
        <w:rPr>
          <w:i/>
          <w:noProof/>
        </w:rPr>
        <w:t>Artykuł 21a</w:t>
      </w:r>
    </w:p>
    <w:p>
      <w:pPr>
        <w:jc w:val="center"/>
        <w:rPr>
          <w:noProof/>
        </w:rPr>
      </w:pPr>
      <w:r>
        <w:rPr>
          <w:noProof/>
        </w:rPr>
        <w:t>Potwierdzenie unijnego statusu celnego towarów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1. Towary posiadające status celny towarów unijnych, które są przewożone transportem kolejowym, mogą być przemieszczane, bez konieczności objęcia ich procedurą celną, z jednego miejsca na obszarze celnym Unii do innego i transportowane przez terytorium państwa wspólnego tranzytu bez zmiany ich statusu celnego, jeżeli:</w:t>
      </w:r>
    </w:p>
    <w:p>
      <w:pPr>
        <w:rPr>
          <w:noProof/>
        </w:rPr>
      </w:pPr>
      <w:r>
        <w:rPr>
          <w:noProof/>
        </w:rPr>
        <w:t>— transport towarów odbywa się z zastosowaniem jednolitego dokumentu przewozowego wydanego w państwie członkowskim Unii Europejskiej;</w:t>
      </w:r>
    </w:p>
    <w:p>
      <w:pPr>
        <w:rPr>
          <w:noProof/>
        </w:rPr>
      </w:pPr>
      <w:r>
        <w:rPr>
          <w:noProof/>
        </w:rPr>
        <w:t>— jednolity dokument przewozowy zawiera następującą adnotację: »korytarz T2«;</w:t>
      </w:r>
    </w:p>
    <w:p>
      <w:pPr>
        <w:rPr>
          <w:noProof/>
        </w:rPr>
      </w:pPr>
      <w:r>
        <w:rPr>
          <w:noProof/>
        </w:rPr>
        <w:t>— tranzyt przez terytorium państwa wspólnego tranzytu jest monitorowany za pomocą systemu elektronicznego w tym państwie wspólnego tranzytu;</w:t>
      </w:r>
    </w:p>
    <w:p>
      <w:pPr>
        <w:rPr>
          <w:noProof/>
        </w:rPr>
      </w:pPr>
      <w:r>
        <w:rPr>
          <w:noProof/>
        </w:rPr>
        <w:t>— dane przedsiębiorstwo kolejowe jest upoważnione przez państwo wspólnego tranzytu, przez którego terytorium odbywa się przewóz, do zastosowania procedury »korytarz T2«.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2. Państwo wspólnego tranzytu informuje Komisję Mieszaną, o której mowa w art. 14 Konwencji, lub grupę roboczą utworzoną przez Komisję Mieszaną na podstawie ust. 5 tego artykułu o warunkach stosowania elektronicznego systemu monitorowania oraz o przedsiębiorstwach kolejowych, które są upoważnione do stosowania procedury wspomnianej w ust. 1 tego artykułu.”.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ZAŁĄCZNIK C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W załączniku III do Konwencji wprowadza się następujące zmiany:</w:t>
      </w:r>
    </w:p>
    <w:p>
      <w:pPr>
        <w:rPr>
          <w:noProof/>
          <w:highlight w:val="yellow"/>
        </w:rPr>
      </w:pPr>
      <w:r>
        <w:rPr>
          <w:noProof/>
        </w:rPr>
        <w:t>1)</w:t>
      </w:r>
      <w:r>
        <w:rPr>
          <w:noProof/>
        </w:rPr>
        <w:tab/>
        <w:t xml:space="preserve">w dodatku B1 słowa „MK </w:t>
      </w:r>
      <w:r>
        <w:rPr>
          <w:noProof/>
          <w:vertAlign w:val="superscript"/>
        </w:rPr>
        <w:t xml:space="preserve">(1) </w:t>
      </w:r>
      <w:r>
        <w:rPr>
          <w:noProof/>
        </w:rPr>
        <w:t>Była Jugosłowiańska Republika Macedonii” zastępuje się słowami „MK Macedonia Północna” i skreśla się przypis</w:t>
      </w:r>
      <w:r>
        <w:rPr>
          <w:noProof/>
          <w:vertAlign w:val="superscript"/>
        </w:rPr>
        <w:t>(1)</w:t>
      </w:r>
      <w:r>
        <w:rPr>
          <w:noProof/>
        </w:rPr>
        <w:t>;</w:t>
      </w:r>
    </w:p>
    <w:p>
      <w:pPr>
        <w:rPr>
          <w:noProof/>
        </w:rPr>
      </w:pPr>
      <w:r>
        <w:rPr>
          <w:noProof/>
        </w:rPr>
        <w:t xml:space="preserve">2) </w:t>
      </w:r>
      <w:r>
        <w:rPr>
          <w:noProof/>
        </w:rPr>
        <w:tab/>
        <w:t>w dodatku B6, tytuł III, kod „MK</w:t>
      </w:r>
      <w:r>
        <w:rPr>
          <w:noProof/>
          <w:vertAlign w:val="superscript"/>
        </w:rPr>
        <w:t>(1)</w:t>
      </w:r>
      <w:r>
        <w:rPr>
          <w:noProof/>
        </w:rPr>
        <w:t>” zastępuje się kodem „MK”;</w:t>
      </w:r>
    </w:p>
    <w:p>
      <w:pPr>
        <w:rPr>
          <w:noProof/>
        </w:rPr>
      </w:pPr>
      <w:r>
        <w:rPr>
          <w:noProof/>
        </w:rPr>
        <w:t>3)</w:t>
      </w:r>
      <w:r>
        <w:rPr>
          <w:noProof/>
        </w:rPr>
        <w:tab/>
        <w:t>w dodatku C1 pkt 1 słowa „była jugosłowiańska republika Macedonii” zastępuje się słowami „Republika Macedonii Północnej”;</w:t>
      </w:r>
    </w:p>
    <w:p>
      <w:pPr>
        <w:rPr>
          <w:noProof/>
        </w:rPr>
      </w:pPr>
      <w:r>
        <w:rPr>
          <w:noProof/>
        </w:rPr>
        <w:t>4)</w:t>
      </w:r>
      <w:r>
        <w:rPr>
          <w:noProof/>
        </w:rPr>
        <w:tab/>
        <w:t>w dodatku C2 pkt 1 słowa „była jugosłowiańska republika Macedonii” zastępuje się słowami „Republika Macedonii Północnej”;</w:t>
      </w:r>
    </w:p>
    <w:p>
      <w:pPr>
        <w:rPr>
          <w:noProof/>
        </w:rPr>
      </w:pPr>
      <w:r>
        <w:rPr>
          <w:noProof/>
        </w:rPr>
        <w:t>5)</w:t>
      </w:r>
      <w:r>
        <w:rPr>
          <w:noProof/>
        </w:rPr>
        <w:tab/>
        <w:t>w dodatku C4 pkt 1 słowa „była jugosłowiańska republika Macedonii” zastępuje się słowami „Republika Macedonii Północnej”;</w:t>
      </w:r>
    </w:p>
    <w:p>
      <w:pPr>
        <w:rPr>
          <w:noProof/>
        </w:rPr>
      </w:pPr>
      <w:r>
        <w:rPr>
          <w:noProof/>
        </w:rPr>
        <w:t>6)</w:t>
      </w:r>
      <w:r>
        <w:rPr>
          <w:noProof/>
        </w:rPr>
        <w:tab/>
        <w:t>w dodatku C5 wiersz 7 słowa „była jugosłowiańska republika Macedonii” zastępuje się słowami „Republika Macedonii Północnej”;</w:t>
      </w:r>
    </w:p>
    <w:p>
      <w:pPr>
        <w:rPr>
          <w:noProof/>
        </w:rPr>
      </w:pPr>
      <w:r>
        <w:rPr>
          <w:noProof/>
        </w:rPr>
        <w:t>7)</w:t>
      </w:r>
      <w:r>
        <w:rPr>
          <w:noProof/>
        </w:rPr>
        <w:tab/>
        <w:t>w dodatku C6 wiersz 6 słowa „była jugosłowiańska republika Macedonii” zastępuje się słowami „Republika Macedonii Północnej”.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jc w:val="center"/>
        <w:rPr>
          <w:b/>
          <w:noProof/>
        </w:rPr>
      </w:pPr>
      <w:r>
        <w:rPr>
          <w:b/>
          <w:noProof/>
        </w:rPr>
        <w:lastRenderedPageBreak/>
        <w:t>ZAŁĄCZNIK D</w:t>
      </w:r>
    </w:p>
    <w:p>
      <w:pPr>
        <w:jc w:val="center"/>
        <w:rPr>
          <w:noProof/>
        </w:rPr>
      </w:pPr>
    </w:p>
    <w:p>
      <w:pPr>
        <w:rPr>
          <w:noProof/>
        </w:rPr>
      </w:pPr>
      <w:r>
        <w:rPr>
          <w:noProof/>
        </w:rPr>
        <w:t>W dodatku A1a tytuł IV do załącznika IIIa do Konwencji kod „MK</w:t>
      </w:r>
      <w:r>
        <w:rPr>
          <w:noProof/>
          <w:vertAlign w:val="superscript"/>
        </w:rPr>
        <w:t>(1)</w:t>
      </w:r>
      <w:r>
        <w:rPr>
          <w:noProof/>
        </w:rPr>
        <w:t>” zastępuje się kodem „MK”.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226 z 13.8.1987, s. 2.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(Dz.U. L 119 z 4.5.2016, s.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Dyrektywa 95/46/WE Parlamentu Europejskiego i Rady z dnia 24 października 1995 r. w sprawie ochrony osób fizycznych w zakresie przetwarzania danych osobowych i swobodnego przepływu tych danych (Dz.U. L 281 z 23.11.1995, s. 31).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Rozporządzenie delegowane Komisji (UE) 2015/2446 z dnia 28 lipca 2015 r. uzupełniające rozporządzenie Parlamentu Europejskiego i Rady (UE) nr 952/2013 w odniesieniu do szczegółowych zasad dotyczących niektórych przepisów unijnego kodeksu celnego (Dz.U. L 343 z 29.12.2015, s.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Rozporządzenie delegowane Komisji (UE) 2018/1118 z dnia 7 czerwca 2018 r. zmieniające rozporządzenie delegowane (UE) 2015/2446 w odniesieniu do warunków obniżenia wysokości zabezpieczenia generalnego lub zwolnienia z obowiązku złożenia zabezpieczenia (Dz.U. L 204 z 13.8.2018, s. 11).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(Dz.U. L 119 z 4.5.2016,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F34B8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BEEEA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4BCDC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E444B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9D4E2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7D6DD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EA81F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ECA8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UBIELAK Anna (TAXUD)">
    <w15:presenceInfo w15:providerId="None" w15:userId="DUBIELAK Anna (TAXU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11 15:28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F9E501F-3799-4FAB-A077-63E3A9D3F8C1"/>
    <w:docVar w:name="LW_COVERPAGE_TYPE" w:val="1"/>
    <w:docVar w:name="LW_CROSSREFERENCE" w:val="&lt;UNUSED&gt;"/>
    <w:docVar w:name="LW_DocType" w:val="ANNEX"/>
    <w:docVar w:name="LW_EMISSION" w:val="23.4.2019"/>
    <w:docVar w:name="LW_EMISSION_ISODATE" w:val="2019-04-2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w Komisji Mieszanej UE\u8211?CTC ustanowionej na mocy Konwencji z dnia 20 maja 1987 r. o wspólnej procedurze tranzytowej, dotycz\u261?cego zmian w tej Konwencji_x000b_"/>
    <w:docVar w:name="LW_OBJETACTEPRINCIPAL.CP" w:val="w sprawie stanowiska, jakie ma zosta\u263? zaj\u281?te w imieniu Unii Europejskiej w Komisji Mieszanej UE\u8211?CTC ustanowionej na mocy Konwencji z dnia 20 maja 1987 r. o wspólnej procedurze tranzytowej, dotycz\u261?cego zmian w tej Konwencji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8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 decyzji Rady"/>
    <w:docVar w:name="LW_TYPEACTEPRINCIPAL.CP" w:val="wniosku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D3AB1D-4130-443D-8522-0654BBFD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1236</Words>
  <Characters>7516</Characters>
  <Application>Microsoft Office Word</Application>
  <DocSecurity>0</DocSecurity>
  <Lines>163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DUBIELAK Anna (TAXUD)</dc:creator>
  <cp:lastModifiedBy>WES PDFC Administrator</cp:lastModifiedBy>
  <cp:revision>8</cp:revision>
  <dcterms:created xsi:type="dcterms:W3CDTF">2019-04-03T12:09:00Z</dcterms:created>
  <dcterms:modified xsi:type="dcterms:W3CDTF">2019-04-11T13:28:00Z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