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BEBA081-AC6A-412F-B269-B0694D107562" style="width:450.75pt;height:416.2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100"/>
        </w:numPr>
        <w:suppressAutoHyphens/>
        <w:spacing w:after="200" w:line="240" w:lineRule="auto"/>
        <w:jc w:val="both"/>
        <w:rPr>
          <w:rFonts w:ascii="Times New Roman" w:eastAsia="SimSun" w:hAnsi="Times New Roman" w:cs="Times New Roman"/>
          <w:b/>
          <w:noProof/>
          <w:sz w:val="24"/>
          <w:szCs w:val="24"/>
          <w:lang w:val="bg-BG" w:eastAsia="ar-SA"/>
        </w:rPr>
      </w:pPr>
      <w:bookmarkStart w:id="1" w:name="_GoBack"/>
      <w:bookmarkEnd w:id="1"/>
      <w:r>
        <w:rPr>
          <w:rFonts w:ascii="Times New Roman" w:eastAsia="SimSun" w:hAnsi="Times New Roman" w:cs="font413"/>
          <w:b/>
          <w:noProof/>
          <w:sz w:val="24"/>
          <w:szCs w:val="24"/>
          <w:lang w:val="bg-BG" w:eastAsia="ar-SA"/>
        </w:rPr>
        <w:lastRenderedPageBreak/>
        <w:t xml:space="preserve">Въведение </w:t>
      </w:r>
    </w:p>
    <w:p>
      <w:pPr>
        <w:autoSpaceDE w:val="0"/>
        <w:autoSpaceDN w:val="0"/>
        <w:adjustRightInd w:val="0"/>
        <w:spacing w:after="0" w:line="240" w:lineRule="auto"/>
        <w:jc w:val="both"/>
        <w:rPr>
          <w:rFonts w:ascii="Times New Roman" w:eastAsia="Calibri"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 xml:space="preserve">Социалното измерение на Европейския съюз е предвидено в член 3 от Договора за Европейския съюз (ДЕС). В посочената разпоредба се подчертава целта на Съюза, наред с другото, да насърчава благоденствието на своите народи, да работи за устойчиво развитие и силно конкурентна социална пазарна икономика, която има за цел пълна заетост и социален прогрес, да се бори срещу социалното изключване и дискриминацията и да насърчава равенството между жените и мъжете. </w:t>
      </w:r>
    </w:p>
    <w:p>
      <w:pPr>
        <w:autoSpaceDE w:val="0"/>
        <w:autoSpaceDN w:val="0"/>
        <w:adjustRightInd w:val="0"/>
        <w:spacing w:after="0" w:line="240" w:lineRule="auto"/>
        <w:jc w:val="both"/>
        <w:rPr>
          <w:rFonts w:ascii="Times New Roman" w:eastAsia="Calibri" w:hAnsi="Times New Roman" w:cs="Times New Roman"/>
          <w:noProof/>
          <w:sz w:val="24"/>
          <w:szCs w:val="24"/>
          <w:lang w:val="bg-BG" w:eastAsia="en-GB"/>
        </w:rPr>
      </w:pPr>
    </w:p>
    <w:p>
      <w:pPr>
        <w:autoSpaceDE w:val="0"/>
        <w:autoSpaceDN w:val="0"/>
        <w:adjustRightInd w:val="0"/>
        <w:spacing w:after="240" w:line="240" w:lineRule="auto"/>
        <w:jc w:val="both"/>
        <w:rPr>
          <w:rFonts w:ascii="Times New Roman" w:eastAsia="Calibri" w:hAnsi="Times New Roman" w:cs="Times New Roman"/>
          <w:noProof/>
          <w:sz w:val="24"/>
          <w:szCs w:val="24"/>
          <w:lang w:val="bg-BG" w:eastAsia="en-GB"/>
        </w:rPr>
      </w:pPr>
      <w:r>
        <w:rPr>
          <w:rFonts w:ascii="Times New Roman" w:eastAsia="Calibri" w:hAnsi="Times New Roman" w:cs="Calibri"/>
          <w:noProof/>
          <w:sz w:val="24"/>
          <w:szCs w:val="24"/>
          <w:lang w:val="bg-BG" w:eastAsia="en-GB"/>
        </w:rPr>
        <w:t>В този контекст ролята на ЕС е да подкрепя и допълва социалните политики на държавите членки и да осигурява еднакви условия на конкуренция, сближаване във възходяща посока в сферата на заетостта и резултатите в социалната област, както и добре функциониращ единен пазар и икономически и паричен съюз. През последните 60 години законодателството на равнището на ЕС и координирането на политиките и финансирането на това равнище доведоха до чувствителен напредък (вж. приложение 1).</w:t>
      </w:r>
    </w:p>
    <w:p>
      <w:pPr>
        <w:autoSpaceDE w:val="0"/>
        <w:autoSpaceDN w:val="0"/>
        <w:adjustRightInd w:val="0"/>
        <w:spacing w:after="240" w:line="240" w:lineRule="auto"/>
        <w:jc w:val="both"/>
        <w:rPr>
          <w:rFonts w:ascii="Times New Roman" w:eastAsia="Calibri" w:hAnsi="Times New Roman" w:cs="Times New Roman"/>
          <w:noProof/>
          <w:sz w:val="24"/>
          <w:szCs w:val="24"/>
          <w:lang w:val="bg-BG" w:eastAsia="en-GB"/>
        </w:rPr>
      </w:pPr>
      <w:r>
        <w:rPr>
          <w:rFonts w:ascii="Times New Roman" w:eastAsia="Calibri" w:hAnsi="Times New Roman" w:cs="Calibri"/>
          <w:noProof/>
          <w:sz w:val="24"/>
          <w:szCs w:val="24"/>
          <w:lang w:val="bg-BG" w:eastAsia="en-GB"/>
        </w:rPr>
        <w:t>В контекста на променящите се трудови пазари и общества, както и на новите възможности и предизвикателства, идващи с глобализацията, цифровизацията, смекчаването на изменението на климата и адаптирането към него, променящите се модели на работа, миграцията и застаряващото население, някои от основните грижи на гражданите на ЕС са свързани със социални проблеми. В отговор на това Европейската комисия представи всеобхватна програма от инициативи за подновяване и модернизиране на достиженията на правото на ЕС в социалната сфера</w:t>
      </w:r>
      <w:r>
        <w:rPr>
          <w:rFonts w:ascii="Times New Roman" w:eastAsia="Calibri" w:hAnsi="Times New Roman" w:cs="Times New Roman"/>
          <w:noProof/>
          <w:sz w:val="24"/>
          <w:szCs w:val="24"/>
          <w:vertAlign w:val="superscript"/>
          <w:lang w:val="bg-BG" w:eastAsia="en-GB"/>
        </w:rPr>
        <w:footnoteReference w:id="2"/>
      </w:r>
      <w:r>
        <w:rPr>
          <w:rFonts w:ascii="Times New Roman" w:eastAsia="Calibri" w:hAnsi="Times New Roman" w:cs="Calibri"/>
          <w:noProof/>
          <w:sz w:val="24"/>
          <w:szCs w:val="24"/>
          <w:lang w:val="bg-BG" w:eastAsia="en-GB"/>
        </w:rPr>
        <w:t>. През март 2017 г. лидерите на ЕС също поеха ангажимент да продължат да работят за социална Европа</w:t>
      </w:r>
      <w:r>
        <w:rPr>
          <w:rFonts w:ascii="Times New Roman" w:eastAsia="Calibri" w:hAnsi="Times New Roman" w:cs="Times New Roman"/>
          <w:noProof/>
          <w:sz w:val="24"/>
          <w:szCs w:val="24"/>
          <w:vertAlign w:val="superscript"/>
          <w:lang w:val="bg-BG" w:eastAsia="en-GB"/>
        </w:rPr>
        <w:footnoteReference w:id="3"/>
      </w:r>
      <w:r>
        <w:rPr>
          <w:rFonts w:ascii="Calibri" w:eastAsia="Calibri" w:hAnsi="Calibri" w:cs="Calibri"/>
          <w:noProof/>
          <w:color w:val="000000"/>
          <w:sz w:val="24"/>
          <w:szCs w:val="24"/>
          <w:lang w:val="bg-BG" w:eastAsia="en-GB"/>
        </w:rPr>
        <w:t>.</w:t>
      </w:r>
    </w:p>
    <w:p>
      <w:pPr>
        <w:autoSpaceDE w:val="0"/>
        <w:autoSpaceDN w:val="0"/>
        <w:adjustRightInd w:val="0"/>
        <w:spacing w:after="240" w:line="240" w:lineRule="auto"/>
        <w:jc w:val="both"/>
        <w:rPr>
          <w:rFonts w:ascii="Times New Roman" w:eastAsia="Calibri" w:hAnsi="Times New Roman" w:cs="Times New Roman"/>
          <w:noProof/>
          <w:color w:val="000000"/>
          <w:sz w:val="24"/>
          <w:szCs w:val="24"/>
          <w:lang w:val="bg-BG" w:eastAsia="en-GB"/>
        </w:rPr>
      </w:pPr>
      <w:r>
        <w:rPr>
          <w:rFonts w:ascii="Times New Roman" w:eastAsia="Calibri" w:hAnsi="Times New Roman" w:cs="Calibri"/>
          <w:noProof/>
          <w:sz w:val="24"/>
          <w:szCs w:val="24"/>
          <w:lang w:val="bg-BG" w:eastAsia="en-GB"/>
        </w:rPr>
        <w:t>Обявяването на Европейския стълб на социалните права през ноември 2017 г. беше голямо постижение. Предложен от Комисията и прогласен заедно с Европейския парламент и Съвета на Европейския съюз, Европейският стълб на социалните права</w:t>
      </w:r>
      <w:r>
        <w:rPr>
          <w:rFonts w:ascii="Times New Roman" w:eastAsia="Calibri" w:hAnsi="Times New Roman" w:cs="Times New Roman"/>
          <w:noProof/>
          <w:sz w:val="24"/>
          <w:szCs w:val="24"/>
          <w:vertAlign w:val="superscript"/>
          <w:lang w:val="bg-BG" w:eastAsia="en-GB"/>
        </w:rPr>
        <w:footnoteReference w:id="4"/>
      </w:r>
      <w:r>
        <w:rPr>
          <w:rFonts w:ascii="Times New Roman" w:eastAsia="Calibri" w:hAnsi="Times New Roman" w:cs="Calibri"/>
          <w:noProof/>
          <w:sz w:val="24"/>
          <w:szCs w:val="24"/>
          <w:lang w:val="bg-BG" w:eastAsia="en-GB"/>
        </w:rPr>
        <w:t xml:space="preserve"> дава нов ориентир за посрещане на настоящи и бъдещи предизвикателства. Вече са предприети редица инициативи на равнището на ЕС за последващи действия във връзка със Стълба и за модернизиране на правата </w:t>
      </w:r>
      <w:r>
        <w:rPr>
          <w:rFonts w:ascii="Times New Roman" w:eastAsia="Calibri" w:hAnsi="Times New Roman" w:cs="Calibri"/>
          <w:noProof/>
          <w:color w:val="000000"/>
          <w:sz w:val="24"/>
          <w:szCs w:val="24"/>
          <w:lang w:val="bg-BG" w:eastAsia="en-GB"/>
        </w:rPr>
        <w:t>на гражданите в бързо променящия се свят</w:t>
      </w:r>
      <w:r>
        <w:rPr>
          <w:rFonts w:ascii="Times New Roman" w:eastAsia="Calibri" w:hAnsi="Times New Roman" w:cs="Times New Roman"/>
          <w:noProof/>
          <w:color w:val="000000"/>
          <w:sz w:val="24"/>
          <w:szCs w:val="24"/>
          <w:vertAlign w:val="superscript"/>
          <w:lang w:val="bg-BG" w:eastAsia="en-GB"/>
        </w:rPr>
        <w:footnoteReference w:id="5"/>
      </w:r>
      <w:r>
        <w:rPr>
          <w:rFonts w:ascii="Times New Roman" w:eastAsia="Calibri" w:hAnsi="Times New Roman" w:cs="Calibri"/>
          <w:noProof/>
          <w:color w:val="000000"/>
          <w:sz w:val="24"/>
          <w:szCs w:val="24"/>
          <w:lang w:val="bg-BG" w:eastAsia="en-GB"/>
        </w:rPr>
        <w:t>, като тези инициативи допринасят и за постигането на целите на ООН за устойчиво развитие.</w:t>
      </w:r>
    </w:p>
    <w:p>
      <w:pPr>
        <w:autoSpaceDE w:val="0"/>
        <w:autoSpaceDN w:val="0"/>
        <w:adjustRightInd w:val="0"/>
        <w:spacing w:after="240" w:line="240" w:lineRule="auto"/>
        <w:jc w:val="both"/>
        <w:rPr>
          <w:rFonts w:ascii="Times New Roman" w:eastAsia="Calibri"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Във времето на бързи и понякога водещи до сътресения промени по-важно от всякога е ЕС, заедно с държавите членки, да е в състояние бързо да формулира ефективни отговори в тази област на политиката. Това включва ефикасно вземане на решения, чрез които ЕС да може да постигне резултати, изразяващи се в подкрепа и допълване на политиките на държавите членки; своевременно преодоляване на нововъзникващи предизвикателства; максимално оползотворяване на възможностите, създадени от такива промени; защита на колективните интереси на Съюза и защита на гражданите на ЕС.</w:t>
      </w:r>
    </w:p>
    <w:p>
      <w:pPr>
        <w:autoSpaceDE w:val="0"/>
        <w:autoSpaceDN w:val="0"/>
        <w:adjustRightInd w:val="0"/>
        <w:spacing w:after="240" w:line="240" w:lineRule="auto"/>
        <w:jc w:val="both"/>
        <w:rPr>
          <w:rFonts w:ascii="Times New Roman" w:eastAsia="Calibri"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 xml:space="preserve">Както председателят Юнкер обяви в своята реч за състоянието на Съюза през септември 2018 г., сега е настъпил удобен момент за преглед на предвидената в Договорите рамка за вземане на решения в различните ключови области на политиката, за да се гарантира, че ЕС може да използва всички инструменти, поставени на негово разположение, и да увеличи максимално тяхната добавена стойност. </w:t>
      </w:r>
    </w:p>
    <w:p>
      <w:pPr>
        <w:autoSpaceDE w:val="0"/>
        <w:autoSpaceDN w:val="0"/>
        <w:adjustRightInd w:val="0"/>
        <w:spacing w:after="240" w:line="240" w:lineRule="auto"/>
        <w:jc w:val="both"/>
        <w:rPr>
          <w:rFonts w:ascii="Times New Roman" w:eastAsia="Calibri"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В този смисъл настоящото съобщение е част от по-широкия ангажимент на настоящата Комисия да проучи начини да направи процеса на вземане на решения по-ефикасен, като определи области, в които може засилено да се използва гласуването с квалифицирано мнозинство</w:t>
      </w:r>
      <w:r>
        <w:rPr>
          <w:rFonts w:ascii="Times New Roman" w:eastAsia="Calibri" w:hAnsi="Times New Roman" w:cs="Times New Roman"/>
          <w:noProof/>
          <w:color w:val="000000"/>
          <w:sz w:val="24"/>
          <w:szCs w:val="24"/>
          <w:vertAlign w:val="superscript"/>
          <w:lang w:val="bg-BG" w:eastAsia="en-GB"/>
        </w:rPr>
        <w:footnoteReference w:id="6"/>
      </w:r>
      <w:r>
        <w:rPr>
          <w:rFonts w:ascii="Times New Roman" w:eastAsia="Calibri" w:hAnsi="Times New Roman" w:cs="Calibri"/>
          <w:noProof/>
          <w:color w:val="000000"/>
          <w:sz w:val="24"/>
          <w:szCs w:val="24"/>
          <w:lang w:val="bg-BG" w:eastAsia="en-GB"/>
        </w:rPr>
        <w:t>, и се вписва в поредицата от предходни съобщения относно общата външна политика и политиката на сигурност</w:t>
      </w:r>
      <w:r>
        <w:rPr>
          <w:rFonts w:ascii="Times New Roman" w:eastAsia="Calibri" w:hAnsi="Times New Roman" w:cs="Times New Roman"/>
          <w:noProof/>
          <w:color w:val="000000"/>
          <w:sz w:val="24"/>
          <w:szCs w:val="24"/>
          <w:vertAlign w:val="superscript"/>
          <w:lang w:val="bg-BG" w:eastAsia="en-GB"/>
        </w:rPr>
        <w:footnoteReference w:id="7"/>
      </w:r>
      <w:r>
        <w:rPr>
          <w:rFonts w:ascii="Times New Roman" w:eastAsia="Calibri" w:hAnsi="Times New Roman" w:cs="Calibri"/>
          <w:noProof/>
          <w:color w:val="000000"/>
          <w:sz w:val="24"/>
          <w:szCs w:val="24"/>
          <w:lang w:val="bg-BG" w:eastAsia="en-GB"/>
        </w:rPr>
        <w:t>, данъчното облагане</w:t>
      </w:r>
      <w:r>
        <w:rPr>
          <w:rFonts w:ascii="Times New Roman" w:eastAsia="Calibri" w:hAnsi="Times New Roman" w:cs="Times New Roman"/>
          <w:noProof/>
          <w:color w:val="000000"/>
          <w:sz w:val="24"/>
          <w:szCs w:val="24"/>
          <w:vertAlign w:val="superscript"/>
          <w:lang w:val="bg-BG" w:eastAsia="en-GB"/>
        </w:rPr>
        <w:footnoteReference w:id="8"/>
      </w:r>
      <w:r>
        <w:rPr>
          <w:rFonts w:ascii="Times New Roman" w:eastAsia="Calibri" w:hAnsi="Times New Roman" w:cs="Calibri"/>
          <w:noProof/>
          <w:color w:val="000000"/>
          <w:sz w:val="24"/>
          <w:szCs w:val="24"/>
          <w:lang w:val="bg-BG" w:eastAsia="en-GB"/>
        </w:rPr>
        <w:t>, енергетиката и климата</w:t>
      </w:r>
      <w:r>
        <w:rPr>
          <w:rFonts w:ascii="Times New Roman" w:eastAsia="Calibri" w:hAnsi="Times New Roman" w:cs="Times New Roman"/>
          <w:noProof/>
          <w:color w:val="000000"/>
          <w:sz w:val="24"/>
          <w:szCs w:val="24"/>
          <w:vertAlign w:val="superscript"/>
          <w:lang w:val="bg-BG" w:eastAsia="en-GB"/>
        </w:rPr>
        <w:footnoteReference w:id="9"/>
      </w:r>
      <w:r>
        <w:rPr>
          <w:rFonts w:ascii="Times New Roman" w:eastAsia="Calibri" w:hAnsi="Times New Roman" w:cs="Calibri"/>
          <w:noProof/>
          <w:color w:val="000000"/>
          <w:sz w:val="24"/>
          <w:szCs w:val="24"/>
          <w:lang w:val="bg-BG" w:eastAsia="en-GB"/>
        </w:rPr>
        <w:t xml:space="preserve">. </w:t>
      </w:r>
    </w:p>
    <w:p>
      <w:pPr>
        <w:autoSpaceDE w:val="0"/>
        <w:autoSpaceDN w:val="0"/>
        <w:adjustRightInd w:val="0"/>
        <w:spacing w:after="240" w:line="240" w:lineRule="auto"/>
        <w:jc w:val="both"/>
        <w:rPr>
          <w:rFonts w:ascii="Times New Roman" w:eastAsia="Calibri"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 xml:space="preserve">Важно е да се отбележи, че от почти три десетилетия по-голямата част от решенията в областта на социалната политика се вземат по реда на обикновената законодателна процедура, при която Съветът (като взема решение с квалифицирано мнозинство) и Европейският парламент действат като равноправни съзаконодатели (вж. точката по-долу). Поради това определянето на политиката на ЕС в областта на социалните въпроси е много различно от други области, по-специално данъчното облагане и общата външна политика и политика на сигурност, в които нормата все още е гласуването с единодушие. </w:t>
      </w:r>
    </w:p>
    <w:p>
      <w:pPr>
        <w:autoSpaceDE w:val="0"/>
        <w:autoSpaceDN w:val="0"/>
        <w:adjustRightInd w:val="0"/>
        <w:spacing w:after="240" w:line="240" w:lineRule="auto"/>
        <w:jc w:val="both"/>
        <w:rPr>
          <w:rFonts w:ascii="Times New Roman" w:eastAsia="Calibri" w:hAnsi="Times New Roman" w:cs="Times New Roman"/>
          <w:noProof/>
          <w:color w:val="000000"/>
          <w:sz w:val="24"/>
          <w:szCs w:val="24"/>
          <w:vertAlign w:val="superscript"/>
          <w:lang w:val="bg-BG" w:eastAsia="en-GB"/>
        </w:rPr>
      </w:pPr>
      <w:r>
        <w:rPr>
          <w:rFonts w:ascii="Times New Roman" w:eastAsia="Calibri" w:hAnsi="Times New Roman" w:cs="Calibri"/>
          <w:noProof/>
          <w:color w:val="000000"/>
          <w:sz w:val="24"/>
          <w:szCs w:val="24"/>
          <w:lang w:val="bg-BG" w:eastAsia="en-GB"/>
        </w:rPr>
        <w:t>Друга специфика е, че Комисията трябва да се консултира със социалните партньори преди да внесе предложения в областта на социалната политика</w:t>
      </w:r>
      <w:r>
        <w:rPr>
          <w:rFonts w:ascii="Times New Roman" w:eastAsia="Calibri" w:hAnsi="Times New Roman" w:cs="Times New Roman"/>
          <w:noProof/>
          <w:color w:val="000000"/>
          <w:sz w:val="24"/>
          <w:szCs w:val="24"/>
          <w:vertAlign w:val="superscript"/>
          <w:lang w:val="bg-BG" w:eastAsia="en-GB"/>
        </w:rPr>
        <w:footnoteReference w:id="10"/>
      </w:r>
      <w:r>
        <w:rPr>
          <w:rFonts w:ascii="Times New Roman" w:eastAsia="Calibri" w:hAnsi="Times New Roman" w:cs="Calibri"/>
          <w:noProof/>
          <w:color w:val="000000"/>
          <w:sz w:val="24"/>
          <w:szCs w:val="24"/>
          <w:lang w:val="bg-BG" w:eastAsia="en-GB"/>
        </w:rPr>
        <w:t>.</w:t>
      </w:r>
      <w:r>
        <w:rPr>
          <w:rFonts w:ascii="Times New Roman" w:eastAsia="Calibri" w:hAnsi="Times New Roman" w:cs="Calibri"/>
          <w:noProof/>
          <w:color w:val="000000"/>
          <w:sz w:val="24"/>
          <w:szCs w:val="24"/>
          <w:vertAlign w:val="superscript"/>
          <w:lang w:val="bg-BG" w:eastAsia="en-GB"/>
        </w:rPr>
        <w:t xml:space="preserve"> </w:t>
      </w:r>
      <w:r>
        <w:rPr>
          <w:rFonts w:ascii="Times New Roman" w:eastAsia="Calibri" w:hAnsi="Times New Roman" w:cs="Calibri"/>
          <w:noProof/>
          <w:color w:val="000000"/>
          <w:sz w:val="24"/>
          <w:szCs w:val="24"/>
          <w:lang w:val="bg-BG" w:eastAsia="en-GB"/>
        </w:rPr>
        <w:t>Освен това социалните партньори могат да договарят споразумения, които могат да бъдат изпълнявани или автономно съгласно националните практики, или по тяхно искане — на равнището на ЕС, посредством приемане на решение от Съвета.</w:t>
      </w:r>
      <w:r>
        <w:rPr>
          <w:rFonts w:ascii="Times New Roman" w:eastAsia="Calibri" w:hAnsi="Times New Roman" w:cs="Times New Roman"/>
          <w:noProof/>
          <w:color w:val="000000"/>
          <w:sz w:val="24"/>
          <w:szCs w:val="24"/>
          <w:vertAlign w:val="superscript"/>
          <w:lang w:val="bg-BG" w:eastAsia="en-GB"/>
        </w:rPr>
        <w:footnoteReference w:id="11"/>
      </w:r>
      <w:r>
        <w:rPr>
          <w:rFonts w:ascii="Times New Roman" w:eastAsia="Calibri" w:hAnsi="Times New Roman" w:cs="Calibri"/>
          <w:noProof/>
          <w:color w:val="000000"/>
          <w:sz w:val="24"/>
          <w:szCs w:val="24"/>
          <w:vertAlign w:val="superscript"/>
          <w:lang w:val="bg-BG" w:eastAsia="en-GB"/>
        </w:rPr>
        <w:t xml:space="preserve"> </w:t>
      </w:r>
    </w:p>
    <w:p>
      <w:pPr>
        <w:autoSpaceDE w:val="0"/>
        <w:autoSpaceDN w:val="0"/>
        <w:adjustRightInd w:val="0"/>
        <w:spacing w:after="240" w:line="240" w:lineRule="auto"/>
        <w:jc w:val="both"/>
        <w:rPr>
          <w:rFonts w:ascii="Times New Roman" w:eastAsia="Calibri" w:hAnsi="Times New Roman" w:cs="Times New Roman"/>
          <w:noProof/>
          <w:color w:val="000000"/>
          <w:sz w:val="24"/>
          <w:szCs w:val="24"/>
          <w:lang w:val="bg-BG" w:eastAsia="en-GB"/>
        </w:rPr>
      </w:pPr>
    </w:p>
    <w:p>
      <w:pPr>
        <w:keepNext/>
        <w:numPr>
          <w:ilvl w:val="0"/>
          <w:numId w:val="100"/>
        </w:numPr>
        <w:suppressAutoHyphens/>
        <w:spacing w:after="240" w:line="240" w:lineRule="auto"/>
        <w:ind w:left="357" w:hanging="357"/>
        <w:jc w:val="both"/>
        <w:rPr>
          <w:rFonts w:ascii="Times New Roman" w:eastAsia="SimSun" w:hAnsi="Times New Roman" w:cs="Times New Roman"/>
          <w:b/>
          <w:noProof/>
          <w:sz w:val="24"/>
          <w:szCs w:val="24"/>
          <w:lang w:val="bg-BG" w:eastAsia="ar-SA"/>
        </w:rPr>
      </w:pPr>
      <w:r>
        <w:rPr>
          <w:rFonts w:ascii="Times New Roman" w:eastAsia="SimSun" w:hAnsi="Times New Roman" w:cs="font413"/>
          <w:b/>
          <w:noProof/>
          <w:sz w:val="24"/>
          <w:szCs w:val="24"/>
          <w:lang w:val="bg-BG" w:eastAsia="ar-SA"/>
        </w:rPr>
        <w:t>Настояща рамка на ЕС за вземане на решения в областта на социалната политика</w:t>
      </w:r>
    </w:p>
    <w:p>
      <w:pPr>
        <w:shd w:val="clear" w:color="auto" w:fill="FFFFFF"/>
        <w:spacing w:before="60" w:after="6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Достиженията на правото на ЕС в областта на социалната политика се състоят от 125 правни акта, обхващащи следните области: равенство между жените и мъжете, трудова мобилност, права на командированите работници, закрила на здравето и безопасността на работниците, условия на труд и информиране и консултиране на работниците. По време на мандата на Комисията „Юнкер“ бяха внесени 27 предложения за правни актове в областта на социалната политика и досега по 24 от тях е постигнато съгласие (вж. приложение 2).</w:t>
      </w:r>
    </w:p>
    <w:p>
      <w:pPr>
        <w:keepLines/>
        <w:shd w:val="clear" w:color="auto" w:fill="FFFFFF"/>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Много от достиженията на правото на ЕС в областта на социалната политика са приети чрез гласуване с квалифицирано мнозинство по обикновената законодателна процедура. Освен това споразуменията на социалните партньори, изпълнявани на равнище ЕС, са изиграли значителна роля в развитието на достиженията на правото на ЕС в социалната сфера. В някои области законодателството е било прието чрез гласуване с единодушие, например първите правни актове, свързани с координацията на системите за социална сигурност</w:t>
      </w:r>
      <w:r>
        <w:rPr>
          <w:rFonts w:ascii="Times New Roman" w:eastAsia="Times New Roman" w:hAnsi="Times New Roman" w:cs="Times New Roman"/>
          <w:noProof/>
          <w:sz w:val="24"/>
          <w:szCs w:val="24"/>
          <w:vertAlign w:val="superscript"/>
          <w:lang w:val="bg-BG"/>
        </w:rPr>
        <w:footnoteReference w:id="12"/>
      </w:r>
      <w:r>
        <w:rPr>
          <w:rFonts w:ascii="Times New Roman" w:eastAsia="Calibri" w:hAnsi="Times New Roman" w:cs="Times New Roman"/>
          <w:noProof/>
          <w:sz w:val="24"/>
          <w:szCs w:val="24"/>
          <w:lang w:val="bg-BG"/>
        </w:rPr>
        <w:t xml:space="preserve"> и с борбата с дискриминацията, основана на пол, расов или етнически произход, религия или убеждения, увреждане, възраст или сексуална ориентация.</w:t>
      </w:r>
    </w:p>
    <w:p>
      <w:pPr>
        <w:spacing w:after="12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В ограничен брой области на социалната политика обаче все още се прилага гласуване с единодушие в Съвета по реда на специалната законодателна процедура, при която Европейският парламент няма ролята на съзаконодател. Това са:</w:t>
      </w:r>
    </w:p>
    <w:p>
      <w:pPr>
        <w:numPr>
          <w:ilvl w:val="0"/>
          <w:numId w:val="83"/>
        </w:numPr>
        <w:suppressAutoHyphens/>
        <w:spacing w:before="120" w:after="120" w:line="240" w:lineRule="auto"/>
        <w:ind w:left="714" w:hanging="357"/>
        <w:jc w:val="both"/>
        <w:rPr>
          <w:rFonts w:ascii="Times New Roman" w:eastAsia="Times New Roman" w:hAnsi="Times New Roman" w:cs="Times New Roman"/>
          <w:noProof/>
          <w:sz w:val="24"/>
          <w:szCs w:val="24"/>
          <w:lang w:val="bg-BG" w:eastAsia="ar-SA"/>
        </w:rPr>
      </w:pPr>
      <w:r>
        <w:rPr>
          <w:rFonts w:ascii="Times New Roman" w:eastAsia="SimSun" w:hAnsi="Times New Roman" w:cs="font413"/>
          <w:noProof/>
          <w:sz w:val="24"/>
          <w:szCs w:val="24"/>
          <w:lang w:val="bg-BG" w:eastAsia="ar-SA"/>
        </w:rPr>
        <w:t>недискриминация (член 19, параграф 1 от ДФЕС),</w:t>
      </w:r>
    </w:p>
    <w:p>
      <w:pPr>
        <w:numPr>
          <w:ilvl w:val="0"/>
          <w:numId w:val="83"/>
        </w:numPr>
        <w:suppressAutoHyphens/>
        <w:spacing w:before="120" w:after="120" w:line="240" w:lineRule="auto"/>
        <w:ind w:left="714" w:hanging="357"/>
        <w:jc w:val="both"/>
        <w:rPr>
          <w:rFonts w:ascii="Times New Roman" w:eastAsia="Times New Roman" w:hAnsi="Times New Roman" w:cs="Times New Roman"/>
          <w:noProof/>
          <w:sz w:val="24"/>
          <w:szCs w:val="24"/>
          <w:lang w:val="bg-BG" w:eastAsia="ar-SA"/>
        </w:rPr>
      </w:pPr>
      <w:r>
        <w:rPr>
          <w:rFonts w:ascii="Times New Roman" w:eastAsia="SimSun" w:hAnsi="Times New Roman" w:cs="font413"/>
          <w:noProof/>
          <w:sz w:val="24"/>
          <w:szCs w:val="24"/>
          <w:lang w:val="bg-BG" w:eastAsia="ar-SA"/>
        </w:rPr>
        <w:t>социалната сигурност и социалната закрила на работниците (извън трансгранични ситуации) (член 153, параграф 1, буква в) от ДФЕС),</w:t>
      </w:r>
    </w:p>
    <w:p>
      <w:pPr>
        <w:numPr>
          <w:ilvl w:val="0"/>
          <w:numId w:val="83"/>
        </w:numPr>
        <w:suppressAutoHyphens/>
        <w:spacing w:before="120" w:after="120" w:line="240" w:lineRule="auto"/>
        <w:ind w:left="714" w:hanging="357"/>
        <w:jc w:val="both"/>
        <w:rPr>
          <w:rFonts w:ascii="Times New Roman" w:eastAsia="Times New Roman" w:hAnsi="Times New Roman" w:cs="Times New Roman"/>
          <w:noProof/>
          <w:sz w:val="24"/>
          <w:szCs w:val="24"/>
          <w:lang w:val="bg-BG" w:eastAsia="ar-SA"/>
        </w:rPr>
      </w:pPr>
      <w:r>
        <w:rPr>
          <w:rFonts w:ascii="Times New Roman" w:eastAsia="SimSun" w:hAnsi="Times New Roman" w:cs="font413"/>
          <w:noProof/>
          <w:sz w:val="24"/>
          <w:szCs w:val="24"/>
          <w:lang w:val="bg-BG" w:eastAsia="ar-SA"/>
        </w:rPr>
        <w:t>закрилата на работниците при прекратяване на трудовия им договор (член 153, параграф 1, буква г) от ДФЕС),</w:t>
      </w:r>
    </w:p>
    <w:p>
      <w:pPr>
        <w:numPr>
          <w:ilvl w:val="0"/>
          <w:numId w:val="83"/>
        </w:numPr>
        <w:suppressAutoHyphens/>
        <w:spacing w:before="120" w:after="120" w:line="240" w:lineRule="auto"/>
        <w:ind w:left="714" w:hanging="357"/>
        <w:jc w:val="both"/>
        <w:rPr>
          <w:rFonts w:ascii="Times New Roman" w:eastAsia="SimSun" w:hAnsi="Times New Roman" w:cs="Times New Roman"/>
          <w:noProof/>
          <w:sz w:val="24"/>
          <w:szCs w:val="24"/>
          <w:lang w:val="bg-BG" w:eastAsia="ar-SA"/>
        </w:rPr>
      </w:pPr>
      <w:r>
        <w:rPr>
          <w:rFonts w:ascii="Times New Roman" w:eastAsia="SimSun" w:hAnsi="Times New Roman" w:cs="font413"/>
          <w:noProof/>
          <w:sz w:val="24"/>
          <w:szCs w:val="24"/>
          <w:lang w:val="bg-BG" w:eastAsia="ar-SA"/>
        </w:rPr>
        <w:t>представителството и колективната защита на интересите на работниците и работодателите (член 153, параграф 1, буква е) от ДФЕС), както и</w:t>
      </w:r>
    </w:p>
    <w:p>
      <w:pPr>
        <w:numPr>
          <w:ilvl w:val="0"/>
          <w:numId w:val="83"/>
        </w:numPr>
        <w:suppressAutoHyphens/>
        <w:spacing w:before="120" w:after="120" w:line="240" w:lineRule="auto"/>
        <w:ind w:left="714" w:hanging="357"/>
        <w:jc w:val="both"/>
        <w:rPr>
          <w:rFonts w:ascii="Times New Roman" w:eastAsia="SimSun" w:hAnsi="Times New Roman" w:cs="Times New Roman"/>
          <w:noProof/>
          <w:sz w:val="24"/>
          <w:szCs w:val="24"/>
          <w:lang w:val="bg-BG" w:eastAsia="ar-SA"/>
        </w:rPr>
      </w:pPr>
      <w:r>
        <w:rPr>
          <w:rFonts w:ascii="Times New Roman" w:eastAsia="SimSun" w:hAnsi="Times New Roman" w:cs="font413"/>
          <w:noProof/>
          <w:sz w:val="24"/>
          <w:szCs w:val="24"/>
          <w:lang w:val="bg-BG" w:eastAsia="ar-SA"/>
        </w:rPr>
        <w:t>условията за заетост на граждани на трети страни, законно пребиваващи в ЕС (член 153, параграф 1, буква ж) от ДФЕС).</w:t>
      </w:r>
    </w:p>
    <w:p>
      <w:pPr>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br/>
        <w:t>Освен факта, че някои аспекти на тези области на политиката могат да окажат въздействие върху финансовото равновесие на националните системи за социална сигурност, няма особена логика защо, след поредицата от изменения на Договора, по отношение на тези няколко области все още се прилага гласуване с единодушие по специалната законодателна процедура, особено в сравнение с области, които вече попадат в обхвата на гласуването с квалифицирано мнозинство.</w:t>
      </w:r>
    </w:p>
    <w:p>
      <w:pPr>
        <w:rPr>
          <w:rFonts w:ascii="Times New Roman" w:eastAsia="Times New Roman" w:hAnsi="Times New Roman" w:cs="Times New Roman"/>
          <w:noProof/>
          <w:sz w:val="24"/>
          <w:szCs w:val="24"/>
          <w:highlight w:val="yellow"/>
          <w:lang w:val="bg-BG"/>
        </w:rPr>
      </w:pPr>
      <w:r>
        <w:rPr>
          <w:rFonts w:ascii="Calibri" w:eastAsia="Calibri" w:hAnsi="Calibri" w:cs="Times New Roman"/>
          <w:noProof/>
          <w:lang w:val="bg-BG"/>
        </w:rPr>
        <w:br w:type="page"/>
      </w:r>
    </w:p>
    <w:p>
      <w:pPr>
        <w:widowControl w:val="0"/>
        <w:autoSpaceDE w:val="0"/>
        <w:autoSpaceDN w:val="0"/>
        <w:adjustRightInd w:val="0"/>
        <w:spacing w:before="4" w:after="0" w:line="240" w:lineRule="auto"/>
        <w:ind w:left="40"/>
        <w:jc w:val="both"/>
        <w:rPr>
          <w:rFonts w:ascii="Times New Roman" w:eastAsia="Yu Mincho" w:hAnsi="EC Square Sans Pro Medium" w:cs="EC Square Sans Pro Medium"/>
          <w:noProof/>
          <w:sz w:val="20"/>
          <w:lang w:val="bg-BG" w:eastAsia="en-GB"/>
        </w:rPr>
      </w:pPr>
      <w:r>
        <w:rPr>
          <w:rFonts w:ascii="Times New Roman" w:eastAsia="Yu Mincho" w:hAnsi="Times New Roman" w:cs="EC Square Sans Pro Medium"/>
          <w:b/>
          <w:noProof/>
          <w:sz w:val="24"/>
          <w:szCs w:val="24"/>
          <w:lang w:val="bg-BG" w:eastAsia="en-GB"/>
        </w:rPr>
        <w:t>Графика 1: Достижения на правото на ЕС в областта на социалната политика — гласуване с единодушие и гласуване с квалифицирано мнозинство, илюстрирани с примери за съществуващи правни актове</w:t>
      </w:r>
    </w:p>
    <w:p>
      <w:pPr>
        <w:spacing w:after="0" w:line="240" w:lineRule="auto"/>
        <w:jc w:val="both"/>
        <w:rPr>
          <w:rFonts w:ascii="Times New Roman" w:eastAsia="Times New Roman" w:hAnsi="Times New Roman" w:cs="Times New Roman"/>
          <w:noProof/>
          <w:sz w:val="24"/>
          <w:szCs w:val="24"/>
          <w:lang w:val="bg-BG" w:eastAsia="en-GB"/>
        </w:rPr>
      </w:pPr>
    </w:p>
    <w:p>
      <w:pPr>
        <w:spacing w:after="0" w:line="240" w:lineRule="auto"/>
        <w:jc w:val="both"/>
        <w:rPr>
          <w:rFonts w:ascii="Times New Roman" w:eastAsia="Times New Roman" w:hAnsi="Times New Roman" w:cs="Times New Roman"/>
          <w:noProof/>
          <w:sz w:val="24"/>
          <w:szCs w:val="24"/>
          <w:lang w:val="bg-BG" w:eastAsia="en-GB"/>
        </w:rPr>
      </w:pPr>
    </w:p>
    <w:p>
      <w:pPr>
        <w:spacing w:after="0" w:line="240" w:lineRule="auto"/>
        <w:jc w:val="both"/>
        <w:rPr>
          <w:rFonts w:ascii="Times New Roman" w:eastAsia="Times New Roman" w:hAnsi="Times New Roman" w:cs="Times New Roman"/>
          <w:noProof/>
          <w:sz w:val="24"/>
          <w:szCs w:val="24"/>
          <w:lang w:val="bg-BG" w:eastAsia="en-GB"/>
        </w:rPr>
      </w:pPr>
    </w:p>
    <w:p>
      <w:pPr>
        <w:spacing w:after="0" w:line="240" w:lineRule="auto"/>
        <w:jc w:val="both"/>
        <w:rPr>
          <w:rFonts w:ascii="Times New Roman" w:eastAsia="Times New Roman" w:hAnsi="Times New Roman" w:cs="Times New Roman"/>
          <w:b/>
          <w:noProof/>
          <w:sz w:val="24"/>
          <w:szCs w:val="24"/>
          <w:lang w:val="bg-BG"/>
        </w:rPr>
      </w:pPr>
      <w:r>
        <w:rPr>
          <w:noProof/>
          <w:lang w:eastAsia="en-GB"/>
        </w:rPr>
        <w:drawing>
          <wp:inline distT="0" distB="0" distL="0" distR="0">
            <wp:extent cx="5760720" cy="63792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6379296"/>
                    </a:xfrm>
                    <a:prstGeom prst="rect">
                      <a:avLst/>
                    </a:prstGeom>
                  </pic:spPr>
                </pic:pic>
              </a:graphicData>
            </a:graphic>
          </wp:inline>
        </w:drawing>
      </w:r>
    </w:p>
    <w:p>
      <w:pPr>
        <w:spacing w:after="0" w:line="240" w:lineRule="auto"/>
        <w:jc w:val="both"/>
        <w:rPr>
          <w:rFonts w:ascii="Times New Roman" w:eastAsia="Times New Roman" w:hAnsi="Times New Roman" w:cs="Times New Roman"/>
          <w:noProof/>
          <w:sz w:val="24"/>
          <w:szCs w:val="24"/>
          <w:lang w:val="bg-BG" w:eastAsia="en-GB"/>
        </w:rPr>
      </w:pPr>
    </w:p>
    <w:p>
      <w:pPr>
        <w:spacing w:after="0" w:line="240" w:lineRule="auto"/>
        <w:jc w:val="both"/>
        <w:rPr>
          <w:rFonts w:ascii="Times New Roman" w:eastAsia="Times New Roman" w:hAnsi="Times New Roman" w:cs="Times New Roman"/>
          <w:noProof/>
          <w:sz w:val="24"/>
          <w:szCs w:val="24"/>
          <w:lang w:val="bg-BG" w:eastAsia="en-GB"/>
        </w:rPr>
      </w:pPr>
    </w:p>
    <w:p>
      <w:pPr>
        <w:spacing w:after="0" w:line="240" w:lineRule="auto"/>
        <w:jc w:val="both"/>
        <w:rPr>
          <w:rFonts w:ascii="Times New Roman" w:eastAsia="Times New Roman" w:hAnsi="Times New Roman" w:cs="Times New Roman"/>
          <w:noProof/>
          <w:sz w:val="24"/>
          <w:szCs w:val="24"/>
          <w:lang w:val="bg-BG" w:eastAsia="en-GB"/>
        </w:rPr>
      </w:pPr>
    </w:p>
    <w:p>
      <w:pPr>
        <w:rPr>
          <w:rFonts w:ascii="Times New Roman" w:eastAsia="Times New Roman" w:hAnsi="Times New Roman" w:cs="Times New Roman"/>
          <w:b/>
          <w:noProof/>
          <w:sz w:val="24"/>
          <w:szCs w:val="24"/>
          <w:lang w:val="bg-BG"/>
        </w:rPr>
      </w:pPr>
      <w:r>
        <w:rPr>
          <w:rFonts w:ascii="Calibri" w:eastAsia="Calibri" w:hAnsi="Calibri" w:cs="Times New Roman"/>
          <w:noProof/>
          <w:lang w:val="bg-BG"/>
        </w:rPr>
        <w:br w:type="page"/>
      </w:r>
    </w:p>
    <w:p>
      <w:pPr>
        <w:keepNext/>
        <w:numPr>
          <w:ilvl w:val="0"/>
          <w:numId w:val="100"/>
        </w:numPr>
        <w:suppressAutoHyphens/>
        <w:spacing w:before="480" w:after="240" w:line="240" w:lineRule="auto"/>
        <w:jc w:val="both"/>
        <w:rPr>
          <w:rFonts w:ascii="Times New Roman" w:eastAsia="Times New Roman" w:hAnsi="Times New Roman" w:cs="Times New Roman"/>
          <w:b/>
          <w:noProof/>
          <w:sz w:val="24"/>
          <w:szCs w:val="24"/>
          <w:lang w:val="bg-BG" w:eastAsia="ar-SA"/>
        </w:rPr>
      </w:pPr>
      <w:r>
        <w:rPr>
          <w:rFonts w:ascii="Times New Roman" w:eastAsia="SimSun" w:hAnsi="Times New Roman" w:cs="font413"/>
          <w:b/>
          <w:noProof/>
          <w:sz w:val="24"/>
          <w:szCs w:val="24"/>
          <w:lang w:val="bg-BG" w:eastAsia="ar-SA"/>
        </w:rPr>
        <w:t>Подкрепа за развитието на социалната политика на ЕС</w:t>
      </w:r>
    </w:p>
    <w:p>
      <w:pPr>
        <w:keepNext/>
        <w:numPr>
          <w:ilvl w:val="1"/>
          <w:numId w:val="79"/>
        </w:numPr>
        <w:suppressAutoHyphens/>
        <w:spacing w:after="240" w:line="240" w:lineRule="auto"/>
        <w:ind w:left="397" w:hanging="397"/>
        <w:jc w:val="both"/>
        <w:rPr>
          <w:rFonts w:ascii="Times New Roman" w:eastAsia="Times New Roman" w:hAnsi="Times New Roman" w:cs="Times New Roman"/>
          <w:b/>
          <w:i/>
          <w:noProof/>
          <w:sz w:val="24"/>
          <w:szCs w:val="24"/>
          <w:lang w:val="bg-BG" w:eastAsia="ar-SA"/>
        </w:rPr>
      </w:pPr>
      <w:r>
        <w:rPr>
          <w:rFonts w:ascii="Times New Roman" w:eastAsia="SimSun" w:hAnsi="Times New Roman" w:cs="font413"/>
          <w:b/>
          <w:i/>
          <w:noProof/>
          <w:sz w:val="24"/>
          <w:szCs w:val="24"/>
          <w:lang w:val="bg-BG" w:eastAsia="ar-SA"/>
        </w:rPr>
        <w:t>Попълване на празнотите в уредбата на защитата</w:t>
      </w:r>
    </w:p>
    <w:p>
      <w:pPr>
        <w:spacing w:after="12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Вземането на решения въз основа на единодушие, от една страна, и фактът, че е налице гласуване с квалифицирано мнозинство и единодушие в една и съща област на политиката, от друга страна, са довели до неравномерно развитие на достиженията на правото на ЕС в областта на социалната политика. Въпреки че като цяло стандартите на защита са високи, съществуват празноти в уредбата, в резултат на които някои групи не са защитени в еднаква степен. Например:</w:t>
      </w:r>
    </w:p>
    <w:p>
      <w:pPr>
        <w:numPr>
          <w:ilvl w:val="0"/>
          <w:numId w:val="81"/>
        </w:numPr>
        <w:suppressAutoHyphens/>
        <w:spacing w:after="120" w:line="240" w:lineRule="auto"/>
        <w:jc w:val="both"/>
        <w:rPr>
          <w:rFonts w:ascii="Times New Roman" w:eastAsia="SimSun" w:hAnsi="Times New Roman" w:cs="Times New Roman"/>
          <w:noProof/>
          <w:sz w:val="24"/>
          <w:szCs w:val="24"/>
          <w:lang w:val="bg-BG" w:eastAsia="ar-SA"/>
        </w:rPr>
      </w:pPr>
      <w:r>
        <w:rPr>
          <w:rFonts w:ascii="Times New Roman" w:eastAsia="SimSun" w:hAnsi="Times New Roman" w:cs="font413"/>
          <w:noProof/>
          <w:sz w:val="24"/>
          <w:szCs w:val="24"/>
          <w:lang w:val="bg-BG" w:eastAsia="ar-SA"/>
        </w:rPr>
        <w:t xml:space="preserve">Съществуват всеобхватни правни разпоредби на ЕС относно равните възможности и равното третиране на мъжете и жените, както и относно равното третиране въз основа на расов или етнически произход, но равното третиране въз основа на религиозна принадлежност или убеждения, увреждане, възраст и сексуална ориентация не е гарантирано в същата степен; това е пример за област, за която се прилага единодушието и в която правилата не са развити равномерно. </w:t>
      </w:r>
    </w:p>
    <w:p>
      <w:pPr>
        <w:numPr>
          <w:ilvl w:val="0"/>
          <w:numId w:val="81"/>
        </w:numPr>
        <w:suppressAutoHyphens/>
        <w:spacing w:after="120" w:line="240" w:lineRule="auto"/>
        <w:jc w:val="both"/>
        <w:rPr>
          <w:rFonts w:ascii="Times New Roman" w:eastAsia="Times New Roman" w:hAnsi="Times New Roman" w:cs="Times New Roman"/>
          <w:noProof/>
          <w:sz w:val="24"/>
          <w:szCs w:val="24"/>
          <w:lang w:val="bg-BG" w:eastAsia="ar-SA"/>
        </w:rPr>
      </w:pPr>
      <w:r>
        <w:rPr>
          <w:rFonts w:ascii="Times New Roman" w:eastAsia="SimSun" w:hAnsi="Times New Roman" w:cs="font413"/>
          <w:noProof/>
          <w:sz w:val="24"/>
          <w:szCs w:val="24"/>
          <w:lang w:val="bg-BG" w:eastAsia="ar-SA"/>
        </w:rPr>
        <w:t>На законно пребиваващите граждани на трети държави е гарантирано равно третиране с гражданите на ЕС по отношение на достъпа до пазара на труда и условията на труд (както и по отношение на достъпа до образование и професионално обучение, признаването на дипломи и други професионални квалификации, социалното осигуряване, достъпа до стоки и услуги), но не съществуват обвързващи минимални изисквания на ЕС, предназначени изрично да осигурят ефективната им интеграция на пазара на труда; това е пример за две процедури в Договора, по отношение на които се прилагат различни правила за гласуване и които се отнасят до сходни области, а именно законната имиграция и условията на труд на законно пребиваващите имигранти.</w:t>
      </w:r>
    </w:p>
    <w:p>
      <w:pPr>
        <w:numPr>
          <w:ilvl w:val="0"/>
          <w:numId w:val="81"/>
        </w:numPr>
        <w:suppressAutoHyphens/>
        <w:spacing w:after="120" w:line="240" w:lineRule="auto"/>
        <w:jc w:val="both"/>
        <w:rPr>
          <w:rFonts w:ascii="Times New Roman" w:eastAsia="Times New Roman" w:hAnsi="Times New Roman" w:cs="Times New Roman"/>
          <w:noProof/>
          <w:sz w:val="24"/>
          <w:szCs w:val="24"/>
          <w:lang w:val="bg-BG" w:eastAsia="ar-SA"/>
        </w:rPr>
      </w:pPr>
      <w:r>
        <w:rPr>
          <w:rFonts w:ascii="Times New Roman" w:eastAsia="SimSun" w:hAnsi="Times New Roman" w:cs="font413"/>
          <w:noProof/>
          <w:sz w:val="24"/>
          <w:szCs w:val="24"/>
          <w:lang w:val="bg-BG" w:eastAsia="ar-SA"/>
        </w:rPr>
        <w:t>Работниците трябва да бъдат информирани и консултирани преди вземането на решение от ръководството, по-специално когато се предвижда преструктуриране, колективно уволнение или прехвърляне на предприятия, и в случай на дружества с измерение на равнището на ЕС (чрез европейски работнически съвети), но (с изключение на правилата за участие на работниците и служителите в европейските форми на дружества)</w:t>
      </w:r>
      <w:r>
        <w:rPr>
          <w:rFonts w:ascii="Times New Roman" w:eastAsia="Times New Roman" w:hAnsi="Times New Roman" w:cs="Times New Roman"/>
          <w:noProof/>
          <w:sz w:val="24"/>
          <w:szCs w:val="24"/>
          <w:vertAlign w:val="superscript"/>
          <w:lang w:val="bg-BG" w:eastAsia="ar-SA"/>
        </w:rPr>
        <w:footnoteReference w:id="13"/>
      </w:r>
      <w:r>
        <w:rPr>
          <w:rFonts w:ascii="Times New Roman" w:eastAsia="SimSun" w:hAnsi="Times New Roman" w:cs="font413"/>
          <w:noProof/>
          <w:sz w:val="24"/>
          <w:szCs w:val="24"/>
          <w:lang w:val="bg-BG" w:eastAsia="ar-SA"/>
        </w:rPr>
        <w:t xml:space="preserve"> не съществуват общи минимални изисквания за представителството и колективната защита на интересите на работниците и работодателите. Също така са налице само ограничени разпоредби относно специалната защита на отделните работници в случай на прекратяване на трудовото правоотношение.</w:t>
      </w:r>
    </w:p>
    <w:p>
      <w:pPr>
        <w:suppressAutoHyphens/>
        <w:spacing w:after="240" w:line="240" w:lineRule="auto"/>
        <w:ind w:left="720"/>
        <w:jc w:val="both"/>
        <w:rPr>
          <w:rFonts w:ascii="Times New Roman" w:eastAsia="Times New Roman" w:hAnsi="Times New Roman" w:cs="Times New Roman"/>
          <w:noProof/>
          <w:sz w:val="24"/>
          <w:szCs w:val="24"/>
          <w:lang w:val="bg-BG" w:eastAsia="ar-SA"/>
        </w:rPr>
      </w:pPr>
    </w:p>
    <w:p>
      <w:pPr>
        <w:keepNext/>
        <w:numPr>
          <w:ilvl w:val="1"/>
          <w:numId w:val="79"/>
        </w:numPr>
        <w:suppressAutoHyphens/>
        <w:spacing w:after="240" w:line="240" w:lineRule="auto"/>
        <w:ind w:left="397" w:hanging="397"/>
        <w:jc w:val="both"/>
        <w:rPr>
          <w:rFonts w:ascii="Times New Roman" w:eastAsia="Times New Roman" w:hAnsi="Times New Roman" w:cs="Times New Roman"/>
          <w:b/>
          <w:i/>
          <w:noProof/>
          <w:lang w:val="bg-BG" w:eastAsia="ar-SA"/>
        </w:rPr>
      </w:pPr>
      <w:r>
        <w:rPr>
          <w:rFonts w:ascii="Times New Roman" w:eastAsia="SimSun" w:hAnsi="Times New Roman" w:cs="font413"/>
          <w:b/>
          <w:i/>
          <w:noProof/>
          <w:sz w:val="24"/>
          <w:szCs w:val="24"/>
          <w:lang w:val="bg-BG" w:eastAsia="ar-SA"/>
        </w:rPr>
        <w:t>Вървене в крак с променящите се социални предизвикателства</w:t>
      </w:r>
    </w:p>
    <w:p>
      <w:pPr>
        <w:autoSpaceDE w:val="0"/>
        <w:autoSpaceDN w:val="0"/>
        <w:adjustRightInd w:val="0"/>
        <w:spacing w:after="120" w:line="240" w:lineRule="auto"/>
        <w:jc w:val="both"/>
        <w:rPr>
          <w:rFonts w:ascii="Times New Roman" w:eastAsia="Times New Roman"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ЕС и всички негови държави членки са изправени пред общи предизвикателства във връзка с въздействието на новите технологии, повишаването на конкурентния натиск в глобализираната икономика, новите форми на труд и демографските тенденции (включително застаряването). Важно е да се отбележи, че те трябва да се възползват пълноценно от възможностите, предоставени от някои от тези промени (напр. цифровизацията). Запазването на основите на европейския социален модел за бъдещите поколения изисква действия в широк кръг от области, а именно:</w:t>
      </w:r>
    </w:p>
    <w:p>
      <w:pPr>
        <w:numPr>
          <w:ilvl w:val="0"/>
          <w:numId w:val="98"/>
        </w:numPr>
        <w:autoSpaceDE w:val="0"/>
        <w:autoSpaceDN w:val="0"/>
        <w:adjustRightInd w:val="0"/>
        <w:spacing w:after="120" w:line="240" w:lineRule="auto"/>
        <w:jc w:val="both"/>
        <w:rPr>
          <w:rFonts w:ascii="Times New Roman" w:eastAsia="Times New Roman"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гарантиране на устойчивостта и адекватността на пенсионните системи и системите за дългосрочни грижи в условията на застаряване на населението и променящи се модели на личен и семеен живот;</w:t>
      </w:r>
    </w:p>
    <w:p>
      <w:pPr>
        <w:numPr>
          <w:ilvl w:val="0"/>
          <w:numId w:val="98"/>
        </w:numPr>
        <w:autoSpaceDE w:val="0"/>
        <w:autoSpaceDN w:val="0"/>
        <w:adjustRightInd w:val="0"/>
        <w:spacing w:after="120" w:line="240" w:lineRule="auto"/>
        <w:jc w:val="both"/>
        <w:rPr>
          <w:rFonts w:ascii="Times New Roman" w:eastAsia="Times New Roman"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оказване на подкрепа за хората при по-дълги и по-разнообразни кариери и все по-чести промени в професионалния и личния живот;</w:t>
      </w:r>
    </w:p>
    <w:p>
      <w:pPr>
        <w:numPr>
          <w:ilvl w:val="0"/>
          <w:numId w:val="98"/>
        </w:numPr>
        <w:autoSpaceDE w:val="0"/>
        <w:autoSpaceDN w:val="0"/>
        <w:adjustRightInd w:val="0"/>
        <w:spacing w:after="120" w:line="240" w:lineRule="auto"/>
        <w:jc w:val="both"/>
        <w:rPr>
          <w:rFonts w:ascii="Times New Roman" w:eastAsia="Times New Roman"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повишаване на нивото на уменията и предоставяне на възможности за учене през целия живот, за да се гарантира конкурентоспособността на нашите икономики; както и</w:t>
      </w:r>
    </w:p>
    <w:p>
      <w:pPr>
        <w:numPr>
          <w:ilvl w:val="0"/>
          <w:numId w:val="98"/>
        </w:numPr>
        <w:autoSpaceDE w:val="0"/>
        <w:autoSpaceDN w:val="0"/>
        <w:adjustRightInd w:val="0"/>
        <w:spacing w:after="240" w:line="240" w:lineRule="auto"/>
        <w:jc w:val="both"/>
        <w:rPr>
          <w:rFonts w:ascii="Times New Roman" w:eastAsia="Times New Roman"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популяризиране на ползите от многообразните общества като същевременно се гарантира социално приобщаване и равни възможности за всички.</w:t>
      </w:r>
    </w:p>
    <w:p>
      <w:pPr>
        <w:autoSpaceDE w:val="0"/>
        <w:autoSpaceDN w:val="0"/>
        <w:adjustRightInd w:val="0"/>
        <w:spacing w:after="240" w:line="240" w:lineRule="auto"/>
        <w:jc w:val="both"/>
        <w:rPr>
          <w:rFonts w:ascii="Times New Roman" w:eastAsia="Times New Roman"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За да се справи с тези променящи се предизвикателства, ЕС се нуждае от бърз, ефикасен и гъвкав процес на вземане на решения в ЕС, така че законодателството и необвързващите инструменти, като например препоръките, да могат да вървят в крак с икономическите и обществените промени.</w:t>
      </w:r>
    </w:p>
    <w:p>
      <w:pPr>
        <w:keepNext/>
        <w:numPr>
          <w:ilvl w:val="1"/>
          <w:numId w:val="79"/>
        </w:numPr>
        <w:suppressAutoHyphens/>
        <w:spacing w:after="240" w:line="240" w:lineRule="auto"/>
        <w:ind w:left="397" w:hanging="397"/>
        <w:jc w:val="both"/>
        <w:rPr>
          <w:rFonts w:ascii="Times New Roman" w:eastAsia="Times New Roman" w:hAnsi="Times New Roman" w:cs="Times New Roman"/>
          <w:b/>
          <w:i/>
          <w:noProof/>
          <w:sz w:val="24"/>
          <w:szCs w:val="24"/>
          <w:lang w:val="bg-BG" w:eastAsia="ar-SA"/>
        </w:rPr>
      </w:pPr>
      <w:r>
        <w:rPr>
          <w:rFonts w:ascii="Times New Roman" w:eastAsia="SimSun" w:hAnsi="Times New Roman" w:cs="font413"/>
          <w:b/>
          <w:i/>
          <w:noProof/>
          <w:sz w:val="24"/>
          <w:szCs w:val="24"/>
          <w:lang w:val="bg-BG" w:eastAsia="ar-SA"/>
        </w:rPr>
        <w:t>Насърчаване на култура на компромис</w:t>
      </w:r>
    </w:p>
    <w:p>
      <w:pPr>
        <w:autoSpaceDE w:val="0"/>
        <w:autoSpaceDN w:val="0"/>
        <w:adjustRightInd w:val="0"/>
        <w:spacing w:after="240" w:line="240" w:lineRule="auto"/>
        <w:jc w:val="both"/>
        <w:rPr>
          <w:rFonts w:ascii="Times New Roman" w:eastAsia="Times New Roman" w:hAnsi="Times New Roman" w:cs="Times New Roman"/>
          <w:noProof/>
          <w:sz w:val="24"/>
          <w:szCs w:val="24"/>
          <w:lang w:val="bg-BG" w:eastAsia="en-GB"/>
        </w:rPr>
      </w:pPr>
      <w:r>
        <w:rPr>
          <w:rFonts w:ascii="Times New Roman" w:eastAsia="Calibri" w:hAnsi="Times New Roman" w:cs="Calibri"/>
          <w:noProof/>
          <w:sz w:val="24"/>
          <w:szCs w:val="24"/>
          <w:lang w:val="bg-BG" w:eastAsia="en-GB"/>
        </w:rPr>
        <w:t>Гласуването с квалифицирано мнозинство е основано на култура на компромис и дава възможност за обсъждане и прагматични резултати, които отразяват интересите на Съюза като цяло. Гъвкавото, ефикасно и бързо вземане на решения даде възможност на ЕС да се превърне в световен пример и да определя стандартите в области като здравето и безопасността на работното място. Перспективата за гласуване с квалифицирано мнозинство може да бъде мощен катализатор, който ангажира всички участници при търсенето на компромис и резултат, приемливи за всички.</w:t>
      </w:r>
    </w:p>
    <w:tbl>
      <w:tblPr>
        <w:tblStyle w:val="TableGrid2"/>
        <w:tblW w:w="0" w:type="auto"/>
        <w:tblLook w:val="04A0" w:firstRow="1" w:lastRow="0" w:firstColumn="1" w:lastColumn="0" w:noHBand="0" w:noVBand="1"/>
      </w:tblPr>
      <w:tblGrid>
        <w:gridCol w:w="9242"/>
      </w:tblGrid>
      <w:tr>
        <w:tc>
          <w:tcPr>
            <w:tcW w:w="9242" w:type="dxa"/>
          </w:tcPr>
          <w:p>
            <w:pPr>
              <w:autoSpaceDE w:val="0"/>
              <w:autoSpaceDN w:val="0"/>
              <w:adjustRightInd w:val="0"/>
              <w:spacing w:after="120"/>
              <w:jc w:val="both"/>
              <w:rPr>
                <w:rFonts w:ascii="Times New Roman" w:eastAsia="Times New Roman" w:hAnsi="Times New Roman" w:cs="Times New Roman"/>
                <w:i/>
                <w:noProof/>
                <w:sz w:val="24"/>
                <w:szCs w:val="24"/>
                <w:lang w:val="bg-BG"/>
              </w:rPr>
            </w:pPr>
            <w:r>
              <w:rPr>
                <w:rFonts w:ascii="Times New Roman" w:eastAsia="Calibri" w:hAnsi="Times New Roman" w:cs="Times New Roman"/>
                <w:i/>
                <w:noProof/>
                <w:sz w:val="24"/>
                <w:szCs w:val="24"/>
                <w:lang w:val="bg-BG"/>
              </w:rPr>
              <w:t>Гласуването с квалифицирано мнозинство излиза извън рамките на правилото за обикновеното мнозинство, изискващо достигане на над 50 % от подадените гласове. Тъй като гласовете „въздържал се“ не се считат за гласове „за“, за да се получи мнозинството, държавите членки трябва да изразят изрична подкрепа за дадено предложение и да гласуват „за“. За постигането на квалифицирано мнозинство е необходимо да бъдат изпълнени две условия:</w:t>
            </w:r>
          </w:p>
          <w:p>
            <w:pPr>
              <w:tabs>
                <w:tab w:val="left" w:pos="567"/>
              </w:tabs>
              <w:autoSpaceDE w:val="0"/>
              <w:autoSpaceDN w:val="0"/>
              <w:adjustRightInd w:val="0"/>
              <w:spacing w:after="120"/>
              <w:ind w:left="284"/>
              <w:jc w:val="both"/>
              <w:rPr>
                <w:rFonts w:ascii="Times New Roman" w:eastAsia="Times New Roman" w:hAnsi="Times New Roman" w:cs="Times New Roman"/>
                <w:i/>
                <w:noProof/>
                <w:sz w:val="24"/>
                <w:szCs w:val="24"/>
                <w:lang w:val="bg-BG"/>
              </w:rPr>
            </w:pPr>
            <w:r>
              <w:rPr>
                <w:rFonts w:ascii="Times New Roman" w:eastAsia="Calibri" w:hAnsi="Times New Roman" w:cs="Times New Roman"/>
                <w:i/>
                <w:noProof/>
                <w:sz w:val="24"/>
                <w:szCs w:val="24"/>
                <w:lang w:val="bg-BG"/>
              </w:rPr>
              <w:t>•</w:t>
            </w:r>
            <w:r>
              <w:rPr>
                <w:rFonts w:ascii="Times New Roman" w:eastAsia="Calibri" w:hAnsi="Times New Roman" w:cs="Times New Roman"/>
                <w:i/>
                <w:noProof/>
                <w:sz w:val="24"/>
                <w:szCs w:val="24"/>
                <w:lang w:val="bg-BG"/>
              </w:rPr>
              <w:tab/>
              <w:t>55 % от държавите членки да гласуват „за“; както и</w:t>
            </w:r>
          </w:p>
          <w:p>
            <w:pPr>
              <w:tabs>
                <w:tab w:val="left" w:pos="567"/>
              </w:tabs>
              <w:autoSpaceDE w:val="0"/>
              <w:autoSpaceDN w:val="0"/>
              <w:adjustRightInd w:val="0"/>
              <w:spacing w:after="120"/>
              <w:ind w:left="568" w:hanging="284"/>
              <w:jc w:val="both"/>
              <w:rPr>
                <w:rFonts w:ascii="Times New Roman" w:eastAsia="Times New Roman" w:hAnsi="Times New Roman" w:cs="Times New Roman"/>
                <w:i/>
                <w:noProof/>
                <w:sz w:val="24"/>
                <w:szCs w:val="24"/>
                <w:lang w:val="bg-BG"/>
              </w:rPr>
            </w:pPr>
            <w:r>
              <w:rPr>
                <w:rFonts w:ascii="Times New Roman" w:eastAsia="Calibri" w:hAnsi="Times New Roman" w:cs="Times New Roman"/>
                <w:i/>
                <w:noProof/>
                <w:sz w:val="24"/>
                <w:szCs w:val="24"/>
                <w:lang w:val="bg-BG"/>
              </w:rPr>
              <w:t>•</w:t>
            </w:r>
            <w:r>
              <w:rPr>
                <w:rFonts w:ascii="Times New Roman" w:eastAsia="Calibri" w:hAnsi="Times New Roman" w:cs="Times New Roman"/>
                <w:i/>
                <w:noProof/>
                <w:sz w:val="24"/>
                <w:szCs w:val="24"/>
                <w:lang w:val="bg-BG"/>
              </w:rPr>
              <w:tab/>
              <w:t>предложението да е подкрепено от държави членки, представляващи най-малко 65 % от населението на ЕС.</w:t>
            </w:r>
          </w:p>
        </w:tc>
      </w:tr>
    </w:tbl>
    <w:p>
      <w:pPr>
        <w:autoSpaceDE w:val="0"/>
        <w:autoSpaceDN w:val="0"/>
        <w:adjustRightInd w:val="0"/>
        <w:spacing w:after="0" w:line="240" w:lineRule="auto"/>
        <w:jc w:val="both"/>
        <w:rPr>
          <w:rFonts w:ascii="Times New Roman" w:eastAsia="Times New Roman" w:hAnsi="Times New Roman" w:cs="Times New Roman"/>
          <w:noProof/>
          <w:sz w:val="24"/>
          <w:szCs w:val="24"/>
          <w:lang w:val="bg-BG" w:eastAsia="en-GB"/>
        </w:rPr>
      </w:pPr>
    </w:p>
    <w:p>
      <w:pPr>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Гласуването с единодушие не предоставя тези стимули, тъй като основната му характеристика е, че в действителност всяка държава членка има право на вето. Това увеличава риска законодателният процес да бъде сериозно забавен. Например предложената през 2005 г. Директива за защита на допълнителните пенсионни права на мобилните работници беше блокирана в Съвета в продължение на шест години. След влизането в сила на Договора от Лисабон през 2009 г. правилото за гласуване беше променено в полза на квалифицираното мнозинство и впоследствие предложението беше прието през 2014 г.</w:t>
      </w:r>
      <w:r>
        <w:rPr>
          <w:rFonts w:ascii="Times New Roman" w:eastAsia="Calibri" w:hAnsi="Times New Roman" w:cs="Times New Roman"/>
          <w:noProof/>
          <w:sz w:val="24"/>
          <w:vertAlign w:val="superscript"/>
          <w:lang w:val="bg-BG"/>
        </w:rPr>
        <w:footnoteReference w:id="14"/>
      </w:r>
      <w:r>
        <w:rPr>
          <w:rFonts w:ascii="Times New Roman" w:eastAsia="Calibri" w:hAnsi="Times New Roman" w:cs="Times New Roman"/>
          <w:noProof/>
          <w:sz w:val="24"/>
          <w:szCs w:val="24"/>
          <w:lang w:val="bg-BG"/>
        </w:rPr>
        <w:t>, което създаде възможност за по-добра защита на работниците, движещи се в ЕС.</w:t>
      </w:r>
    </w:p>
    <w:p>
      <w:pPr>
        <w:keepNext/>
        <w:numPr>
          <w:ilvl w:val="1"/>
          <w:numId w:val="79"/>
        </w:numPr>
        <w:suppressAutoHyphens/>
        <w:spacing w:after="240" w:line="240" w:lineRule="auto"/>
        <w:ind w:left="397" w:hanging="397"/>
        <w:jc w:val="both"/>
        <w:rPr>
          <w:rFonts w:ascii="Times New Roman" w:eastAsia="Times New Roman" w:hAnsi="Times New Roman" w:cs="Times New Roman"/>
          <w:b/>
          <w:i/>
          <w:noProof/>
          <w:lang w:val="bg-BG" w:eastAsia="ar-SA"/>
        </w:rPr>
      </w:pPr>
      <w:r>
        <w:rPr>
          <w:rFonts w:ascii="Times New Roman" w:eastAsia="SimSun" w:hAnsi="Times New Roman" w:cs="font413"/>
          <w:b/>
          <w:i/>
          <w:noProof/>
          <w:sz w:val="24"/>
          <w:szCs w:val="24"/>
          <w:lang w:val="bg-BG" w:eastAsia="ar-SA"/>
        </w:rPr>
        <w:t>По-голямо участие на Европейския парламент</w:t>
      </w:r>
    </w:p>
    <w:p>
      <w:pPr>
        <w:autoSpaceDE w:val="0"/>
        <w:autoSpaceDN w:val="0"/>
        <w:adjustRightInd w:val="0"/>
        <w:spacing w:after="240" w:line="240" w:lineRule="auto"/>
        <w:jc w:val="both"/>
        <w:rPr>
          <w:rFonts w:ascii="Times New Roman" w:eastAsia="Times New Roman"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Специалните законодателни процедури, приложими за областите на социалната политика, за които важи правилото за гласуване с единодушие, не предоставят на Европейския парламент, който често е само консултиран, равностойна, съществена роля като участник в съвместното вземане на решения.</w:t>
      </w:r>
    </w:p>
    <w:p>
      <w:pPr>
        <w:autoSpaceDE w:val="0"/>
        <w:autoSpaceDN w:val="0"/>
        <w:adjustRightInd w:val="0"/>
        <w:spacing w:after="240" w:line="240" w:lineRule="auto"/>
        <w:jc w:val="both"/>
        <w:rPr>
          <w:rFonts w:ascii="Times New Roman" w:eastAsia="Times New Roman"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 xml:space="preserve">По принцип обаче може да се изтъкне аргумент — </w:t>
      </w:r>
      <w:r>
        <w:rPr>
          <w:rFonts w:ascii="Times New Roman" w:eastAsia="Calibri" w:hAnsi="Times New Roman" w:cs="Calibri"/>
          <w:i/>
          <w:noProof/>
          <w:color w:val="000000"/>
          <w:sz w:val="24"/>
          <w:szCs w:val="24"/>
          <w:lang w:val="bg-BG" w:eastAsia="en-GB"/>
        </w:rPr>
        <w:t>особено</w:t>
      </w:r>
      <w:r>
        <w:rPr>
          <w:rFonts w:ascii="Times New Roman" w:eastAsia="Calibri" w:hAnsi="Times New Roman" w:cs="Calibri"/>
          <w:noProof/>
          <w:color w:val="000000"/>
          <w:sz w:val="24"/>
          <w:szCs w:val="24"/>
          <w:lang w:val="bg-BG" w:eastAsia="en-GB"/>
        </w:rPr>
        <w:t xml:space="preserve"> в областта на социалната политика — в полза на това Европейският парламент да има по-силен глас. Членовете на Европейския парламент представляват гражданите, които извличат преки ползи от социалната политика на ЕС и следва да имат глас при определянето ѝ с помощта на избраните от тях представители.</w:t>
      </w:r>
    </w:p>
    <w:p>
      <w:pPr>
        <w:autoSpaceDE w:val="0"/>
        <w:autoSpaceDN w:val="0"/>
        <w:adjustRightInd w:val="0"/>
        <w:spacing w:after="240" w:line="240" w:lineRule="auto"/>
        <w:jc w:val="both"/>
        <w:rPr>
          <w:rFonts w:ascii="Times New Roman" w:eastAsia="Calibri"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Преминаването към обикновената законодателна процедура, при която Европейският парламент се превръща в съзаконодател на равна нога със Съвета, ще позволи на представителите на гражданите да дадат пълноценен принос към формулирането на социалната политика на ЕС.</w:t>
      </w:r>
    </w:p>
    <w:p>
      <w:pPr>
        <w:keepNext/>
        <w:numPr>
          <w:ilvl w:val="0"/>
          <w:numId w:val="100"/>
        </w:numPr>
        <w:suppressAutoHyphens/>
        <w:spacing w:after="240" w:line="240" w:lineRule="auto"/>
        <w:ind w:left="357" w:hanging="357"/>
        <w:jc w:val="both"/>
        <w:rPr>
          <w:rFonts w:ascii="Times New Roman" w:eastAsia="Times New Roman" w:hAnsi="Times New Roman" w:cs="Times New Roman"/>
          <w:b/>
          <w:noProof/>
          <w:sz w:val="24"/>
          <w:szCs w:val="24"/>
          <w:lang w:val="bg-BG" w:eastAsia="ar-SA"/>
        </w:rPr>
      </w:pPr>
      <w:r>
        <w:rPr>
          <w:rFonts w:ascii="Times New Roman" w:eastAsia="SimSun" w:hAnsi="Times New Roman" w:cs="font413"/>
          <w:b/>
          <w:noProof/>
          <w:sz w:val="24"/>
          <w:szCs w:val="24"/>
          <w:lang w:val="bg-BG" w:eastAsia="ar-SA"/>
        </w:rPr>
        <w:t>Съществуващи възможности за преминаване от гласуване с единодушие към гласуване с квалифицирано мнозинство</w:t>
      </w:r>
    </w:p>
    <w:p>
      <w:pPr>
        <w:spacing w:after="12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 xml:space="preserve">Съгласно Договорите за ЕС в областта на социалната политика се прилагат две клаузи за преход: </w:t>
      </w:r>
    </w:p>
    <w:p>
      <w:pPr>
        <w:numPr>
          <w:ilvl w:val="0"/>
          <w:numId w:val="112"/>
        </w:numPr>
        <w:suppressAutoHyphens/>
        <w:spacing w:after="60" w:line="240" w:lineRule="auto"/>
        <w:ind w:left="714" w:hanging="357"/>
        <w:jc w:val="both"/>
        <w:rPr>
          <w:rFonts w:ascii="Times New Roman" w:eastAsia="Times New Roman" w:hAnsi="Times New Roman" w:cs="Times New Roman"/>
          <w:noProof/>
          <w:sz w:val="24"/>
          <w:szCs w:val="24"/>
          <w:lang w:val="bg-BG" w:eastAsia="ar-SA"/>
        </w:rPr>
      </w:pPr>
      <w:r>
        <w:rPr>
          <w:rFonts w:ascii="Times New Roman" w:eastAsia="SimSun" w:hAnsi="Times New Roman" w:cs="font413"/>
          <w:b/>
          <w:noProof/>
          <w:sz w:val="24"/>
          <w:szCs w:val="24"/>
          <w:lang w:val="bg-BG" w:eastAsia="ar-SA"/>
        </w:rPr>
        <w:t>специална клауза</w:t>
      </w:r>
      <w:r>
        <w:rPr>
          <w:rFonts w:ascii="Times New Roman" w:eastAsia="SimSun" w:hAnsi="Times New Roman" w:cs="font413"/>
          <w:noProof/>
          <w:sz w:val="24"/>
          <w:szCs w:val="24"/>
          <w:lang w:val="bg-BG" w:eastAsia="ar-SA"/>
        </w:rPr>
        <w:t xml:space="preserve"> за социалната политика (член 153, параграф 2, последна алинея от ДФЕС); както и </w:t>
      </w:r>
    </w:p>
    <w:p>
      <w:pPr>
        <w:numPr>
          <w:ilvl w:val="0"/>
          <w:numId w:val="112"/>
        </w:numPr>
        <w:suppressAutoHyphens/>
        <w:spacing w:after="240" w:line="240" w:lineRule="auto"/>
        <w:jc w:val="both"/>
        <w:rPr>
          <w:rFonts w:ascii="Times New Roman" w:eastAsia="Times New Roman" w:hAnsi="Times New Roman" w:cs="Times New Roman"/>
          <w:noProof/>
          <w:sz w:val="24"/>
          <w:szCs w:val="24"/>
          <w:lang w:val="bg-BG" w:eastAsia="ar-SA"/>
        </w:rPr>
      </w:pPr>
      <w:r>
        <w:rPr>
          <w:rFonts w:ascii="Times New Roman" w:eastAsia="SimSun" w:hAnsi="Times New Roman" w:cs="font413"/>
          <w:b/>
          <w:noProof/>
          <w:sz w:val="24"/>
          <w:szCs w:val="24"/>
          <w:lang w:val="bg-BG" w:eastAsia="ar-SA"/>
        </w:rPr>
        <w:t xml:space="preserve">обща клауза </w:t>
      </w:r>
      <w:r>
        <w:rPr>
          <w:rFonts w:ascii="Times New Roman" w:eastAsia="SimSun" w:hAnsi="Times New Roman" w:cs="font413"/>
          <w:noProof/>
          <w:sz w:val="24"/>
          <w:szCs w:val="24"/>
          <w:lang w:val="bg-BG" w:eastAsia="ar-SA"/>
        </w:rPr>
        <w:t xml:space="preserve">(член 48, параграф 7 от ДЕС). </w:t>
      </w:r>
    </w:p>
    <w:p>
      <w:pPr>
        <w:spacing w:after="12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Налице са съществени процедурни различия между тези две клаузи.</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tc>
          <w:tcPr>
            <w:tcW w:w="9242" w:type="dxa"/>
          </w:tcPr>
          <w:p>
            <w:pPr>
              <w:keepNext/>
              <w:spacing w:after="120"/>
              <w:jc w:val="center"/>
              <w:rPr>
                <w:rFonts w:ascii="Times New Roman" w:eastAsia="Times New Roman" w:hAnsi="Times New Roman" w:cs="Times New Roman"/>
                <w:b/>
                <w:noProof/>
                <w:sz w:val="24"/>
                <w:szCs w:val="24"/>
                <w:lang w:val="bg-BG"/>
              </w:rPr>
            </w:pPr>
            <w:r>
              <w:rPr>
                <w:rFonts w:ascii="Times New Roman" w:eastAsia="Calibri" w:hAnsi="Times New Roman" w:cs="Times New Roman"/>
                <w:b/>
                <w:noProof/>
                <w:sz w:val="24"/>
                <w:szCs w:val="24"/>
                <w:lang w:val="bg-BG"/>
              </w:rPr>
              <w:t>Клаузи за преход</w:t>
            </w:r>
          </w:p>
          <w:p>
            <w:pPr>
              <w:spacing w:after="120"/>
              <w:jc w:val="both"/>
              <w:rPr>
                <w:rFonts w:ascii="Times New Roman" w:eastAsia="Times New Roman" w:hAnsi="Times New Roman" w:cs="Times New Roman"/>
                <w:noProof/>
                <w:sz w:val="24"/>
                <w:szCs w:val="24"/>
                <w:lang w:val="bg-BG"/>
              </w:rPr>
            </w:pPr>
            <w:r>
              <w:rPr>
                <w:rFonts w:ascii="Times New Roman" w:eastAsia="Calibri" w:hAnsi="Times New Roman" w:cs="Times New Roman"/>
                <w:b/>
                <w:noProof/>
                <w:sz w:val="24"/>
                <w:szCs w:val="24"/>
                <w:lang w:val="bg-BG"/>
              </w:rPr>
              <w:t>В член 48, параграф 7 от ДЕС е предвидена обща клауза за преход.</w:t>
            </w:r>
            <w:r>
              <w:rPr>
                <w:rFonts w:ascii="Times New Roman" w:eastAsia="Calibri" w:hAnsi="Times New Roman" w:cs="Times New Roman"/>
                <w:noProof/>
                <w:sz w:val="24"/>
                <w:szCs w:val="24"/>
                <w:lang w:val="bg-BG"/>
              </w:rPr>
              <w:t xml:space="preserve"> Тя дава възможност мерки в съответната област или съответния случай, за които преди това се е прилагало гласуване с единодушие, да бъдат приети впоследствие от Съвета с квалифицирано мнозинство, или, в случай на специални законодателни процедури, да бъдат приети от Европейския парламент и Съвета посредством обикновената законодателна процедура.</w:t>
            </w:r>
          </w:p>
          <w:p>
            <w:pPr>
              <w:spacing w:after="120"/>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За задействането на тази клауза инициативата трябва да поеме Европейският съвет, който трябва да посочи обхвата на предвижданата промяна в процедурата за вземане на решения и да уведоми за инициативата националните парламенти. В случай че не е повдигнато възражение от национален парламент в срок от шест месеца, Европейският съвет може, с единодушие и след като получи одобрението на Европейския парламент, да приеме решение, с което на Съвета се разрешава да действа с квалифицирано мнозинство или се дава възможност за приемане на съответните актове в съответствие с обикновената законодателна процедура.</w:t>
            </w:r>
          </w:p>
          <w:p>
            <w:pPr>
              <w:spacing w:after="120"/>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Общата клауза за преход предвижда възможност да се въведе гласуване с квалифицирано мнозинство, като същевременно бъде запазена специалната законодателна процедура. Тя осигурява възможност също така за преминаване към гласуване с квалифицирано мнозинство по обикновената законодателна процедура, в която на Европейския парламент са предоставени правомощия за съвместно вземане на решения.</w:t>
            </w:r>
          </w:p>
          <w:p>
            <w:pPr>
              <w:jc w:val="both"/>
              <w:rPr>
                <w:rFonts w:ascii="Times New Roman" w:eastAsia="Times New Roman" w:hAnsi="Times New Roman" w:cs="Times New Roman"/>
                <w:noProof/>
                <w:sz w:val="24"/>
                <w:szCs w:val="24"/>
                <w:lang w:val="bg-BG"/>
              </w:rPr>
            </w:pPr>
            <w:r>
              <w:rPr>
                <w:rFonts w:ascii="Times New Roman" w:eastAsia="Calibri" w:hAnsi="Times New Roman" w:cs="Times New Roman"/>
                <w:b/>
                <w:noProof/>
                <w:sz w:val="24"/>
                <w:szCs w:val="24"/>
                <w:lang w:val="bg-BG"/>
              </w:rPr>
              <w:t>Член 153, параграф 2 от ДФЕС, последна алинея, съдържа специална клауза за преход</w:t>
            </w:r>
            <w:r>
              <w:rPr>
                <w:rFonts w:ascii="Times New Roman" w:eastAsia="Calibri" w:hAnsi="Times New Roman" w:cs="Times New Roman"/>
                <w:noProof/>
                <w:sz w:val="24"/>
                <w:szCs w:val="24"/>
                <w:lang w:val="bg-BG"/>
              </w:rPr>
              <w:t xml:space="preserve"> за мерки в областта на социалната политика, за които понастоящем се прилагат гласуването с единодушие и специалната законодателна процедура в областите, обхванати от член 153, параграф 1, букви г), е) и (ж) от ДФЕС. Това е от значение за мерки за подкрепа и допълване на дейностите на държавите членки в следните области:</w:t>
            </w:r>
          </w:p>
          <w:p>
            <w:pPr>
              <w:numPr>
                <w:ilvl w:val="0"/>
                <w:numId w:val="114"/>
              </w:numPr>
              <w:suppressAutoHyphens/>
              <w:spacing w:after="120"/>
              <w:jc w:val="both"/>
              <w:rPr>
                <w:rFonts w:ascii="Times New Roman" w:eastAsia="Times New Roman" w:hAnsi="Times New Roman" w:cs="Times New Roman"/>
                <w:noProof/>
                <w:sz w:val="24"/>
                <w:szCs w:val="24"/>
                <w:lang w:val="bg-BG" w:eastAsia="ar-SA"/>
              </w:rPr>
            </w:pPr>
            <w:r>
              <w:rPr>
                <w:rFonts w:ascii="Times New Roman" w:eastAsia="SimSun" w:hAnsi="Times New Roman" w:cs="font413"/>
                <w:noProof/>
                <w:sz w:val="24"/>
                <w:szCs w:val="24"/>
                <w:lang w:val="bg-BG" w:eastAsia="ar-SA"/>
              </w:rPr>
              <w:t>закрила на работниците при прекратяване на трудовия договор (уволнения);</w:t>
            </w:r>
          </w:p>
          <w:p>
            <w:pPr>
              <w:numPr>
                <w:ilvl w:val="0"/>
                <w:numId w:val="114"/>
              </w:numPr>
              <w:suppressAutoHyphens/>
              <w:spacing w:after="120"/>
              <w:jc w:val="both"/>
              <w:rPr>
                <w:rFonts w:ascii="Times New Roman" w:eastAsia="Times New Roman" w:hAnsi="Times New Roman" w:cs="Times New Roman"/>
                <w:noProof/>
                <w:sz w:val="24"/>
                <w:szCs w:val="24"/>
                <w:lang w:val="bg-BG" w:eastAsia="ar-SA"/>
              </w:rPr>
            </w:pPr>
            <w:r>
              <w:rPr>
                <w:rFonts w:ascii="Times New Roman" w:eastAsia="SimSun" w:hAnsi="Times New Roman" w:cs="font413"/>
                <w:noProof/>
                <w:sz w:val="24"/>
                <w:szCs w:val="24"/>
                <w:lang w:val="bg-BG" w:eastAsia="ar-SA"/>
              </w:rPr>
              <w:t xml:space="preserve">представителство и колективна защита на интересите на работниците и работодателите; както и </w:t>
            </w:r>
          </w:p>
          <w:p>
            <w:pPr>
              <w:numPr>
                <w:ilvl w:val="0"/>
                <w:numId w:val="114"/>
              </w:numPr>
              <w:suppressAutoHyphens/>
              <w:spacing w:after="120"/>
              <w:jc w:val="both"/>
              <w:rPr>
                <w:rFonts w:ascii="Times New Roman" w:eastAsia="Times New Roman" w:hAnsi="Times New Roman" w:cs="Times New Roman"/>
                <w:noProof/>
                <w:sz w:val="24"/>
                <w:szCs w:val="24"/>
                <w:lang w:val="bg-BG" w:eastAsia="ar-SA"/>
              </w:rPr>
            </w:pPr>
            <w:r>
              <w:rPr>
                <w:rFonts w:ascii="Times New Roman" w:eastAsia="SimSun" w:hAnsi="Times New Roman" w:cs="font413"/>
                <w:noProof/>
                <w:sz w:val="24"/>
                <w:szCs w:val="24"/>
                <w:lang w:val="bg-BG" w:eastAsia="ar-SA"/>
              </w:rPr>
              <w:t>условия за заетост на граждани на трети страни, законно пребиваващи на територията на Съюза;</w:t>
            </w:r>
          </w:p>
          <w:p>
            <w:pPr>
              <w:spacing w:after="120"/>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 xml:space="preserve">За преминаването към обикновената законодателна процедура в тези области се изисква единодушното съгласие в Съвета, който действа въз основа на предложение на Комисията и след консултация с Европейския парламент.  </w:t>
            </w:r>
          </w:p>
        </w:tc>
      </w:tr>
    </w:tbl>
    <w:p>
      <w:pPr>
        <w:autoSpaceDE w:val="0"/>
        <w:autoSpaceDN w:val="0"/>
        <w:adjustRightInd w:val="0"/>
        <w:spacing w:after="240" w:line="240" w:lineRule="auto"/>
        <w:jc w:val="both"/>
        <w:rPr>
          <w:rFonts w:ascii="Times New Roman" w:eastAsia="Calibri" w:hAnsi="Times New Roman" w:cs="Times New Roman"/>
          <w:noProof/>
          <w:color w:val="000000"/>
          <w:sz w:val="24"/>
          <w:szCs w:val="24"/>
          <w:lang w:val="bg-BG" w:eastAsia="en-GB"/>
        </w:rPr>
      </w:pPr>
    </w:p>
    <w:p>
      <w:pPr>
        <w:autoSpaceDE w:val="0"/>
        <w:autoSpaceDN w:val="0"/>
        <w:adjustRightInd w:val="0"/>
        <w:spacing w:after="240" w:line="240" w:lineRule="auto"/>
        <w:jc w:val="both"/>
        <w:rPr>
          <w:rFonts w:ascii="Times New Roman" w:eastAsia="Calibri" w:hAnsi="Times New Roman" w:cs="Times New Roman"/>
          <w:noProof/>
          <w:sz w:val="24"/>
          <w:szCs w:val="24"/>
          <w:lang w:val="bg-BG" w:eastAsia="en-GB"/>
        </w:rPr>
      </w:pPr>
      <w:r>
        <w:rPr>
          <w:rFonts w:ascii="Times New Roman" w:eastAsia="Calibri" w:hAnsi="Times New Roman" w:cs="Calibri"/>
          <w:noProof/>
          <w:color w:val="000000"/>
          <w:sz w:val="24"/>
          <w:szCs w:val="24"/>
          <w:lang w:val="bg-BG" w:eastAsia="en-GB"/>
        </w:rPr>
        <w:t xml:space="preserve">В Договорите е предвидено друго средство за преодоляване на ситуация, в която решението е блокирано от една или повече държави членки, които използват правото си на вето. </w:t>
      </w:r>
      <w:r>
        <w:rPr>
          <w:rFonts w:ascii="Times New Roman" w:eastAsia="Calibri" w:hAnsi="Times New Roman" w:cs="Calibri"/>
          <w:b/>
          <w:noProof/>
          <w:color w:val="000000"/>
          <w:sz w:val="24"/>
          <w:szCs w:val="24"/>
          <w:lang w:val="bg-BG" w:eastAsia="en-GB"/>
        </w:rPr>
        <w:t>Процедурата на засилено сътрудничество</w:t>
      </w:r>
      <w:r>
        <w:rPr>
          <w:rFonts w:ascii="Times New Roman" w:eastAsia="Calibri" w:hAnsi="Times New Roman" w:cs="Times New Roman"/>
          <w:noProof/>
          <w:color w:val="000000"/>
          <w:sz w:val="24"/>
          <w:szCs w:val="24"/>
          <w:vertAlign w:val="superscript"/>
          <w:lang w:val="bg-BG" w:eastAsia="en-GB"/>
        </w:rPr>
        <w:footnoteReference w:id="15"/>
      </w:r>
      <w:r>
        <w:rPr>
          <w:rFonts w:ascii="Times New Roman" w:eastAsia="Calibri" w:hAnsi="Times New Roman" w:cs="Calibri"/>
          <w:noProof/>
          <w:color w:val="000000"/>
          <w:sz w:val="24"/>
          <w:szCs w:val="24"/>
          <w:lang w:val="bg-BG" w:eastAsia="en-GB"/>
        </w:rPr>
        <w:t xml:space="preserve"> дава възможност на група от поне девет държави членки да постигнат напредък по предложена инициатива, когато се окаже невъзможно да се постигне единодушно съгласие в Съвета. Другите държави — членки на ЕС, запазват правото да се присъединят към инициативата на по-късен етап. </w:t>
      </w:r>
      <w:r>
        <w:rPr>
          <w:rFonts w:ascii="Times New Roman" w:eastAsia="Calibri" w:hAnsi="Times New Roman" w:cs="Calibri"/>
          <w:noProof/>
          <w:sz w:val="24"/>
          <w:szCs w:val="24"/>
          <w:lang w:val="bg-BG" w:eastAsia="en-GB"/>
        </w:rPr>
        <w:t>В рамките на тази процедура в член 333 от ДФЕС се предвижда също специална клауза за преход, която позволява на държавите членки, участващи в конкретно засилено сътрудничество да решат да се премине към квалифицирано мнозинство и/или обикновената законодателна процедура.</w:t>
      </w:r>
    </w:p>
    <w:p>
      <w:pPr>
        <w:autoSpaceDE w:val="0"/>
        <w:autoSpaceDN w:val="0"/>
        <w:adjustRightInd w:val="0"/>
        <w:spacing w:after="240" w:line="240" w:lineRule="auto"/>
        <w:jc w:val="both"/>
        <w:rPr>
          <w:rFonts w:ascii="Times New Roman" w:eastAsia="Calibri" w:hAnsi="Times New Roman" w:cs="Times New Roman"/>
          <w:noProof/>
          <w:sz w:val="24"/>
          <w:szCs w:val="24"/>
          <w:lang w:val="bg-BG" w:eastAsia="en-GB"/>
        </w:rPr>
      </w:pPr>
      <w:r>
        <w:rPr>
          <w:rFonts w:ascii="Times New Roman" w:eastAsia="Calibri" w:hAnsi="Times New Roman" w:cs="Calibri"/>
          <w:noProof/>
          <w:sz w:val="24"/>
          <w:szCs w:val="24"/>
          <w:lang w:val="bg-BG" w:eastAsia="en-GB"/>
        </w:rPr>
        <w:t>Въпреки това в областта на социалната политика засиленото сътрудничество не представлява разрешение на по-широките, обхващащи целия ЕС проблеми, тъй като създава риск от разпокъсване на единния пазар, създаване на Европа на две скорости и различно третиране на граждани на ЕС в зависимост от държавите членки, в които те живеят. В този контекст</w:t>
      </w:r>
      <w:r>
        <w:rPr>
          <w:rFonts w:ascii="Times New Roman" w:eastAsia="Calibri" w:hAnsi="Times New Roman" w:cs="Calibri"/>
          <w:noProof/>
          <w:color w:val="000000"/>
          <w:sz w:val="24"/>
          <w:szCs w:val="24"/>
          <w:lang w:val="bg-BG" w:eastAsia="en-GB"/>
        </w:rPr>
        <w:t xml:space="preserve"> в член 326 от ДФЕС се посочва, че засиленото сътрудничество не може да засяга вътрешния пазар, нито икономическото, социално и териториално сближаване. То не трябва нито да представлява пречка или дискриминация спрямо търговията </w:t>
      </w:r>
      <w:r>
        <w:rPr>
          <w:rFonts w:ascii="Times New Roman" w:eastAsia="Calibri" w:hAnsi="Times New Roman" w:cs="Calibri"/>
          <w:noProof/>
          <w:sz w:val="24"/>
          <w:szCs w:val="24"/>
          <w:lang w:val="bg-BG" w:eastAsia="en-GB"/>
        </w:rPr>
        <w:t>между държавите членки, нито да предизвиква нарушения на конкуренцията между тях. Това е от особено значение в областта на социалната политика. Алтернативата да се използва процедурата за засилено сътрудничество следователно изглежда незадоволителна за предложения, осигуряващи прилагането на основните права, които следва да се прилагат спрямо всички лица във всички държави — членки на ЕС. Още през 2014 г. идеята да се използва засилено сътрудничество във връзка с предложението за хоризонтална директива за равното третиране</w:t>
      </w:r>
      <w:r>
        <w:rPr>
          <w:rFonts w:ascii="Times New Roman" w:eastAsia="Calibri" w:hAnsi="Times New Roman" w:cs="Times New Roman"/>
          <w:noProof/>
          <w:sz w:val="24"/>
          <w:szCs w:val="24"/>
          <w:vertAlign w:val="superscript"/>
          <w:lang w:val="bg-BG" w:eastAsia="en-GB"/>
        </w:rPr>
        <w:footnoteReference w:id="16"/>
      </w:r>
      <w:r>
        <w:rPr>
          <w:rFonts w:ascii="Times New Roman" w:eastAsia="Calibri" w:hAnsi="Times New Roman" w:cs="Calibri"/>
          <w:noProof/>
          <w:sz w:val="24"/>
          <w:szCs w:val="24"/>
          <w:lang w:val="bg-BG" w:eastAsia="en-GB"/>
        </w:rPr>
        <w:t xml:space="preserve"> беше категорично отхвърлена от Съвета. </w:t>
      </w:r>
    </w:p>
    <w:p>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bg-BG" w:eastAsia="en-GB"/>
        </w:rPr>
      </w:pPr>
      <w:r>
        <w:rPr>
          <w:rFonts w:ascii="Times New Roman" w:eastAsia="Calibri" w:hAnsi="Times New Roman" w:cs="Calibri"/>
          <w:noProof/>
          <w:color w:val="000000"/>
          <w:sz w:val="24"/>
          <w:szCs w:val="24"/>
          <w:lang w:val="bg-BG" w:eastAsia="en-GB"/>
        </w:rPr>
        <w:t>Задействането на клаузите за преход, за да се премине към гласуване с квалифицирано мнозинство, не носи тези недостатъци, понеже те позволяват на ЕС да постигне напредък като цяло, като по този начин се запазва целостта на единния пазар и на социалното измерение на ЕС. Също така, макар че то би променило метода за гласуване и вземане на решение, общата правна рамка за действията на ЕС ще остане непроменена; по-конкретно:</w:t>
      </w:r>
    </w:p>
    <w:p>
      <w:pPr>
        <w:autoSpaceDE w:val="0"/>
        <w:autoSpaceDN w:val="0"/>
        <w:adjustRightInd w:val="0"/>
        <w:spacing w:after="0" w:line="240" w:lineRule="auto"/>
        <w:jc w:val="both"/>
        <w:rPr>
          <w:rFonts w:ascii="Times New Roman" w:eastAsia="Times New Roman" w:hAnsi="Times New Roman" w:cs="Times New Roman"/>
          <w:noProof/>
          <w:color w:val="000000"/>
          <w:sz w:val="24"/>
          <w:szCs w:val="24"/>
          <w:lang w:val="bg-BG" w:eastAsia="en-GB"/>
        </w:rPr>
      </w:pPr>
    </w:p>
    <w:p>
      <w:pPr>
        <w:numPr>
          <w:ilvl w:val="0"/>
          <w:numId w:val="116"/>
        </w:numPr>
        <w:suppressAutoHyphens/>
        <w:spacing w:after="120" w:line="240" w:lineRule="auto"/>
        <w:jc w:val="both"/>
        <w:rPr>
          <w:rFonts w:ascii="Times New Roman" w:eastAsia="Times New Roman" w:hAnsi="Times New Roman" w:cs="Times New Roman"/>
          <w:noProof/>
          <w:sz w:val="24"/>
          <w:szCs w:val="24"/>
          <w:lang w:val="bg-BG" w:eastAsia="ar-SA"/>
        </w:rPr>
      </w:pPr>
      <w:r>
        <w:rPr>
          <w:rFonts w:ascii="Times New Roman" w:eastAsia="SimSun" w:hAnsi="Times New Roman" w:cs="font413"/>
          <w:noProof/>
          <w:sz w:val="24"/>
          <w:szCs w:val="24"/>
          <w:lang w:val="bg-BG" w:eastAsia="ar-SA"/>
        </w:rPr>
        <w:t xml:space="preserve">Действията на Съюза ще продължат да бъдат насочени върху области, в които целите не могат да бъдат постигнати в достатъчна степен от държавите членки, поради обхвата или последиците на предложените действия, при пълно зачитане на принципа на </w:t>
      </w:r>
      <w:r>
        <w:rPr>
          <w:rFonts w:ascii="Times New Roman" w:eastAsia="SimSun" w:hAnsi="Times New Roman" w:cs="font413"/>
          <w:b/>
          <w:noProof/>
          <w:sz w:val="24"/>
          <w:szCs w:val="24"/>
          <w:lang w:val="bg-BG" w:eastAsia="ar-SA"/>
        </w:rPr>
        <w:t>субсидиарност</w:t>
      </w:r>
      <w:r>
        <w:rPr>
          <w:rFonts w:ascii="Times New Roman" w:eastAsia="SimSun" w:hAnsi="Times New Roman" w:cs="font413"/>
          <w:noProof/>
          <w:sz w:val="24"/>
          <w:szCs w:val="24"/>
          <w:lang w:val="bg-BG" w:eastAsia="ar-SA"/>
        </w:rPr>
        <w:t xml:space="preserve">. Съгласно принципа на </w:t>
      </w:r>
      <w:r>
        <w:rPr>
          <w:rFonts w:ascii="Times New Roman" w:eastAsia="SimSun" w:hAnsi="Times New Roman" w:cs="font413"/>
          <w:b/>
          <w:noProof/>
          <w:sz w:val="24"/>
          <w:szCs w:val="24"/>
          <w:lang w:val="bg-BG" w:eastAsia="ar-SA"/>
        </w:rPr>
        <w:t>пропорционалност</w:t>
      </w:r>
      <w:r>
        <w:rPr>
          <w:rFonts w:ascii="Times New Roman" w:eastAsia="SimSun" w:hAnsi="Times New Roman" w:cs="font413"/>
          <w:noProof/>
          <w:sz w:val="24"/>
          <w:szCs w:val="24"/>
          <w:lang w:val="bg-BG" w:eastAsia="ar-SA"/>
        </w:rPr>
        <w:t xml:space="preserve"> съдържанието и формата на дейност на Съюза не трябва да надхвърлят необходимото за постигане на целите на Договорите.</w:t>
      </w:r>
    </w:p>
    <w:p>
      <w:pPr>
        <w:numPr>
          <w:ilvl w:val="0"/>
          <w:numId w:val="116"/>
        </w:numPr>
        <w:suppressAutoHyphens/>
        <w:spacing w:after="120" w:line="240" w:lineRule="auto"/>
        <w:jc w:val="both"/>
        <w:rPr>
          <w:rFonts w:ascii="Times New Roman" w:eastAsia="Times New Roman" w:hAnsi="Times New Roman" w:cs="Times New Roman"/>
          <w:b/>
          <w:noProof/>
          <w:sz w:val="24"/>
          <w:szCs w:val="24"/>
          <w:lang w:val="bg-BG" w:eastAsia="ar-SA"/>
        </w:rPr>
      </w:pPr>
      <w:r>
        <w:rPr>
          <w:rFonts w:ascii="Times New Roman" w:eastAsia="SimSun" w:hAnsi="Times New Roman" w:cs="font413"/>
          <w:b/>
          <w:noProof/>
          <w:sz w:val="24"/>
          <w:szCs w:val="24"/>
          <w:lang w:val="bg-BG" w:eastAsia="ar-SA"/>
        </w:rPr>
        <w:t xml:space="preserve">Обхвата на упражняване на компетентността на Съюза и условията за нейното упражняване не се променят. </w:t>
      </w:r>
      <w:r>
        <w:rPr>
          <w:rFonts w:ascii="Times New Roman" w:eastAsia="SimSun" w:hAnsi="Times New Roman" w:cs="font413"/>
          <w:noProof/>
          <w:sz w:val="24"/>
          <w:szCs w:val="24"/>
          <w:lang w:val="bg-BG" w:eastAsia="ar-SA"/>
        </w:rPr>
        <w:t xml:space="preserve">Член 153 от ДФЕС предвижда редица критерии, които трябва да бъдат изпълнени от мерките на ЕС в областта на социалната политика; например директиви могат да предвиждат само </w:t>
      </w:r>
      <w:r>
        <w:rPr>
          <w:rFonts w:ascii="Times New Roman" w:eastAsia="SimSun" w:hAnsi="Times New Roman" w:cs="font413"/>
          <w:i/>
          <w:noProof/>
          <w:sz w:val="24"/>
          <w:szCs w:val="24"/>
          <w:lang w:val="bg-BG" w:eastAsia="ar-SA"/>
        </w:rPr>
        <w:t>минимални изисквания</w:t>
      </w:r>
      <w:r>
        <w:rPr>
          <w:rFonts w:ascii="Times New Roman" w:eastAsia="SimSun" w:hAnsi="Times New Roman" w:cs="font413"/>
          <w:noProof/>
          <w:sz w:val="24"/>
          <w:szCs w:val="24"/>
          <w:lang w:val="bg-BG" w:eastAsia="ar-SA"/>
        </w:rPr>
        <w:t xml:space="preserve">, като </w:t>
      </w:r>
      <w:r>
        <w:rPr>
          <w:rFonts w:ascii="Times New Roman" w:eastAsia="SimSun" w:hAnsi="Times New Roman" w:cs="font413"/>
          <w:i/>
          <w:noProof/>
          <w:sz w:val="24"/>
          <w:szCs w:val="24"/>
          <w:lang w:val="bg-BG" w:eastAsia="ar-SA"/>
        </w:rPr>
        <w:t>се имат предвид условията и техническите правила във всяка държава членка</w:t>
      </w:r>
      <w:r>
        <w:rPr>
          <w:rFonts w:ascii="Times New Roman" w:eastAsia="SimSun" w:hAnsi="Times New Roman" w:cs="font413"/>
          <w:noProof/>
          <w:sz w:val="24"/>
          <w:szCs w:val="24"/>
          <w:lang w:val="bg-BG" w:eastAsia="ar-SA"/>
        </w:rPr>
        <w:t xml:space="preserve">, и трябва да </w:t>
      </w:r>
      <w:r>
        <w:rPr>
          <w:rFonts w:ascii="Times New Roman" w:eastAsia="SimSun" w:hAnsi="Times New Roman" w:cs="font413"/>
          <w:i/>
          <w:noProof/>
          <w:sz w:val="24"/>
          <w:szCs w:val="24"/>
          <w:lang w:val="bg-BG" w:eastAsia="ar-SA"/>
        </w:rPr>
        <w:t>избягват прекомерното обременяване на МСП</w:t>
      </w:r>
      <w:r>
        <w:rPr>
          <w:rFonts w:ascii="Times New Roman" w:eastAsia="SimSun" w:hAnsi="Times New Roman" w:cs="font413"/>
          <w:noProof/>
          <w:sz w:val="24"/>
          <w:szCs w:val="24"/>
          <w:lang w:val="bg-BG" w:eastAsia="ar-SA"/>
        </w:rPr>
        <w:t>. Мерките на ЕС не могат да засягат п</w:t>
      </w:r>
      <w:r>
        <w:rPr>
          <w:rFonts w:ascii="Times New Roman" w:eastAsia="SimSun" w:hAnsi="Times New Roman" w:cs="font413"/>
          <w:i/>
          <w:noProof/>
          <w:sz w:val="24"/>
          <w:szCs w:val="24"/>
          <w:lang w:val="bg-BG" w:eastAsia="ar-SA"/>
        </w:rPr>
        <w:t>равото на държавите членки да определят основните принципи на своите системи за социална сигурност</w:t>
      </w:r>
      <w:r>
        <w:rPr>
          <w:rFonts w:ascii="Times New Roman" w:eastAsia="SimSun" w:hAnsi="Times New Roman" w:cs="font413"/>
          <w:noProof/>
          <w:sz w:val="24"/>
          <w:szCs w:val="24"/>
          <w:lang w:val="bg-BG" w:eastAsia="ar-SA"/>
        </w:rPr>
        <w:t xml:space="preserve"> и </w:t>
      </w:r>
      <w:r>
        <w:rPr>
          <w:rFonts w:ascii="Times New Roman" w:eastAsia="SimSun" w:hAnsi="Times New Roman" w:cs="font413"/>
          <w:i/>
          <w:noProof/>
          <w:sz w:val="24"/>
          <w:szCs w:val="24"/>
          <w:lang w:val="bg-BG" w:eastAsia="ar-SA"/>
        </w:rPr>
        <w:t>не трябва да оказват съществено влияние върху финансовото равновесие на тези системи</w:t>
      </w:r>
      <w:r>
        <w:rPr>
          <w:rFonts w:ascii="Times New Roman" w:eastAsia="SimSun" w:hAnsi="Times New Roman" w:cs="font413"/>
          <w:noProof/>
          <w:sz w:val="24"/>
          <w:szCs w:val="24"/>
          <w:lang w:val="bg-BG" w:eastAsia="ar-SA"/>
        </w:rPr>
        <w:t xml:space="preserve">. Мерките на ЕС не са пречка държавите членки да запазят или да въведат по-строги предпазни мерки. Член 153, параграф 5 от ДФЕС също така </w:t>
      </w:r>
      <w:r>
        <w:rPr>
          <w:rFonts w:ascii="Times New Roman" w:eastAsia="SimSun" w:hAnsi="Times New Roman" w:cs="font413"/>
          <w:i/>
          <w:noProof/>
          <w:sz w:val="24"/>
          <w:szCs w:val="24"/>
          <w:lang w:val="bg-BG" w:eastAsia="ar-SA"/>
        </w:rPr>
        <w:t>изключва</w:t>
      </w:r>
      <w:r>
        <w:rPr>
          <w:rFonts w:ascii="Times New Roman" w:eastAsia="SimSun" w:hAnsi="Times New Roman" w:cs="font413"/>
          <w:noProof/>
          <w:sz w:val="24"/>
          <w:szCs w:val="24"/>
          <w:lang w:val="bg-BG" w:eastAsia="ar-SA"/>
        </w:rPr>
        <w:t xml:space="preserve"> всякакви мерки по отношение на заплащането, правото на сдружаване, правото на стачка или правото да се налага локаут. Член 151 от ДФЕС изисква мерките на ЕС да </w:t>
      </w:r>
      <w:r>
        <w:rPr>
          <w:rFonts w:ascii="Times New Roman" w:eastAsia="SimSun" w:hAnsi="Times New Roman" w:cs="font413"/>
          <w:i/>
          <w:noProof/>
          <w:sz w:val="24"/>
          <w:szCs w:val="24"/>
          <w:lang w:val="bg-BG" w:eastAsia="ar-SA"/>
        </w:rPr>
        <w:t>отчитат</w:t>
      </w:r>
      <w:r>
        <w:rPr>
          <w:rFonts w:ascii="Times New Roman" w:eastAsia="SimSun" w:hAnsi="Times New Roman" w:cs="font413"/>
          <w:noProof/>
          <w:sz w:val="24"/>
          <w:szCs w:val="24"/>
          <w:lang w:val="bg-BG" w:eastAsia="ar-SA"/>
        </w:rPr>
        <w:t xml:space="preserve"> </w:t>
      </w:r>
      <w:r>
        <w:rPr>
          <w:rFonts w:ascii="Times New Roman" w:eastAsia="SimSun" w:hAnsi="Times New Roman" w:cs="font413"/>
          <w:i/>
          <w:noProof/>
          <w:sz w:val="24"/>
          <w:szCs w:val="24"/>
          <w:lang w:val="bg-BG" w:eastAsia="ar-SA"/>
        </w:rPr>
        <w:t>разнообразието от национални практики</w:t>
      </w:r>
      <w:r>
        <w:rPr>
          <w:rFonts w:ascii="Times New Roman" w:eastAsia="SimSun" w:hAnsi="Times New Roman" w:cs="font413"/>
          <w:noProof/>
          <w:sz w:val="24"/>
          <w:szCs w:val="24"/>
          <w:lang w:val="bg-BG" w:eastAsia="ar-SA"/>
        </w:rPr>
        <w:t>.</w:t>
      </w:r>
    </w:p>
    <w:p>
      <w:pPr>
        <w:numPr>
          <w:ilvl w:val="0"/>
          <w:numId w:val="116"/>
        </w:numPr>
        <w:suppressAutoHyphens/>
        <w:spacing w:after="120" w:line="240" w:lineRule="auto"/>
        <w:jc w:val="both"/>
        <w:rPr>
          <w:rFonts w:ascii="Times New Roman" w:eastAsia="SimSun" w:hAnsi="Times New Roman" w:cs="Times New Roman"/>
          <w:noProof/>
          <w:sz w:val="24"/>
          <w:szCs w:val="24"/>
          <w:lang w:val="bg-BG" w:eastAsia="ar-SA"/>
        </w:rPr>
      </w:pPr>
      <w:r>
        <w:rPr>
          <w:rFonts w:ascii="Times New Roman" w:eastAsia="SimSun" w:hAnsi="Times New Roman" w:cs="font413"/>
          <w:b/>
          <w:noProof/>
          <w:sz w:val="24"/>
          <w:szCs w:val="24"/>
          <w:lang w:val="bg-BG" w:eastAsia="ar-SA"/>
        </w:rPr>
        <w:t xml:space="preserve">Ролята на социалните партньори </w:t>
      </w:r>
      <w:r>
        <w:rPr>
          <w:rFonts w:ascii="Times New Roman" w:eastAsia="SimSun" w:hAnsi="Times New Roman" w:cs="font413"/>
          <w:b/>
          <w:noProof/>
          <w:color w:val="000000"/>
          <w:sz w:val="24"/>
          <w:szCs w:val="24"/>
          <w:lang w:val="bg-BG" w:eastAsia="ar-SA"/>
        </w:rPr>
        <w:t>при изготвянето на законодателството в областта на социалната политика</w:t>
      </w:r>
      <w:r>
        <w:rPr>
          <w:rFonts w:ascii="Times New Roman" w:eastAsia="SimSun" w:hAnsi="Times New Roman" w:cs="font413"/>
          <w:b/>
          <w:noProof/>
          <w:sz w:val="24"/>
          <w:szCs w:val="24"/>
          <w:lang w:val="bg-BG" w:eastAsia="ar-SA"/>
        </w:rPr>
        <w:t xml:space="preserve"> ще остане незасегната. </w:t>
      </w:r>
      <w:r>
        <w:rPr>
          <w:rFonts w:ascii="Times New Roman" w:eastAsia="SimSun" w:hAnsi="Times New Roman" w:cs="font413"/>
          <w:noProof/>
          <w:sz w:val="24"/>
          <w:szCs w:val="24"/>
          <w:lang w:val="bg-BG" w:eastAsia="ar-SA"/>
        </w:rPr>
        <w:t>Както се изисква съгласно член 154 от ДФЕС, Комисията ще продължи да извършва двуетапна консултация със социалните партньори преди внасянето на бъдещи предложения в областта на социалната политика. Тя ще се консултира със социалните партньори относно възможната насока на дадено действие на ЕС и съдържанието на предвижданото предложение. Важно е да се отбележи, че доколкото квалифицираното мнозинство би се прилагало в областите, за които се отнася член 153 от ДФЕС, то би се прилагало и за изпълнението на споразуменията на социалните партньори посредством решения на Съвета съгласно член 155 от ДФЕС.</w:t>
      </w:r>
    </w:p>
    <w:p>
      <w:pPr>
        <w:numPr>
          <w:ilvl w:val="0"/>
          <w:numId w:val="116"/>
        </w:numPr>
        <w:suppressAutoHyphens/>
        <w:spacing w:after="120" w:line="240" w:lineRule="auto"/>
        <w:jc w:val="both"/>
        <w:rPr>
          <w:rFonts w:ascii="Times New Roman" w:eastAsia="Times New Roman" w:hAnsi="Times New Roman" w:cs="Times New Roman"/>
          <w:noProof/>
          <w:sz w:val="24"/>
          <w:szCs w:val="24"/>
          <w:lang w:val="bg-BG" w:eastAsia="ar-SA"/>
        </w:rPr>
      </w:pPr>
      <w:r>
        <w:rPr>
          <w:rFonts w:ascii="Times New Roman" w:eastAsia="SimSun" w:hAnsi="Times New Roman" w:cs="font413"/>
          <w:b/>
          <w:noProof/>
          <w:sz w:val="24"/>
          <w:szCs w:val="24"/>
          <w:lang w:val="bg-BG" w:eastAsia="ar-SA"/>
        </w:rPr>
        <w:t>По-доброто регулиране остава в основата на политиката на ЕС:</w:t>
      </w:r>
      <w:r>
        <w:rPr>
          <w:rFonts w:ascii="Times New Roman" w:eastAsia="SimSun" w:hAnsi="Times New Roman" w:cs="font413"/>
          <w:noProof/>
          <w:sz w:val="24"/>
          <w:szCs w:val="24"/>
          <w:lang w:val="bg-BG" w:eastAsia="ar-SA"/>
        </w:rPr>
        <w:t xml:space="preserve"> всички предложения ще бъдат изготвяни в съответствие с насоките за по-добро регулиране. Те гарантират, че изготвянето на политиките и законотворчеството на равнище ЕС е открито и прозрачно, основано на доказателства и разбиране на въздействията върху гражданите, предприятията и публичните администрации. Гражданите и заинтересованите страни могат да дават своя принос на всеки етап от този процес.</w:t>
      </w:r>
    </w:p>
    <w:p>
      <w:pPr>
        <w:numPr>
          <w:ilvl w:val="0"/>
          <w:numId w:val="116"/>
        </w:numPr>
        <w:suppressAutoHyphens/>
        <w:spacing w:after="240" w:line="240" w:lineRule="auto"/>
        <w:jc w:val="both"/>
        <w:rPr>
          <w:rFonts w:ascii="Times New Roman" w:eastAsia="Times New Roman" w:hAnsi="Times New Roman" w:cs="Times New Roman"/>
          <w:noProof/>
          <w:sz w:val="24"/>
          <w:szCs w:val="24"/>
          <w:lang w:val="bg-BG" w:eastAsia="ar-SA"/>
        </w:rPr>
      </w:pPr>
      <w:r>
        <w:rPr>
          <w:rFonts w:ascii="Times New Roman" w:eastAsia="SimSun" w:hAnsi="Times New Roman" w:cs="font413"/>
          <w:b/>
          <w:noProof/>
          <w:sz w:val="24"/>
          <w:szCs w:val="24"/>
          <w:lang w:val="bg-BG" w:eastAsia="ar-SA"/>
        </w:rPr>
        <w:t>Решението за преминаване към гласуване с квалифицирано мнозинство е изцяло под контрола на държавите членки.</w:t>
      </w:r>
      <w:r>
        <w:rPr>
          <w:rFonts w:ascii="Times New Roman" w:eastAsia="SimSun" w:hAnsi="Times New Roman" w:cs="font413"/>
          <w:noProof/>
          <w:sz w:val="24"/>
          <w:szCs w:val="24"/>
          <w:lang w:val="bg-BG" w:eastAsia="ar-SA"/>
        </w:rPr>
        <w:t xml:space="preserve"> За задействането на преходните клаузи би се изисквало единодушно решение на Европейския съвет или на Съвета. Освен това, съгласно обща клауза (член 48, параграф 7 от ДЕС), преминаването към гласуване с квалифицирано мнозинство или към обикновената законодателна процедура трябва да бъде подкрепено от всички национални парламенти, а Европейският парламент трябва да даде съгласието си.</w:t>
      </w:r>
    </w:p>
    <w:p>
      <w:pPr>
        <w:suppressAutoHyphens/>
        <w:spacing w:after="240" w:line="240" w:lineRule="auto"/>
        <w:ind w:left="720"/>
        <w:jc w:val="both"/>
        <w:rPr>
          <w:rFonts w:ascii="Times New Roman" w:eastAsia="Times New Roman" w:hAnsi="Times New Roman" w:cs="Times New Roman"/>
          <w:noProof/>
          <w:sz w:val="24"/>
          <w:szCs w:val="24"/>
          <w:lang w:val="bg-BG" w:eastAsia="ar-SA"/>
        </w:rPr>
      </w:pPr>
    </w:p>
    <w:p>
      <w:pPr>
        <w:keepNext/>
        <w:numPr>
          <w:ilvl w:val="0"/>
          <w:numId w:val="100"/>
        </w:numPr>
        <w:suppressAutoHyphens/>
        <w:spacing w:after="240" w:line="240" w:lineRule="auto"/>
        <w:jc w:val="both"/>
        <w:rPr>
          <w:rFonts w:ascii="Times New Roman" w:eastAsia="SimSun" w:hAnsi="Times New Roman" w:cs="Times New Roman"/>
          <w:b/>
          <w:noProof/>
          <w:sz w:val="24"/>
          <w:szCs w:val="24"/>
          <w:lang w:val="bg-BG" w:eastAsia="ar-SA"/>
        </w:rPr>
      </w:pPr>
      <w:r>
        <w:rPr>
          <w:rFonts w:ascii="Times New Roman" w:eastAsia="SimSun" w:hAnsi="Times New Roman" w:cs="font413"/>
          <w:b/>
          <w:noProof/>
          <w:sz w:val="24"/>
          <w:szCs w:val="24"/>
          <w:lang w:val="bg-BG" w:eastAsia="ar-SA"/>
        </w:rPr>
        <w:t>Анализ на конкретните области на политиката, по отношение на които все още се прилага гласуване с единодушие</w:t>
      </w:r>
    </w:p>
    <w:p>
      <w:pPr>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Целта на настоящия раздел е да се анализират аргументите в подкрепа на използването на клаузите за преход в социалната сфера. Анализът се извършва за всяка отделна от петте области, посочени в раздел 2, по отношение на които все още са приложими гласуването с единодушие и специалните законодателни процедури.</w:t>
      </w:r>
    </w:p>
    <w:p>
      <w:pPr>
        <w:keepNext/>
        <w:spacing w:after="240" w:line="240" w:lineRule="auto"/>
        <w:ind w:left="397" w:hanging="397"/>
        <w:jc w:val="both"/>
        <w:rPr>
          <w:rFonts w:ascii="Times New Roman" w:eastAsia="Times New Roman" w:hAnsi="Times New Roman" w:cs="Times New Roman"/>
          <w:i/>
          <w:noProof/>
          <w:sz w:val="24"/>
          <w:szCs w:val="24"/>
          <w:lang w:val="bg-BG"/>
        </w:rPr>
      </w:pPr>
      <w:r>
        <w:rPr>
          <w:rFonts w:ascii="Times New Roman" w:eastAsia="Calibri" w:hAnsi="Times New Roman" w:cs="Times New Roman"/>
          <w:b/>
          <w:i/>
          <w:noProof/>
          <w:sz w:val="24"/>
          <w:szCs w:val="24"/>
          <w:lang w:val="bg-BG"/>
        </w:rPr>
        <w:t xml:space="preserve">а) </w:t>
      </w:r>
      <w:r>
        <w:rPr>
          <w:rFonts w:ascii="Times New Roman" w:eastAsia="Calibri" w:hAnsi="Times New Roman" w:cs="Times New Roman"/>
          <w:b/>
          <w:i/>
          <w:noProof/>
          <w:sz w:val="24"/>
          <w:szCs w:val="24"/>
          <w:lang w:val="bg-BG"/>
        </w:rPr>
        <w:tab/>
        <w:t>Недискриминация</w:t>
      </w:r>
    </w:p>
    <w:p>
      <w:pPr>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От въвеждането им в Договора от Амстердам през 1997 г. действията на ЕС за борба с дискриминацията подлежат на единодушно съгласие. Договорът от Ница въведе гласуването с квалифицирано мнозинство при определянето на основните принципи на мерките за стимулиране на Съюза, което изключва хармонизирането на националните разпоредби, в подкрепа на действията на държавите членки за борба с дискриминацията</w:t>
      </w:r>
      <w:r>
        <w:rPr>
          <w:rFonts w:ascii="Times New Roman" w:eastAsia="Times New Roman" w:hAnsi="Times New Roman" w:cs="Times New Roman"/>
          <w:noProof/>
          <w:sz w:val="24"/>
          <w:szCs w:val="24"/>
          <w:vertAlign w:val="superscript"/>
          <w:lang w:val="bg-BG"/>
        </w:rPr>
        <w:footnoteReference w:id="17"/>
      </w:r>
      <w:r>
        <w:rPr>
          <w:rFonts w:ascii="Calibri" w:eastAsia="Calibri" w:hAnsi="Calibri" w:cs="Times New Roman"/>
          <w:noProof/>
          <w:lang w:val="bg-BG"/>
        </w:rPr>
        <w:t>.</w:t>
      </w:r>
    </w:p>
    <w:p>
      <w:pPr>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Действащото законодателство на ЕС</w:t>
      </w:r>
      <w:r>
        <w:rPr>
          <w:rFonts w:ascii="Times New Roman" w:eastAsia="Times New Roman" w:hAnsi="Times New Roman" w:cs="Times New Roman"/>
          <w:noProof/>
          <w:sz w:val="24"/>
          <w:szCs w:val="24"/>
          <w:vertAlign w:val="superscript"/>
          <w:lang w:val="bg-BG"/>
        </w:rPr>
        <w:footnoteReference w:id="18"/>
      </w:r>
      <w:r>
        <w:rPr>
          <w:rFonts w:ascii="Times New Roman" w:eastAsia="Calibri" w:hAnsi="Times New Roman" w:cs="Times New Roman"/>
          <w:noProof/>
          <w:sz w:val="24"/>
          <w:szCs w:val="24"/>
          <w:lang w:val="bg-BG"/>
        </w:rPr>
        <w:t xml:space="preserve"> (прието с единодушие) предвижда различни равнища на защита в зависимост от основанията за дискриминация. Директиви на ЕС предвиждат определена степен на защита на равенството между половете и равенството между расите в областта на заетостта и професиите и в редица други области. Равното третиране въз основа на религиозна принадлежност или убеждения, увреждане, възраст и сексуална ориентация е защитено единствено по отношение на заетостта и професиите. Необходимостта от гласуване с единодушие в Съвета в тази област доведе до непоследователна правна рамка и несъгласувано въздействие на правото на Съюза върху живота на хората, като някои хора са по-добре защитени, отколкото други</w:t>
      </w:r>
      <w:r>
        <w:rPr>
          <w:rFonts w:ascii="Times New Roman" w:eastAsia="Times New Roman" w:hAnsi="Times New Roman" w:cs="Times New Roman"/>
          <w:noProof/>
          <w:sz w:val="24"/>
          <w:szCs w:val="24"/>
          <w:vertAlign w:val="superscript"/>
          <w:lang w:val="bg-BG" w:eastAsia="en-GB"/>
        </w:rPr>
        <w:footnoteReference w:id="19"/>
      </w:r>
      <w:r>
        <w:rPr>
          <w:rFonts w:ascii="Calibri" w:eastAsia="Calibri" w:hAnsi="Calibri" w:cs="Times New Roman"/>
          <w:noProof/>
          <w:lang w:val="bg-BG"/>
        </w:rPr>
        <w:t>.</w:t>
      </w:r>
    </w:p>
    <w:p>
      <w:pPr>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Равенството е една от основните ценности на ЕС. Дискриминацията няма място в Съюза</w:t>
      </w:r>
      <w:r>
        <w:rPr>
          <w:rFonts w:ascii="Times New Roman" w:eastAsia="Times New Roman" w:hAnsi="Times New Roman" w:cs="Times New Roman"/>
          <w:noProof/>
          <w:sz w:val="24"/>
          <w:szCs w:val="24"/>
          <w:vertAlign w:val="superscript"/>
          <w:lang w:val="bg-BG"/>
        </w:rPr>
        <w:footnoteReference w:id="20"/>
      </w:r>
      <w:r>
        <w:rPr>
          <w:rFonts w:ascii="Calibri" w:eastAsia="Calibri" w:hAnsi="Calibri" w:cs="Times New Roman"/>
          <w:noProof/>
          <w:lang w:val="bg-BG"/>
        </w:rPr>
        <w:t>.</w:t>
      </w:r>
      <w:r>
        <w:rPr>
          <w:rFonts w:ascii="Times New Roman" w:eastAsia="Calibri" w:hAnsi="Times New Roman" w:cs="Times New Roman"/>
          <w:noProof/>
          <w:sz w:val="24"/>
          <w:szCs w:val="24"/>
          <w:lang w:val="bg-BG"/>
        </w:rPr>
        <w:t xml:space="preserve"> През март 2017 г. лидерите от ЕС поеха ангажимент в Римската декларация да работят за съюз, който насърчава равенството между жените и мъжете и правата и равните възможности за всички и който се бори с дискриминацията. Държавите членки и Комисията подкрепиха Програмата до 2030 г. за устойчиво развитие, която предвижда премахване на дискриминационни закони, политики и практики и насърчаване на подходящо законодателство и подходящи политики и действия</w:t>
      </w:r>
      <w:r>
        <w:rPr>
          <w:rFonts w:ascii="Times New Roman" w:eastAsia="Calibri" w:hAnsi="Times New Roman" w:cs="Times New Roman"/>
          <w:noProof/>
          <w:sz w:val="24"/>
          <w:szCs w:val="24"/>
          <w:vertAlign w:val="superscript"/>
          <w:lang w:val="bg-BG"/>
        </w:rPr>
        <w:footnoteReference w:id="21"/>
      </w:r>
      <w:r>
        <w:rPr>
          <w:rFonts w:ascii="Calibri" w:eastAsia="Calibri" w:hAnsi="Calibri" w:cs="Times New Roman"/>
          <w:noProof/>
          <w:lang w:val="bg-BG"/>
        </w:rPr>
        <w:t>.</w:t>
      </w:r>
      <w:r>
        <w:rPr>
          <w:rFonts w:ascii="Times New Roman" w:eastAsia="Calibri" w:hAnsi="Times New Roman" w:cs="Times New Roman"/>
          <w:noProof/>
          <w:sz w:val="24"/>
          <w:szCs w:val="24"/>
          <w:lang w:val="bg-BG"/>
        </w:rPr>
        <w:t xml:space="preserve"> </w:t>
      </w:r>
    </w:p>
    <w:p>
      <w:pPr>
        <w:spacing w:after="240" w:line="240" w:lineRule="auto"/>
        <w:jc w:val="both"/>
        <w:rPr>
          <w:rFonts w:ascii="Times New Roman" w:eastAsia="Times New Roman" w:hAnsi="Times New Roman" w:cs="Times New Roman"/>
          <w:noProof/>
          <w:color w:val="000000"/>
          <w:sz w:val="24"/>
          <w:szCs w:val="24"/>
          <w:lang w:val="bg-BG"/>
        </w:rPr>
      </w:pPr>
      <w:r>
        <w:rPr>
          <w:rFonts w:ascii="Times New Roman" w:eastAsia="Calibri" w:hAnsi="Times New Roman" w:cs="Times New Roman"/>
          <w:noProof/>
          <w:sz w:val="24"/>
          <w:szCs w:val="24"/>
          <w:lang w:val="bg-BG"/>
        </w:rPr>
        <w:t xml:space="preserve">В </w:t>
      </w:r>
      <w:r>
        <w:rPr>
          <w:rFonts w:ascii="Times New Roman" w:eastAsia="Calibri" w:hAnsi="Times New Roman" w:cs="Times New Roman"/>
          <w:noProof/>
          <w:color w:val="000000"/>
          <w:sz w:val="24"/>
          <w:szCs w:val="24"/>
          <w:lang w:val="bg-BG"/>
        </w:rPr>
        <w:t>проучване от 2018 г. на Европейския парламент</w:t>
      </w:r>
      <w:r>
        <w:rPr>
          <w:rFonts w:ascii="Times New Roman" w:eastAsia="Times New Roman" w:hAnsi="Times New Roman" w:cs="Times New Roman"/>
          <w:noProof/>
          <w:color w:val="000000"/>
          <w:sz w:val="24"/>
          <w:szCs w:val="24"/>
          <w:vertAlign w:val="superscript"/>
          <w:lang w:val="bg-BG"/>
        </w:rPr>
        <w:footnoteReference w:id="22"/>
      </w:r>
      <w:r>
        <w:rPr>
          <w:rFonts w:ascii="Times New Roman" w:eastAsia="Calibri" w:hAnsi="Times New Roman" w:cs="Times New Roman"/>
          <w:noProof/>
          <w:color w:val="000000"/>
          <w:sz w:val="24"/>
          <w:szCs w:val="24"/>
          <w:lang w:val="bg-BG"/>
        </w:rPr>
        <w:t xml:space="preserve"> бе подчертан мащабът на вредните въздействия, които имат пропуските и пречките в законодателството и действията на ЕС върху ежедневието на хората и върху обществото (що се отнася до БВП, данъчните приходи и социалното сближаване). </w:t>
      </w:r>
      <w:r>
        <w:rPr>
          <w:rFonts w:ascii="Times New Roman" w:eastAsia="Calibri" w:hAnsi="Times New Roman" w:cs="Times New Roman"/>
          <w:noProof/>
          <w:sz w:val="24"/>
          <w:szCs w:val="24"/>
          <w:lang w:val="bg-BG"/>
        </w:rPr>
        <w:t xml:space="preserve">Липсата на общи правила на ЕС за защита срещу дискриминацията при достъпа до стоки и услуги подкопава еднаквите условия на конкуренция, които са от ключово значение за ефективния и справедлив единен пазар. </w:t>
      </w:r>
      <w:r>
        <w:rPr>
          <w:rFonts w:ascii="Times New Roman" w:eastAsia="Calibri" w:hAnsi="Times New Roman" w:cs="Times New Roman"/>
          <w:noProof/>
          <w:color w:val="000000"/>
          <w:sz w:val="24"/>
          <w:szCs w:val="24"/>
          <w:lang w:val="bg-BG"/>
        </w:rPr>
        <w:t>Гражданите и предприятията следва да имат безпроблемен достъп до четирите основни свободи при еднакви условия.</w:t>
      </w:r>
    </w:p>
    <w:p>
      <w:pPr>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Законодателството на ЕС</w:t>
      </w:r>
      <w:r>
        <w:rPr>
          <w:rFonts w:ascii="Times New Roman" w:eastAsia="Calibri" w:hAnsi="Times New Roman" w:cs="Times New Roman"/>
          <w:noProof/>
          <w:color w:val="000000"/>
          <w:sz w:val="24"/>
          <w:szCs w:val="24"/>
          <w:lang w:val="bg-BG"/>
        </w:rPr>
        <w:t xml:space="preserve"> </w:t>
      </w:r>
      <w:r>
        <w:rPr>
          <w:rFonts w:ascii="Times New Roman" w:eastAsia="Calibri" w:hAnsi="Times New Roman" w:cs="Times New Roman"/>
          <w:noProof/>
          <w:sz w:val="24"/>
          <w:szCs w:val="24"/>
          <w:lang w:val="bg-BG"/>
        </w:rPr>
        <w:t>изисква от държавите членки да създадат органи за насърчаване на равното третиране</w:t>
      </w:r>
      <w:r>
        <w:rPr>
          <w:rFonts w:ascii="Times New Roman" w:eastAsia="Times New Roman" w:hAnsi="Times New Roman" w:cs="Times New Roman"/>
          <w:noProof/>
          <w:sz w:val="24"/>
          <w:szCs w:val="24"/>
          <w:vertAlign w:val="superscript"/>
          <w:lang w:val="bg-BG"/>
        </w:rPr>
        <w:footnoteReference w:id="23"/>
      </w:r>
      <w:r>
        <w:rPr>
          <w:rFonts w:ascii="Times New Roman" w:eastAsia="Calibri" w:hAnsi="Times New Roman" w:cs="Times New Roman"/>
          <w:noProof/>
          <w:sz w:val="24"/>
          <w:szCs w:val="24"/>
          <w:lang w:val="bg-BG"/>
        </w:rPr>
        <w:t>. Тези органи по въпросите на равенството имат задачата да предоставят независима помощ на жертвите на дискриминация, да провеждат проучвания и да публикуват доклади по въпроси, свързани с дискриминацията, основана обаче само на расов или етнически произход и пол. Поради правните ограничения Комисията е издавала единствено необвързващи насоки във връзка с тяхното функциониране</w:t>
      </w:r>
      <w:r>
        <w:rPr>
          <w:rFonts w:ascii="Times New Roman" w:eastAsia="Times New Roman" w:hAnsi="Times New Roman" w:cs="Times New Roman"/>
          <w:noProof/>
          <w:sz w:val="24"/>
          <w:szCs w:val="24"/>
          <w:vertAlign w:val="superscript"/>
          <w:lang w:val="bg-BG"/>
        </w:rPr>
        <w:footnoteReference w:id="24"/>
      </w:r>
      <w:r>
        <w:rPr>
          <w:rFonts w:ascii="Calibri" w:eastAsia="Calibri" w:hAnsi="Calibri" w:cs="Times New Roman"/>
          <w:noProof/>
          <w:lang w:val="bg-BG"/>
        </w:rPr>
        <w:t>.</w:t>
      </w:r>
      <w:r>
        <w:rPr>
          <w:rFonts w:ascii="Times New Roman" w:eastAsia="Calibri" w:hAnsi="Times New Roman" w:cs="Times New Roman"/>
          <w:noProof/>
          <w:sz w:val="24"/>
          <w:szCs w:val="24"/>
          <w:lang w:val="bg-BG"/>
        </w:rPr>
        <w:t xml:space="preserve"> Ето защо, когато става въпрос за помощ на жертвите на дискриминация и други дейности за насърчаване на равното третиране, между държавите членки има различия. Основанията за защита също се различават.</w:t>
      </w:r>
    </w:p>
    <w:p>
      <w:pPr>
        <w:spacing w:after="240" w:line="240" w:lineRule="auto"/>
        <w:jc w:val="both"/>
        <w:rPr>
          <w:rFonts w:ascii="Times New Roman" w:eastAsia="Calibri" w:hAnsi="Times New Roman" w:cs="Times New Roman"/>
          <w:b/>
          <w:noProof/>
          <w:sz w:val="24"/>
          <w:szCs w:val="24"/>
          <w:lang w:val="bg-BG"/>
        </w:rPr>
      </w:pPr>
      <w:r>
        <w:rPr>
          <w:rFonts w:ascii="Times New Roman" w:eastAsia="Calibri" w:hAnsi="Times New Roman" w:cs="Times New Roman"/>
          <w:b/>
          <w:noProof/>
          <w:sz w:val="24"/>
          <w:szCs w:val="24"/>
          <w:lang w:val="bg-BG"/>
        </w:rPr>
        <w:t xml:space="preserve">Използването на клаузата за преход би могло да бъде разгледано в близко бъдеще с цел да се улесни развитието на еднаква защита срещу дискриминация, с ефективни механизми за защита за всички.  </w:t>
      </w:r>
    </w:p>
    <w:tbl>
      <w:tblPr>
        <w:tblStyle w:val="TableGrid"/>
        <w:tblW w:w="0" w:type="auto"/>
        <w:tblLook w:val="04A0" w:firstRow="1" w:lastRow="0" w:firstColumn="1" w:lastColumn="0" w:noHBand="0" w:noVBand="1"/>
      </w:tblPr>
      <w:tblGrid>
        <w:gridCol w:w="9242"/>
      </w:tblGrid>
      <w:tr>
        <w:tc>
          <w:tcPr>
            <w:tcW w:w="9242" w:type="dxa"/>
          </w:tcPr>
          <w:p>
            <w:pPr>
              <w:keepNext/>
              <w:spacing w:after="120"/>
              <w:jc w:val="both"/>
              <w:rPr>
                <w:rFonts w:ascii="Times New Roman" w:eastAsia="Times New Roman" w:hAnsi="Times New Roman" w:cs="Times New Roman"/>
                <w:b/>
                <w:noProof/>
                <w:sz w:val="24"/>
                <w:szCs w:val="24"/>
                <w:lang w:val="bg-BG"/>
              </w:rPr>
            </w:pPr>
            <w:r>
              <w:rPr>
                <w:rFonts w:ascii="Times New Roman" w:eastAsia="Calibri" w:hAnsi="Times New Roman" w:cs="Times New Roman"/>
                <w:b/>
                <w:noProof/>
                <w:sz w:val="24"/>
                <w:szCs w:val="24"/>
                <w:lang w:val="bg-BG"/>
              </w:rPr>
              <w:t>Недискриминация: факти и цифри.</w:t>
            </w:r>
          </w:p>
          <w:p>
            <w:pPr>
              <w:numPr>
                <w:ilvl w:val="0"/>
                <w:numId w:val="73"/>
              </w:numPr>
              <w:suppressAutoHyphens/>
              <w:spacing w:after="120"/>
              <w:jc w:val="both"/>
              <w:rPr>
                <w:rFonts w:ascii="Times New Roman" w:eastAsia="Times New Roman" w:hAnsi="Times New Roman" w:cs="Times New Roman"/>
                <w:noProof/>
                <w:sz w:val="24"/>
                <w:szCs w:val="24"/>
                <w:lang w:val="bg-BG" w:eastAsia="ar-SA"/>
              </w:rPr>
            </w:pPr>
            <w:r>
              <w:rPr>
                <w:rFonts w:ascii="Times New Roman" w:eastAsia="SimSun" w:hAnsi="Times New Roman" w:cs="font413"/>
                <w:noProof/>
                <w:sz w:val="24"/>
                <w:szCs w:val="24"/>
                <w:lang w:val="bg-BG" w:eastAsia="ar-SA"/>
              </w:rPr>
              <w:t>Проучване на Евробарометър</w:t>
            </w:r>
            <w:r>
              <w:rPr>
                <w:rFonts w:ascii="Times New Roman" w:eastAsia="Times New Roman" w:hAnsi="Times New Roman" w:cs="Times New Roman"/>
                <w:noProof/>
                <w:sz w:val="24"/>
                <w:szCs w:val="24"/>
                <w:vertAlign w:val="superscript"/>
                <w:lang w:val="bg-BG" w:eastAsia="ar-SA"/>
              </w:rPr>
              <w:footnoteReference w:id="25"/>
            </w:r>
            <w:r>
              <w:rPr>
                <w:rFonts w:ascii="Times New Roman" w:eastAsia="SimSun" w:hAnsi="Times New Roman" w:cs="font413"/>
                <w:noProof/>
                <w:sz w:val="24"/>
                <w:szCs w:val="24"/>
                <w:vertAlign w:val="superscript"/>
                <w:lang w:val="bg-BG" w:eastAsia="ar-SA"/>
              </w:rPr>
              <w:t xml:space="preserve"> </w:t>
            </w:r>
            <w:r>
              <w:rPr>
                <w:rFonts w:ascii="Times New Roman" w:eastAsia="SimSun" w:hAnsi="Times New Roman" w:cs="font413"/>
                <w:noProof/>
                <w:sz w:val="24"/>
                <w:szCs w:val="24"/>
                <w:lang w:val="bg-BG" w:eastAsia="ar-SA"/>
              </w:rPr>
              <w:t>показва, че 12 % от хората в ЕС считат, че принадлежат към група, изложена на риск от дискриминация. Около един на всеки пет анкетирани споделя, че е изпитал лично дискриминация или тормоз през последните 12 месеца. Дискриминацията въз основа на етнически произход е най-разпространената форма на дискриминация. Тя е следвана от дискриминация въз основа на сексуална ориентация, полова идентичност, религия или убеждения, увреждане и възраст.</w:t>
            </w:r>
          </w:p>
          <w:p>
            <w:pPr>
              <w:numPr>
                <w:ilvl w:val="0"/>
                <w:numId w:val="73"/>
              </w:numPr>
              <w:suppressAutoHyphens/>
              <w:spacing w:after="120"/>
              <w:jc w:val="both"/>
              <w:rPr>
                <w:rFonts w:ascii="Times New Roman" w:eastAsia="Times New Roman" w:hAnsi="Times New Roman" w:cs="Times New Roman"/>
                <w:noProof/>
                <w:sz w:val="24"/>
                <w:szCs w:val="24"/>
                <w:lang w:val="bg-BG" w:eastAsia="ar-SA"/>
              </w:rPr>
            </w:pPr>
            <w:r>
              <w:rPr>
                <w:rFonts w:ascii="Times New Roman" w:eastAsia="SimSun" w:hAnsi="Times New Roman" w:cs="font413"/>
                <w:noProof/>
                <w:sz w:val="24"/>
                <w:szCs w:val="24"/>
                <w:lang w:val="bg-BG" w:eastAsia="ar-SA"/>
              </w:rPr>
              <w:t>За засегнатите лица всеки отказ на права поради дискриминация може да доведе до имуществени и/или неимуществени вреди, например загуба на приходи и/или влошено здраве. За обществото дискриминацията може да окаже отрицателно въздействие върху БВП и данъчните приходи, както и върху социалното сближаване</w:t>
            </w:r>
            <w:r>
              <w:rPr>
                <w:rFonts w:ascii="Times New Roman" w:eastAsia="Times New Roman" w:hAnsi="Times New Roman" w:cs="Times New Roman"/>
                <w:noProof/>
                <w:sz w:val="24"/>
                <w:szCs w:val="24"/>
                <w:vertAlign w:val="superscript"/>
                <w:lang w:val="bg-BG" w:eastAsia="ar-SA"/>
              </w:rPr>
              <w:footnoteReference w:id="26"/>
            </w:r>
            <w:r>
              <w:rPr>
                <w:rFonts w:ascii="Calibri" w:eastAsia="SimSun" w:hAnsi="Calibri" w:cs="font413"/>
                <w:noProof/>
                <w:lang w:val="bg-BG" w:eastAsia="ar-SA"/>
              </w:rPr>
              <w:t>.</w:t>
            </w:r>
          </w:p>
        </w:tc>
      </w:tr>
    </w:tbl>
    <w:p>
      <w:pPr>
        <w:spacing w:after="0" w:line="240" w:lineRule="auto"/>
        <w:jc w:val="both"/>
        <w:rPr>
          <w:rFonts w:ascii="Times New Roman" w:eastAsia="Times New Roman" w:hAnsi="Times New Roman" w:cs="Times New Roman"/>
          <w:noProof/>
          <w:sz w:val="24"/>
          <w:szCs w:val="24"/>
          <w:lang w:val="bg-BG"/>
        </w:rPr>
      </w:pPr>
    </w:p>
    <w:p>
      <w:pPr>
        <w:keepNext/>
        <w:spacing w:after="240" w:line="240" w:lineRule="auto"/>
        <w:ind w:left="397" w:hanging="397"/>
        <w:jc w:val="both"/>
        <w:rPr>
          <w:rFonts w:ascii="Times New Roman" w:eastAsia="Times New Roman" w:hAnsi="Times New Roman" w:cs="Times New Roman"/>
          <w:b/>
          <w:i/>
          <w:noProof/>
          <w:sz w:val="24"/>
          <w:szCs w:val="24"/>
          <w:lang w:val="bg-BG"/>
        </w:rPr>
      </w:pPr>
      <w:r>
        <w:rPr>
          <w:rFonts w:ascii="Times New Roman" w:eastAsia="Times New Roman" w:hAnsi="Times New Roman" w:cs="Times New Roman"/>
          <w:b/>
          <w:i/>
          <w:noProof/>
          <w:sz w:val="24"/>
          <w:szCs w:val="24"/>
          <w:lang w:val="bg-BG"/>
        </w:rPr>
        <w:t xml:space="preserve">б) </w:t>
      </w:r>
      <w:r>
        <w:rPr>
          <w:rFonts w:ascii="Times New Roman" w:eastAsia="Times New Roman" w:hAnsi="Times New Roman" w:cs="Times New Roman"/>
          <w:b/>
          <w:i/>
          <w:noProof/>
          <w:sz w:val="24"/>
          <w:szCs w:val="24"/>
          <w:lang w:val="bg-BG"/>
        </w:rPr>
        <w:tab/>
      </w:r>
      <w:r>
        <w:rPr>
          <w:rFonts w:ascii="Times New Roman" w:eastAsia="Calibri" w:hAnsi="Times New Roman" w:cs="Times New Roman"/>
          <w:b/>
          <w:i/>
          <w:noProof/>
          <w:sz w:val="24"/>
          <w:szCs w:val="24"/>
          <w:lang w:val="bg-BG"/>
        </w:rPr>
        <w:t>Социална сигурност и социална закрила на работниците (с изключение на трансграничните ситуации)</w:t>
      </w:r>
    </w:p>
    <w:p>
      <w:pPr>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ЕС подкрепя и допълва дейностите на държавите членки в областта на социалната сигурност и социалната закрила на работниците</w:t>
      </w:r>
      <w:r>
        <w:rPr>
          <w:rFonts w:ascii="Times New Roman" w:eastAsia="Times New Roman" w:hAnsi="Times New Roman" w:cs="Times New Roman"/>
          <w:noProof/>
          <w:sz w:val="24"/>
          <w:szCs w:val="24"/>
          <w:vertAlign w:val="superscript"/>
          <w:lang w:val="bg-BG"/>
        </w:rPr>
        <w:footnoteReference w:id="27"/>
      </w:r>
      <w:r>
        <w:rPr>
          <w:rFonts w:ascii="Times New Roman" w:eastAsia="Calibri" w:hAnsi="Times New Roman" w:cs="Times New Roman"/>
          <w:noProof/>
          <w:sz w:val="24"/>
          <w:szCs w:val="24"/>
          <w:lang w:val="bg-BG"/>
        </w:rPr>
        <w:t>. От въвеждането на тези правомощия в Договора от Маастрихт през 1992 г. досега решенията в тази област се вземат с гласуване с единодушие по специалната законодателна процедура.</w:t>
      </w:r>
    </w:p>
    <w:p>
      <w:pPr>
        <w:spacing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 xml:space="preserve">Изискването за единодушие в тази област е свързано с факта, че националните системи за социална сигурност и социална закрила са дълбоко вградени в националните икономически и данъчни модели и в моделите за преразпределение на доходите. Системите в ЕС се различават значително, като има различия между размера и разпределението на бюджета, източниците на финансиране, степента на покритие на рисковете сред населението и ролята на социалните партньори. </w:t>
      </w:r>
    </w:p>
    <w:p>
      <w:pPr>
        <w:spacing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Същевременно с развитието на пазарите на труда е необходимо системите за социална закрила да бъдат реформирани на национално равнище, за да се осигури тяхното модернизиране, така че социалният ни модел да продължи да бъде целесъобразен, никой да не бъде пренебрегнат и хората и предприятията в ЕС да могат да извлекат максимална полза от променящата се трудова сфера. Демографските промени, като застаряването на населението, по-ниската раждаемост и по-дългата продължителност на живота, ще окажат въздействие върху способността на държавите членки да осигуряват адекватна социална закрила. Вноските на населението в трудоспособна възраст ще намаляват, което ще породи необходимост да се търсят нетрудови източници на финансиране за системите за социална закрила. Появата на различни видове трудови отношения, подсилена от технологичните промени и цифровите платформи, вече доведе до пропуски в обхвата на социалната закрила. Същевременно бъдещият свят на труда ще изисква сериозни инвестиции в учене през целия живот, обучение, повишаване на квалификацията и преквалификация, за които понастоящем националните системи за социална закрила не се грижат достатъчно.</w:t>
      </w:r>
    </w:p>
    <w:p>
      <w:pPr>
        <w:spacing w:before="240"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 xml:space="preserve">Водена от принципите на Европейския стълб на социалните права, служещи ѝ като ориентир, до този момент Комисията е предлагала действията на равнището на ЕС да се съсредоточат върху издаването на препоръки, като например Препоръката относно достъпа до социална закрила за работниците и самостоятелно заетите лица. Съветът постигна с единодушие политическо съгласие по препоръката през декември 2018 г. и се очаква окончателното ѝ приемане. След като бъде приета, препоръката ще започне да се изпълнява и ще трябва да се извърши оценка на въздействието ѝ върху модернизирането на системите за социална закрила. </w:t>
      </w:r>
    </w:p>
    <w:p>
      <w:pPr>
        <w:spacing w:before="240"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Ако Европейският съвет използва клаузата за преход, предвидена в член 48, параграф 7 от ДЕС, и въведе гласуване с квалифицирано мнозинство в съответната област или определения случай, Съветът ще може да действа с квалифицирано мнозинство, а не с единодушие при приемането на препоръки в тази област или в този случай на основание член 292 от ДФЕС. Преминаването към квалифицирано мнозинство би стимулирало постигането на съгласие по такива препоръки, имащи за цел да се дадат насоки и да се подпомогне процеса на сближаване за изграждане на системи за социална закрила, съобразени с изискванията на 21</w:t>
      </w:r>
      <w:r>
        <w:rPr>
          <w:rFonts w:ascii="Times New Roman" w:eastAsia="Calibri" w:hAnsi="Times New Roman" w:cs="Times New Roman"/>
          <w:noProof/>
          <w:sz w:val="24"/>
          <w:szCs w:val="24"/>
          <w:vertAlign w:val="superscript"/>
          <w:lang w:val="bg-BG"/>
        </w:rPr>
        <w:t>-ви</w:t>
      </w:r>
      <w:r>
        <w:rPr>
          <w:rFonts w:ascii="Times New Roman" w:eastAsia="Calibri" w:hAnsi="Times New Roman" w:cs="Times New Roman"/>
          <w:noProof/>
          <w:sz w:val="24"/>
          <w:szCs w:val="24"/>
          <w:lang w:val="bg-BG"/>
        </w:rPr>
        <w:t xml:space="preserve"> век.</w:t>
      </w:r>
    </w:p>
    <w:p>
      <w:pPr>
        <w:spacing w:before="240"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Дори и в този случай обаче действията на ЕС трябва да са съобразени с принципа на субсидиарност и да вземат под внимание съществуващите големи различия между системите за социална закрила на държавите членки. Освен това член 153, параграф 4 от ДФЕС гарантира правото на държавите членки да определят основните принципи на своите системи за социална сигурност и забранява приемането на разпоредби, оказващи съществено влияние върху финансовото равновесие на тези системи.</w:t>
      </w:r>
    </w:p>
    <w:p>
      <w:pPr>
        <w:spacing w:before="240" w:after="240" w:line="240" w:lineRule="auto"/>
        <w:jc w:val="both"/>
        <w:rPr>
          <w:rFonts w:ascii="Times New Roman" w:eastAsia="Calibri" w:hAnsi="Times New Roman" w:cs="Times New Roman"/>
          <w:b/>
          <w:noProof/>
          <w:sz w:val="24"/>
          <w:szCs w:val="24"/>
          <w:lang w:val="bg-BG"/>
        </w:rPr>
      </w:pPr>
      <w:r>
        <w:rPr>
          <w:rFonts w:ascii="Times New Roman" w:eastAsia="Calibri" w:hAnsi="Times New Roman" w:cs="Times New Roman"/>
          <w:noProof/>
          <w:sz w:val="24"/>
          <w:szCs w:val="24"/>
          <w:lang w:val="bg-BG"/>
        </w:rPr>
        <w:t xml:space="preserve">Следователно, за да се подкрепи процесът на модернизация и сближаване между системите за социална закрила, </w:t>
      </w:r>
      <w:r>
        <w:rPr>
          <w:rFonts w:ascii="Times New Roman" w:eastAsia="Calibri" w:hAnsi="Times New Roman" w:cs="Times New Roman"/>
          <w:b/>
          <w:noProof/>
          <w:sz w:val="24"/>
          <w:szCs w:val="24"/>
          <w:lang w:val="bg-BG"/>
        </w:rPr>
        <w:t>в близко бъдеще може да се помисли за използване на клаузата за преход за приемането на препоръки в областта на социалната сигурност и социалната закрила на работниците</w:t>
      </w:r>
      <w:r>
        <w:rPr>
          <w:rFonts w:ascii="Times New Roman" w:eastAsia="Calibri" w:hAnsi="Times New Roman" w:cs="Times New Roman"/>
          <w:noProof/>
          <w:sz w:val="24"/>
          <w:szCs w:val="24"/>
          <w:lang w:val="bg-BG"/>
        </w:rPr>
        <w:t>.</w:t>
      </w:r>
      <w:r>
        <w:rPr>
          <w:rFonts w:ascii="Times New Roman" w:eastAsia="Calibri" w:hAnsi="Times New Roman" w:cs="Times New Roman"/>
          <w:b/>
          <w:noProof/>
          <w:sz w:val="24"/>
          <w:szCs w:val="24"/>
          <w:lang w:val="bg-BG"/>
        </w:rPr>
        <w:t xml:space="preserve"> </w:t>
      </w:r>
    </w:p>
    <w:p>
      <w:pPr>
        <w:spacing w:before="240" w:after="240" w:line="240" w:lineRule="auto"/>
        <w:jc w:val="both"/>
        <w:rPr>
          <w:rFonts w:ascii="Times New Roman" w:eastAsia="Calibri" w:hAnsi="Times New Roman" w:cs="Times New Roman"/>
          <w:b/>
          <w:noProof/>
          <w:sz w:val="24"/>
          <w:szCs w:val="24"/>
          <w:lang w:val="bg-BG"/>
        </w:rPr>
      </w:pPr>
    </w:p>
    <w:p>
      <w:pPr>
        <w:keepNext/>
        <w:spacing w:after="240" w:line="240" w:lineRule="auto"/>
        <w:ind w:left="397" w:hanging="397"/>
        <w:jc w:val="both"/>
        <w:rPr>
          <w:rFonts w:ascii="Times New Roman" w:eastAsia="Times New Roman" w:hAnsi="Times New Roman" w:cs="Times New Roman"/>
          <w:b/>
          <w:i/>
          <w:noProof/>
          <w:sz w:val="24"/>
          <w:szCs w:val="24"/>
          <w:lang w:val="bg-BG"/>
        </w:rPr>
      </w:pPr>
      <w:r>
        <w:rPr>
          <w:rFonts w:ascii="Times New Roman" w:eastAsia="Calibri" w:hAnsi="Times New Roman" w:cs="Times New Roman"/>
          <w:b/>
          <w:i/>
          <w:noProof/>
          <w:sz w:val="24"/>
          <w:szCs w:val="24"/>
          <w:lang w:val="bg-BG"/>
        </w:rPr>
        <w:t xml:space="preserve">в) </w:t>
      </w:r>
      <w:r>
        <w:rPr>
          <w:rFonts w:ascii="Times New Roman" w:eastAsia="Calibri" w:hAnsi="Times New Roman" w:cs="Times New Roman"/>
          <w:b/>
          <w:i/>
          <w:noProof/>
          <w:sz w:val="24"/>
          <w:szCs w:val="24"/>
          <w:lang w:val="bg-BG"/>
        </w:rPr>
        <w:tab/>
        <w:t>Условия за наемане на работа на граждани на трети държави, пребиваващи законно на територията на Съюза</w:t>
      </w:r>
    </w:p>
    <w:p>
      <w:pPr>
        <w:spacing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Няколко директиви на ЕС в областта на законната миграция регламентират условията за влизане и пребиваване, както и правата на различните категории граждани на трети държави, като студенти, научни работници, сезонни работници и лица, преместени при вътрешнокорпоративен трансфер.</w:t>
      </w:r>
      <w:r>
        <w:rPr>
          <w:rFonts w:ascii="Times New Roman" w:eastAsia="Calibri" w:hAnsi="Times New Roman" w:cs="Times New Roman"/>
          <w:noProof/>
          <w:sz w:val="24"/>
          <w:vertAlign w:val="superscript"/>
          <w:lang w:val="bg-BG"/>
        </w:rPr>
        <w:footnoteReference w:id="28"/>
      </w:r>
      <w:r>
        <w:rPr>
          <w:rFonts w:ascii="Times New Roman" w:eastAsia="Calibri" w:hAnsi="Times New Roman" w:cs="Times New Roman"/>
          <w:noProof/>
          <w:sz w:val="28"/>
          <w:szCs w:val="24"/>
          <w:vertAlign w:val="superscript"/>
          <w:lang w:val="bg-BG"/>
        </w:rPr>
        <w:t xml:space="preserve"> </w:t>
      </w:r>
      <w:r>
        <w:rPr>
          <w:rFonts w:ascii="Times New Roman" w:eastAsia="Calibri" w:hAnsi="Times New Roman" w:cs="Times New Roman"/>
          <w:noProof/>
          <w:sz w:val="24"/>
          <w:szCs w:val="24"/>
          <w:lang w:val="bg-BG"/>
        </w:rPr>
        <w:t>Тези директиви са приети съгласно член 79, параграф 2 от ДФЕС чрез гласуване с квалифицирано мнозинство и с упражняване на правомощията на Европейския парламент за съвместно вземане на решения.</w:t>
      </w:r>
      <w:r>
        <w:rPr>
          <w:rFonts w:ascii="Times New Roman" w:eastAsia="Calibri" w:hAnsi="Times New Roman" w:cs="Times New Roman"/>
          <w:noProof/>
          <w:sz w:val="24"/>
          <w:szCs w:val="24"/>
          <w:vertAlign w:val="superscript"/>
          <w:lang w:val="bg-BG"/>
        </w:rPr>
        <w:t xml:space="preserve"> </w:t>
      </w:r>
    </w:p>
    <w:p>
      <w:pPr>
        <w:spacing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Целта на тези разпоредби е да се осигури справедливо третиране, равностойно на това на гражданите на ЕС в редица отношения, включително по отношение на условията за наемане на работа (например заплата, професионални квалификации и др.). В същото време значителните достижения на ЕС в областта на заетостта и в социалната сфера</w:t>
      </w:r>
      <w:r>
        <w:rPr>
          <w:rFonts w:ascii="Times New Roman" w:eastAsia="Calibri" w:hAnsi="Times New Roman" w:cs="Times New Roman"/>
          <w:noProof/>
          <w:sz w:val="24"/>
          <w:szCs w:val="24"/>
          <w:vertAlign w:val="superscript"/>
          <w:lang w:val="bg-BG"/>
        </w:rPr>
        <w:footnoteReference w:id="29"/>
      </w:r>
      <w:r>
        <w:rPr>
          <w:rFonts w:ascii="Times New Roman" w:eastAsia="Calibri" w:hAnsi="Times New Roman" w:cs="Times New Roman"/>
          <w:noProof/>
          <w:sz w:val="24"/>
          <w:szCs w:val="24"/>
          <w:lang w:val="bg-BG"/>
        </w:rPr>
        <w:t xml:space="preserve"> — които по-специално гарантират справедливи условия на труд и защита на здравословните и безопасни условия на труд — се прилагат за всички работници, които са адресати на националното трудово право на съответната държава членка, независимо от тяхното гражданство. </w:t>
      </w:r>
    </w:p>
    <w:p>
      <w:pPr>
        <w:spacing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Наред с това, въз основа на различни разпоредби от Договорите, предвиждащи гласуване с квалифицирано мнозинство, Съюзът прие препоръки във връзка с мерките за активизиране в полза на лицата, срещащи трудности на пазара на труда. Например ЕС вече предостави насоки под формата на т.нар. „Гаранция за младежта“</w:t>
      </w:r>
      <w:r>
        <w:rPr>
          <w:rFonts w:ascii="Times New Roman" w:eastAsia="Calibri" w:hAnsi="Times New Roman" w:cs="Times New Roman"/>
          <w:noProof/>
          <w:sz w:val="24"/>
          <w:szCs w:val="24"/>
          <w:vertAlign w:val="superscript"/>
          <w:lang w:val="bg-BG"/>
        </w:rPr>
        <w:footnoteReference w:id="30"/>
      </w:r>
      <w:r>
        <w:rPr>
          <w:rFonts w:ascii="Times New Roman" w:eastAsia="Calibri" w:hAnsi="Times New Roman" w:cs="Times New Roman"/>
          <w:noProof/>
          <w:sz w:val="24"/>
          <w:szCs w:val="24"/>
          <w:lang w:val="bg-BG"/>
        </w:rPr>
        <w:t>; Препоръката на Съвета относно интеграцията на дълготрайно безработните лица на пазара на труда</w:t>
      </w:r>
      <w:r>
        <w:rPr>
          <w:rFonts w:ascii="Times New Roman" w:eastAsia="Calibri" w:hAnsi="Times New Roman" w:cs="Times New Roman"/>
          <w:noProof/>
          <w:sz w:val="24"/>
          <w:szCs w:val="24"/>
          <w:vertAlign w:val="superscript"/>
          <w:lang w:val="bg-BG"/>
        </w:rPr>
        <w:footnoteReference w:id="31"/>
      </w:r>
      <w:r>
        <w:rPr>
          <w:rFonts w:ascii="Times New Roman" w:eastAsia="Calibri" w:hAnsi="Times New Roman" w:cs="Times New Roman"/>
          <w:noProof/>
          <w:sz w:val="24"/>
          <w:szCs w:val="24"/>
          <w:lang w:val="bg-BG"/>
        </w:rPr>
        <w:t>; и Препоръката на Съвета относно повишаването на уменията</w:t>
      </w:r>
      <w:r>
        <w:rPr>
          <w:rFonts w:ascii="Times New Roman" w:eastAsia="Calibri" w:hAnsi="Times New Roman" w:cs="Times New Roman"/>
          <w:noProof/>
          <w:sz w:val="24"/>
          <w:szCs w:val="24"/>
          <w:vertAlign w:val="superscript"/>
          <w:lang w:val="bg-BG"/>
        </w:rPr>
        <w:footnoteReference w:id="32"/>
      </w:r>
      <w:r>
        <w:rPr>
          <w:rFonts w:ascii="Times New Roman" w:eastAsia="Calibri" w:hAnsi="Times New Roman" w:cs="Times New Roman"/>
          <w:noProof/>
          <w:sz w:val="24"/>
          <w:szCs w:val="24"/>
          <w:lang w:val="bg-BG"/>
        </w:rPr>
        <w:t>. Тези препоръки се прилагат и спрямо законно пребиваващите граждани на трети държави и с тях се признава, че гражданите на трети държави принадлежат към уязвимите групи на пазара на труда, за които е необходима персонализирана подкрепа. Препоръките са в процес на изпълнение и тяхното въздействие, включително върху законно пребиваващите граждани на трети държави, предстои да бъде оценено.</w:t>
      </w:r>
    </w:p>
    <w:p>
      <w:pPr>
        <w:spacing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В резултат на това потенциалното приложно поле на член 153, параграф 1, буква ж) от ДФЕС — който позволява на Съюза да подкрепя и допълва дейностите на държавите членки във връзка с условията за наемане на работа на законно пребиваващи граждани на трети държави, действайки с единодушие — изглежда доста ограничено.</w:t>
      </w:r>
    </w:p>
    <w:p>
      <w:pPr>
        <w:spacing w:after="240" w:line="240" w:lineRule="auto"/>
        <w:jc w:val="both"/>
        <w:rPr>
          <w:rFonts w:ascii="Times New Roman" w:eastAsia="Calibri" w:hAnsi="Times New Roman" w:cs="Times New Roman"/>
          <w:b/>
          <w:noProof/>
          <w:sz w:val="24"/>
          <w:szCs w:val="24"/>
          <w:lang w:val="bg-BG"/>
        </w:rPr>
      </w:pPr>
      <w:r>
        <w:rPr>
          <w:rFonts w:ascii="Times New Roman" w:eastAsia="Calibri" w:hAnsi="Times New Roman" w:cs="Times New Roman"/>
          <w:noProof/>
          <w:sz w:val="24"/>
          <w:szCs w:val="24"/>
          <w:lang w:val="bg-BG"/>
        </w:rPr>
        <w:t xml:space="preserve">Като се имат предвид действащото законодателство в областта на миграцията и достиженията на правото в социалната област, а така също и действащите препоръки, </w:t>
      </w:r>
      <w:r>
        <w:rPr>
          <w:rFonts w:ascii="Times New Roman" w:eastAsia="Calibri" w:hAnsi="Times New Roman" w:cs="Times New Roman"/>
          <w:b/>
          <w:noProof/>
          <w:sz w:val="24"/>
          <w:szCs w:val="24"/>
          <w:lang w:val="bg-BG"/>
        </w:rPr>
        <w:t>понастоящем изглежда няма значителна добавена стойност от използването на клаузата за преход в тази област</w:t>
      </w:r>
      <w:r>
        <w:rPr>
          <w:rFonts w:ascii="Times New Roman" w:eastAsia="Calibri" w:hAnsi="Times New Roman" w:cs="Times New Roman"/>
          <w:noProof/>
          <w:sz w:val="24"/>
          <w:szCs w:val="24"/>
          <w:lang w:val="bg-BG"/>
        </w:rPr>
        <w:t>.</w:t>
      </w:r>
      <w:r>
        <w:rPr>
          <w:rFonts w:ascii="Times New Roman" w:eastAsia="Calibri" w:hAnsi="Times New Roman" w:cs="Times New Roman"/>
          <w:b/>
          <w:noProof/>
          <w:sz w:val="24"/>
          <w:szCs w:val="24"/>
          <w:lang w:val="bg-BG"/>
        </w:rPr>
        <w:t xml:space="preserve"> </w:t>
      </w:r>
    </w:p>
    <w:p>
      <w:pPr>
        <w:spacing w:after="0" w:line="240" w:lineRule="auto"/>
        <w:jc w:val="both"/>
        <w:rPr>
          <w:rFonts w:ascii="Times New Roman" w:eastAsia="Calibri" w:hAnsi="Times New Roman" w:cs="Times New Roman"/>
          <w:noProof/>
          <w:sz w:val="24"/>
          <w:szCs w:val="24"/>
          <w:lang w:val="bg-BG"/>
        </w:rPr>
      </w:pPr>
    </w:p>
    <w:p>
      <w:pPr>
        <w:keepNext/>
        <w:spacing w:after="240" w:line="240" w:lineRule="auto"/>
        <w:ind w:left="397" w:hanging="397"/>
        <w:jc w:val="both"/>
        <w:rPr>
          <w:rFonts w:ascii="Times New Roman" w:eastAsia="Times New Roman" w:hAnsi="Times New Roman" w:cs="Times New Roman"/>
          <w:b/>
          <w:i/>
          <w:noProof/>
          <w:sz w:val="24"/>
          <w:szCs w:val="24"/>
          <w:lang w:val="bg-BG"/>
        </w:rPr>
      </w:pPr>
      <w:r>
        <w:rPr>
          <w:rFonts w:ascii="Times New Roman" w:eastAsia="Calibri" w:hAnsi="Times New Roman" w:cs="Times New Roman"/>
          <w:b/>
          <w:i/>
          <w:noProof/>
          <w:sz w:val="24"/>
          <w:szCs w:val="24"/>
          <w:lang w:val="bg-BG"/>
        </w:rPr>
        <w:t xml:space="preserve">г) </w:t>
      </w:r>
      <w:r>
        <w:rPr>
          <w:rFonts w:ascii="Times New Roman" w:eastAsia="Calibri" w:hAnsi="Times New Roman" w:cs="Times New Roman"/>
          <w:b/>
          <w:i/>
          <w:noProof/>
          <w:sz w:val="24"/>
          <w:szCs w:val="24"/>
          <w:lang w:val="bg-BG"/>
        </w:rPr>
        <w:tab/>
        <w:t>Закрила на работниците при прекратяване на трудовия договор</w:t>
      </w:r>
    </w:p>
    <w:p>
      <w:pPr>
        <w:spacing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Закрилата на работниците при прекратяването на трудовия договор (</w:t>
      </w:r>
      <w:r>
        <w:rPr>
          <w:rFonts w:ascii="Times New Roman" w:eastAsia="Calibri" w:hAnsi="Times New Roman" w:cs="Times New Roman"/>
          <w:i/>
          <w:noProof/>
          <w:sz w:val="24"/>
          <w:szCs w:val="24"/>
          <w:lang w:val="bg-BG"/>
        </w:rPr>
        <w:t>уволнение</w:t>
      </w:r>
      <w:r>
        <w:rPr>
          <w:rFonts w:ascii="Times New Roman" w:eastAsia="Calibri" w:hAnsi="Times New Roman" w:cs="Times New Roman"/>
          <w:noProof/>
          <w:sz w:val="24"/>
          <w:szCs w:val="24"/>
          <w:lang w:val="bg-BG"/>
        </w:rPr>
        <w:t>) е централен елемент на националното трудово право. Тя е тясно свързана с националните системи за социална закрила и институциите на пазара на труда, в това число и с ролята на социалните партньори и традициите в сферата на колективното договаряне. Продължителността на периода, през който се получават обезщетения за безработица, размерът на тези обезщетения, степента на регламентиране на трудовите договори, както и съдебните и извънсъдебните процедури се различават в отделните държави членки.</w:t>
      </w:r>
    </w:p>
    <w:p>
      <w:pPr>
        <w:spacing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На равнище ЕС Хартата на основните права на ЕС и Европейският стълб на социалните права</w:t>
      </w:r>
      <w:r>
        <w:rPr>
          <w:rFonts w:ascii="Times New Roman" w:eastAsia="Calibri" w:hAnsi="Times New Roman" w:cs="Times New Roman"/>
          <w:noProof/>
          <w:sz w:val="24"/>
          <w:szCs w:val="24"/>
          <w:vertAlign w:val="superscript"/>
          <w:lang w:val="bg-BG"/>
        </w:rPr>
        <w:footnoteReference w:id="33"/>
      </w:r>
      <w:r>
        <w:rPr>
          <w:rFonts w:ascii="Times New Roman" w:eastAsia="Calibri" w:hAnsi="Times New Roman" w:cs="Times New Roman"/>
          <w:noProof/>
          <w:sz w:val="24"/>
          <w:szCs w:val="24"/>
          <w:lang w:val="bg-BG"/>
        </w:rPr>
        <w:t xml:space="preserve"> очертават хоризонталните принципи, приложими спрямо закрилата при уволнение. Именно на национално равнище обаче се въвежда всеобхватна правна уредба за защита, предвиждаща минимални стандарти на закрила при уволнение за отделните работници. Националните закони могат най-добре да отразят спецификите на различните национални системи за закрила, в това число и факторите, свързани с данъчното облагане.</w:t>
      </w:r>
    </w:p>
    <w:p>
      <w:pPr>
        <w:spacing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Вторичното законодателство на ЕС осигурява целенасочени мерки за защита на най-уязвимите работници при уволнение. Това включва и защита на жените от уволнение по време на бременност. Директивата относно работата при непълно работно време</w:t>
      </w:r>
      <w:r>
        <w:rPr>
          <w:rFonts w:ascii="Times New Roman" w:eastAsia="Calibri" w:hAnsi="Times New Roman" w:cs="Times New Roman"/>
          <w:noProof/>
          <w:sz w:val="24"/>
          <w:szCs w:val="24"/>
          <w:vertAlign w:val="superscript"/>
          <w:lang w:val="bg-BG"/>
        </w:rPr>
        <w:footnoteReference w:id="34"/>
      </w:r>
      <w:r>
        <w:rPr>
          <w:rFonts w:ascii="Times New Roman" w:eastAsia="Calibri" w:hAnsi="Times New Roman" w:cs="Times New Roman"/>
          <w:noProof/>
          <w:sz w:val="24"/>
          <w:szCs w:val="24"/>
          <w:lang w:val="bg-BG"/>
        </w:rPr>
        <w:t>, Директивата за равенството между половете</w:t>
      </w:r>
      <w:r>
        <w:rPr>
          <w:rFonts w:ascii="Times New Roman" w:eastAsia="Calibri" w:hAnsi="Times New Roman" w:cs="Times New Roman"/>
          <w:noProof/>
          <w:sz w:val="24"/>
          <w:szCs w:val="24"/>
          <w:vertAlign w:val="superscript"/>
          <w:lang w:val="bg-BG"/>
        </w:rPr>
        <w:footnoteReference w:id="35"/>
      </w:r>
      <w:r>
        <w:rPr>
          <w:rFonts w:ascii="Times New Roman" w:eastAsia="Calibri" w:hAnsi="Times New Roman" w:cs="Times New Roman"/>
          <w:noProof/>
          <w:sz w:val="24"/>
          <w:szCs w:val="24"/>
          <w:lang w:val="bg-BG"/>
        </w:rPr>
        <w:t xml:space="preserve"> и Директивата за равно третиране на мъжете и жените, които извършват дейности в качеството на самостоятелно заети лица</w:t>
      </w:r>
      <w:r>
        <w:rPr>
          <w:rFonts w:ascii="Times New Roman" w:eastAsia="Calibri" w:hAnsi="Times New Roman" w:cs="Times New Roman"/>
          <w:noProof/>
          <w:sz w:val="24"/>
          <w:szCs w:val="24"/>
          <w:vertAlign w:val="superscript"/>
          <w:lang w:val="bg-BG"/>
        </w:rPr>
        <w:footnoteReference w:id="36"/>
      </w:r>
      <w:r>
        <w:rPr>
          <w:rFonts w:ascii="Times New Roman" w:eastAsia="Calibri" w:hAnsi="Times New Roman" w:cs="Times New Roman"/>
          <w:noProof/>
          <w:sz w:val="24"/>
          <w:szCs w:val="24"/>
          <w:lang w:val="bg-BG"/>
        </w:rPr>
        <w:t>, също предоставят защита от уволнение и неблагоприятно третиране. Директивата за прозрачни и предвидими условия на труд</w:t>
      </w:r>
      <w:r>
        <w:rPr>
          <w:rFonts w:ascii="Times New Roman" w:eastAsia="Calibri" w:hAnsi="Times New Roman" w:cs="Times New Roman"/>
          <w:noProof/>
          <w:sz w:val="24"/>
          <w:szCs w:val="24"/>
          <w:vertAlign w:val="superscript"/>
          <w:lang w:val="bg-BG"/>
        </w:rPr>
        <w:footnoteReference w:id="37"/>
      </w:r>
      <w:r>
        <w:rPr>
          <w:rFonts w:ascii="Times New Roman" w:eastAsia="Calibri" w:hAnsi="Times New Roman" w:cs="Times New Roman"/>
          <w:noProof/>
          <w:sz w:val="24"/>
          <w:szCs w:val="24"/>
          <w:lang w:val="bg-BG"/>
        </w:rPr>
        <w:t xml:space="preserve"> гарантира на работниците правото да бъдат информирани за продължителността на срока на предизвестие и забранява уволненията заради упражняване от работниците на правото им на информация. Наред с това Директивата относно равновесието между професионалния и личния живот</w:t>
      </w:r>
      <w:r>
        <w:rPr>
          <w:rFonts w:ascii="Times New Roman" w:eastAsia="Calibri" w:hAnsi="Times New Roman" w:cs="Times New Roman"/>
          <w:noProof/>
          <w:sz w:val="24"/>
          <w:szCs w:val="24"/>
          <w:vertAlign w:val="superscript"/>
          <w:lang w:val="bg-BG"/>
        </w:rPr>
        <w:footnoteReference w:id="38"/>
      </w:r>
      <w:r>
        <w:rPr>
          <w:rFonts w:ascii="Times New Roman" w:eastAsia="Calibri" w:hAnsi="Times New Roman" w:cs="Times New Roman"/>
          <w:noProof/>
          <w:sz w:val="24"/>
          <w:szCs w:val="24"/>
          <w:lang w:val="bg-BG"/>
        </w:rPr>
        <w:t xml:space="preserve"> забранява уволнението на основание, че работникът е подал молба за отпуск по бащинство, родителски отпуск или отпуск за лице, полагащо грижи, и за гъвкави схеми на работа.</w:t>
      </w:r>
    </w:p>
    <w:p>
      <w:pPr>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 xml:space="preserve">Силните връзки с националните системи за социална закрила и институциите на пазара на труда, както и различията между тях, а така също и необходимостта от зачитане на различните видове национални практики и модели на социален диалог, представляват сериозни основания гласуването с единодушие в Съвета да бъде запазено в тази област. Освен това някои от наскоро приетите директиви, посочени по-горе, ще започнат да се прилагат едва след изтичането на преходен период, поради което е твърде рано да се прави преценка за ефекта им в тази област. </w:t>
      </w:r>
      <w:r>
        <w:rPr>
          <w:rFonts w:ascii="Times New Roman" w:eastAsia="Calibri" w:hAnsi="Times New Roman" w:cs="Times New Roman"/>
          <w:b/>
          <w:noProof/>
          <w:sz w:val="24"/>
          <w:szCs w:val="24"/>
          <w:lang w:val="bg-BG"/>
        </w:rPr>
        <w:t>Понастоящем изглежда няма явна необходимост от използване на клаузата за преход по тези въпроси.</w:t>
      </w:r>
    </w:p>
    <w:p>
      <w:pPr>
        <w:keepNext/>
        <w:spacing w:after="240" w:line="240" w:lineRule="auto"/>
        <w:ind w:left="397" w:hanging="397"/>
        <w:jc w:val="both"/>
        <w:rPr>
          <w:rFonts w:ascii="Times New Roman" w:eastAsia="Times New Roman" w:hAnsi="Times New Roman" w:cs="Times New Roman"/>
          <w:b/>
          <w:i/>
          <w:noProof/>
          <w:sz w:val="24"/>
          <w:szCs w:val="24"/>
          <w:lang w:val="bg-BG"/>
        </w:rPr>
      </w:pPr>
      <w:r>
        <w:rPr>
          <w:rFonts w:ascii="Times New Roman" w:eastAsia="Calibri" w:hAnsi="Times New Roman" w:cs="Times New Roman"/>
          <w:b/>
          <w:i/>
          <w:noProof/>
          <w:sz w:val="24"/>
          <w:szCs w:val="24"/>
          <w:lang w:val="bg-BG"/>
        </w:rPr>
        <w:t xml:space="preserve">д) </w:t>
      </w:r>
      <w:r>
        <w:rPr>
          <w:rFonts w:ascii="Times New Roman" w:eastAsia="Calibri" w:hAnsi="Times New Roman" w:cs="Times New Roman"/>
          <w:b/>
          <w:i/>
          <w:noProof/>
          <w:sz w:val="24"/>
          <w:szCs w:val="24"/>
          <w:lang w:val="bg-BG"/>
        </w:rPr>
        <w:tab/>
        <w:t>Представителство и колективна защита на интересите на работниците и работодателите</w:t>
      </w:r>
    </w:p>
    <w:p>
      <w:pPr>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По отношение на представителството и колективната защита на интересите на работниците и работодателите, включително съвместното вземане на решения, има солидни общи принципи, произтичащи от Хартата на основните права на ЕС и Европейския стълб на социалните права</w:t>
      </w:r>
      <w:r>
        <w:rPr>
          <w:rFonts w:ascii="Times New Roman" w:eastAsia="Calibri" w:hAnsi="Times New Roman" w:cs="Times New Roman"/>
          <w:noProof/>
          <w:sz w:val="24"/>
          <w:szCs w:val="24"/>
          <w:vertAlign w:val="superscript"/>
          <w:lang w:val="bg-BG"/>
        </w:rPr>
        <w:footnoteReference w:id="39"/>
      </w:r>
      <w:r>
        <w:rPr>
          <w:rFonts w:ascii="Times New Roman" w:eastAsia="Calibri" w:hAnsi="Times New Roman" w:cs="Times New Roman"/>
          <w:noProof/>
          <w:sz w:val="24"/>
          <w:szCs w:val="24"/>
          <w:lang w:val="bg-BG"/>
        </w:rPr>
        <w:t>. В същото време правомощията на ЕС в тази област са сравнително строго ограничени от Договора, който изрично изключва мерките относно правото на сдружаване, правото на стачка и правото да се налага локаут</w:t>
      </w:r>
      <w:r>
        <w:rPr>
          <w:rFonts w:ascii="Times New Roman" w:eastAsia="Times New Roman" w:hAnsi="Times New Roman" w:cs="Times New Roman"/>
          <w:noProof/>
          <w:sz w:val="24"/>
          <w:szCs w:val="24"/>
          <w:vertAlign w:val="superscript"/>
          <w:lang w:val="bg-BG"/>
        </w:rPr>
        <w:footnoteReference w:id="40"/>
      </w:r>
      <w:r>
        <w:rPr>
          <w:rFonts w:ascii="Times New Roman" w:eastAsia="Calibri" w:hAnsi="Times New Roman" w:cs="Times New Roman"/>
          <w:noProof/>
          <w:sz w:val="24"/>
          <w:szCs w:val="24"/>
          <w:lang w:val="bg-BG"/>
        </w:rPr>
        <w:t>. Освен това не съществува специално законодателство на равнището на ЕС, което да регулира цялостно този въпрос.</w:t>
      </w:r>
      <w:r>
        <w:rPr>
          <w:rFonts w:ascii="Times New Roman" w:eastAsia="Times New Roman" w:hAnsi="Times New Roman" w:cs="Times New Roman"/>
          <w:noProof/>
          <w:sz w:val="24"/>
          <w:szCs w:val="24"/>
          <w:vertAlign w:val="superscript"/>
          <w:lang w:val="bg-BG"/>
        </w:rPr>
        <w:footnoteReference w:id="41"/>
      </w:r>
      <w:r>
        <w:rPr>
          <w:rFonts w:ascii="Times New Roman" w:eastAsia="Calibri" w:hAnsi="Times New Roman" w:cs="Times New Roman"/>
          <w:noProof/>
          <w:sz w:val="24"/>
          <w:szCs w:val="24"/>
          <w:lang w:val="bg-BG"/>
        </w:rPr>
        <w:t xml:space="preserve"> </w:t>
      </w:r>
    </w:p>
    <w:p>
      <w:pPr>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Правилата и традициите, отнасящи се до представителството и колективната защита, варират значително на национално равнище. В отделните държави членки има големи различия в степента на представителство на социалните партньори, участието им като цяло при вземането на решения и разпространението и централизирането на колективното договаряне. Освен това в 18 държави членки има модели за представителство на работниците в управителните органи на предприятията, като тези модели се различават съществено едни от други.</w:t>
      </w:r>
    </w:p>
    <w:p>
      <w:pPr>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 xml:space="preserve">Комисията продължава да е ангажирана с оказването на подкрепа за изграждането на капацитета на социалните партньори, в съответствие с четиристранното съвместно изявление на председателството на Съвета на Европейския съюз, Комисията и европейските социални партньори за </w:t>
      </w:r>
      <w:r>
        <w:rPr>
          <w:rFonts w:ascii="Times New Roman" w:eastAsia="Calibri" w:hAnsi="Times New Roman" w:cs="Times New Roman"/>
          <w:i/>
          <w:noProof/>
          <w:sz w:val="24"/>
          <w:szCs w:val="24"/>
          <w:lang w:val="bg-BG"/>
        </w:rPr>
        <w:t>Ново начало на социалния диалог</w:t>
      </w:r>
      <w:r>
        <w:rPr>
          <w:rFonts w:ascii="Times New Roman" w:eastAsia="Calibri" w:hAnsi="Times New Roman" w:cs="Times New Roman"/>
          <w:noProof/>
          <w:sz w:val="24"/>
          <w:szCs w:val="24"/>
          <w:lang w:val="bg-BG"/>
        </w:rPr>
        <w:t>.</w:t>
      </w:r>
      <w:r>
        <w:rPr>
          <w:rFonts w:ascii="Times New Roman" w:eastAsia="Times New Roman" w:hAnsi="Times New Roman" w:cs="Times New Roman"/>
          <w:noProof/>
          <w:sz w:val="24"/>
          <w:szCs w:val="24"/>
          <w:vertAlign w:val="superscript"/>
          <w:lang w:val="bg-BG"/>
        </w:rPr>
        <w:footnoteReference w:id="42"/>
      </w:r>
    </w:p>
    <w:p>
      <w:pPr>
        <w:spacing w:after="240" w:line="240" w:lineRule="auto"/>
        <w:jc w:val="both"/>
        <w:rPr>
          <w:rFonts w:ascii="Times New Roman" w:eastAsia="Times New Roman" w:hAnsi="Times New Roman" w:cs="Times New Roman"/>
          <w:noProof/>
          <w:sz w:val="24"/>
          <w:szCs w:val="24"/>
          <w:lang w:val="bg-BG"/>
        </w:rPr>
      </w:pPr>
      <w:r>
        <w:rPr>
          <w:rFonts w:ascii="Times New Roman" w:eastAsia="Calibri" w:hAnsi="Times New Roman" w:cs="Times New Roman"/>
          <w:noProof/>
          <w:sz w:val="24"/>
          <w:szCs w:val="24"/>
          <w:lang w:val="bg-BG"/>
        </w:rPr>
        <w:t>Комисията приветства автономната работна програма за периода 2019—2021 г., договорена между междуотрасловите социални партньори в ЕС на 6 февруари 2019 г.</w:t>
      </w:r>
      <w:r>
        <w:rPr>
          <w:rFonts w:ascii="Times New Roman" w:eastAsia="Times New Roman" w:hAnsi="Times New Roman" w:cs="Times New Roman"/>
          <w:noProof/>
          <w:sz w:val="24"/>
          <w:szCs w:val="24"/>
          <w:vertAlign w:val="superscript"/>
          <w:lang w:val="bg-BG"/>
        </w:rPr>
        <w:footnoteReference w:id="43"/>
      </w:r>
      <w:r>
        <w:rPr>
          <w:rFonts w:ascii="Times New Roman" w:eastAsia="Calibri" w:hAnsi="Times New Roman" w:cs="Times New Roman"/>
          <w:noProof/>
          <w:sz w:val="24"/>
          <w:szCs w:val="24"/>
          <w:lang w:val="bg-BG"/>
        </w:rPr>
        <w:t>, която свидетелства за тяхната силна воля да насърчават решения, насочени към изграждането на справедлива, конкурентоспособна и устойчива Европа.</w:t>
      </w:r>
    </w:p>
    <w:p>
      <w:pPr>
        <w:spacing w:after="240" w:line="240" w:lineRule="auto"/>
        <w:jc w:val="both"/>
        <w:rPr>
          <w:rFonts w:ascii="Times New Roman" w:eastAsia="Times New Roman" w:hAnsi="Times New Roman" w:cs="Times New Roman"/>
          <w:b/>
          <w:noProof/>
          <w:sz w:val="24"/>
          <w:szCs w:val="24"/>
          <w:lang w:val="bg-BG"/>
        </w:rPr>
      </w:pPr>
      <w:r>
        <w:rPr>
          <w:rFonts w:ascii="Times New Roman" w:eastAsia="Calibri" w:hAnsi="Times New Roman" w:cs="Times New Roman"/>
          <w:noProof/>
          <w:sz w:val="24"/>
          <w:szCs w:val="24"/>
          <w:lang w:val="bg-BG"/>
        </w:rPr>
        <w:t xml:space="preserve">Силните връзки с националните правила и традиции в областта на представителството и колективната защита, както и различията между тях, представляват сериозни основания гласуването с единодушие в Съвета да бъде запазено в тази област. </w:t>
      </w:r>
      <w:r>
        <w:rPr>
          <w:rFonts w:ascii="Times New Roman" w:eastAsia="Calibri" w:hAnsi="Times New Roman" w:cs="Times New Roman"/>
          <w:b/>
          <w:noProof/>
          <w:sz w:val="24"/>
          <w:szCs w:val="24"/>
          <w:lang w:val="bg-BG"/>
        </w:rPr>
        <w:t>Понастоящем изглежда няма явна необходимост от използване на клаузата за преход по тези въпроси.</w:t>
      </w:r>
    </w:p>
    <w:p>
      <w:pPr>
        <w:spacing w:after="240" w:line="240" w:lineRule="auto"/>
        <w:jc w:val="both"/>
        <w:rPr>
          <w:rFonts w:ascii="Times New Roman" w:eastAsia="Times New Roman" w:hAnsi="Times New Roman" w:cs="Times New Roman"/>
          <w:b/>
          <w:noProof/>
          <w:sz w:val="24"/>
          <w:szCs w:val="24"/>
          <w:lang w:val="bg-BG"/>
        </w:rPr>
      </w:pPr>
    </w:p>
    <w:p>
      <w:pPr>
        <w:keepNext/>
        <w:numPr>
          <w:ilvl w:val="0"/>
          <w:numId w:val="100"/>
        </w:numPr>
        <w:suppressAutoHyphens/>
        <w:spacing w:after="240" w:line="240" w:lineRule="auto"/>
        <w:jc w:val="both"/>
        <w:rPr>
          <w:rFonts w:ascii="Times New Roman" w:eastAsia="SimSun" w:hAnsi="Times New Roman" w:cs="Times New Roman"/>
          <w:b/>
          <w:noProof/>
          <w:sz w:val="24"/>
          <w:szCs w:val="24"/>
          <w:lang w:val="bg-BG" w:eastAsia="ar-SA"/>
        </w:rPr>
      </w:pPr>
      <w:r>
        <w:rPr>
          <w:rFonts w:ascii="Times New Roman" w:eastAsia="SimSun" w:hAnsi="Times New Roman" w:cs="font413"/>
          <w:b/>
          <w:noProof/>
          <w:sz w:val="24"/>
          <w:szCs w:val="24"/>
          <w:lang w:val="bg-BG" w:eastAsia="ar-SA"/>
        </w:rPr>
        <w:t>Заключения и следващи стъпки</w:t>
      </w:r>
    </w:p>
    <w:p>
      <w:pPr>
        <w:spacing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В социалната област ЕС вече разполага с ефективни, бързи и гъвкави процеси за вземане на решения, позволяващи му да постига своите цели да насърчава благоденствието на хората, живеещи в него, силно конкурентната социална пазарна икономика, пълната заетост и социалния прогрес, да се бори срещу социалното изключване и дискриминацията и да намира решения в отговор на предизвикателствата на бъдещия пазар на труда, в лицето на световните тенденции, като цифровизацията, застаряването на населението и миграцията.</w:t>
      </w:r>
    </w:p>
    <w:p>
      <w:pPr>
        <w:spacing w:after="12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С оглед на съображенията, изложени в настоящото съобщение:</w:t>
      </w:r>
    </w:p>
    <w:p>
      <w:pPr>
        <w:numPr>
          <w:ilvl w:val="0"/>
          <w:numId w:val="105"/>
        </w:numPr>
        <w:suppressAutoHyphens/>
        <w:spacing w:after="120" w:line="240" w:lineRule="auto"/>
        <w:jc w:val="both"/>
        <w:rPr>
          <w:rFonts w:ascii="Times New Roman" w:eastAsia="Times New Roman" w:hAnsi="Times New Roman" w:cs="Times New Roman"/>
          <w:noProof/>
          <w:sz w:val="24"/>
          <w:szCs w:val="24"/>
          <w:lang w:val="bg-BG" w:eastAsia="ar-SA"/>
        </w:rPr>
      </w:pPr>
      <w:r>
        <w:rPr>
          <w:rFonts w:ascii="Times New Roman" w:eastAsia="SimSun" w:hAnsi="Times New Roman" w:cs="font413"/>
          <w:noProof/>
          <w:sz w:val="24"/>
          <w:szCs w:val="24"/>
          <w:lang w:val="bg-BG" w:eastAsia="ar-SA"/>
        </w:rPr>
        <w:t>По отношение на областите, в които решенията все още се вземат с единодушие, преминаването към гласуване с квалифицирано мнозинство или към обикновената законодателна процедура със сигурност би могло да направи вземането на решения в ЕС по-бързо, по-гъвкаво и по-ефикасно. Това би стимулирало и култура на компромиса и би улеснило вземането на решения, отговарящи на нуждите на гражданите и на икономиката на ЕС като цяло, с което би се гарантирал справедлив единен пазар.</w:t>
      </w:r>
    </w:p>
    <w:p>
      <w:pPr>
        <w:numPr>
          <w:ilvl w:val="0"/>
          <w:numId w:val="105"/>
        </w:numPr>
        <w:suppressAutoHyphens/>
        <w:spacing w:after="120" w:line="240" w:lineRule="auto"/>
        <w:jc w:val="both"/>
        <w:rPr>
          <w:rFonts w:ascii="Calibri" w:eastAsia="SimSun" w:hAnsi="Calibri" w:cs="font413"/>
          <w:noProof/>
          <w:lang w:val="bg-BG" w:eastAsia="ar-SA"/>
        </w:rPr>
      </w:pPr>
      <w:r>
        <w:rPr>
          <w:rFonts w:ascii="Times New Roman" w:eastAsia="SimSun" w:hAnsi="Times New Roman" w:cs="font413"/>
          <w:noProof/>
          <w:sz w:val="24"/>
          <w:szCs w:val="24"/>
          <w:lang w:val="bg-BG" w:eastAsia="ar-SA"/>
        </w:rPr>
        <w:t xml:space="preserve">Независимо от това, при използването на клаузите за преход, предвидени в Договорите, е обосновано да се прилага селективен подход, съобразен с всеки отделен случай. Не всички области на социалната политика, по отношение на които все още се прилагат единодушие и специални законодателни процедури, имат еднакво значение за подобряването на способността на Съюза за предприемане на действия; </w:t>
      </w:r>
    </w:p>
    <w:p>
      <w:pPr>
        <w:numPr>
          <w:ilvl w:val="0"/>
          <w:numId w:val="105"/>
        </w:numPr>
        <w:suppressAutoHyphens/>
        <w:spacing w:after="120" w:line="240" w:lineRule="auto"/>
        <w:jc w:val="both"/>
        <w:rPr>
          <w:rFonts w:ascii="Calibri" w:eastAsia="SimSun" w:hAnsi="Calibri" w:cs="font413"/>
          <w:noProof/>
          <w:lang w:val="bg-BG" w:eastAsia="ar-SA"/>
        </w:rPr>
      </w:pPr>
      <w:r>
        <w:rPr>
          <w:rFonts w:ascii="Times New Roman" w:eastAsia="SimSun" w:hAnsi="Times New Roman" w:cs="font413"/>
          <w:noProof/>
          <w:sz w:val="24"/>
          <w:szCs w:val="24"/>
          <w:lang w:val="bg-BG" w:eastAsia="ar-SA"/>
        </w:rPr>
        <w:t xml:space="preserve">Според Комисията е важно да се обмисли възможността за използване на общата клауза за преход с цел улесняване на вземането на решения по въпросите, свързани с </w:t>
      </w:r>
      <w:r>
        <w:rPr>
          <w:rFonts w:ascii="Times New Roman" w:eastAsia="SimSun" w:hAnsi="Times New Roman" w:cs="font413"/>
          <w:b/>
          <w:noProof/>
          <w:sz w:val="24"/>
          <w:szCs w:val="24"/>
          <w:lang w:val="bg-BG" w:eastAsia="ar-SA"/>
        </w:rPr>
        <w:t>недискриминацията</w:t>
      </w:r>
      <w:r>
        <w:rPr>
          <w:rFonts w:ascii="Times New Roman" w:eastAsia="SimSun" w:hAnsi="Times New Roman" w:cs="font413"/>
          <w:noProof/>
          <w:sz w:val="24"/>
          <w:szCs w:val="24"/>
          <w:lang w:val="bg-BG" w:eastAsia="ar-SA"/>
        </w:rPr>
        <w:t xml:space="preserve"> и приемането на </w:t>
      </w:r>
      <w:r>
        <w:rPr>
          <w:rFonts w:ascii="Times New Roman" w:eastAsia="SimSun" w:hAnsi="Times New Roman" w:cs="font413"/>
          <w:b/>
          <w:noProof/>
          <w:sz w:val="24"/>
          <w:szCs w:val="24"/>
          <w:lang w:val="bg-BG" w:eastAsia="ar-SA"/>
        </w:rPr>
        <w:t>препоръки в областта на социалната сигурност и социалната закрила на работниците</w:t>
      </w:r>
      <w:r>
        <w:rPr>
          <w:rFonts w:ascii="Times New Roman" w:eastAsia="SimSun" w:hAnsi="Times New Roman" w:cs="font413"/>
          <w:noProof/>
          <w:sz w:val="24"/>
          <w:szCs w:val="24"/>
          <w:lang w:val="bg-BG" w:eastAsia="ar-SA"/>
        </w:rPr>
        <w:t xml:space="preserve"> в близко бъдеще. За останалите области (условия за наемане на работа на законно пребиваващи граждани на трети държави, уволнения и представителство и колективна защита на интересите на работниците и работодателите) понастоящем изглежда, че няма явна необходимост от използване на съответната клауза за преход, но Комисията е готова да преразгледа ситуацията в бъдеще.</w:t>
      </w:r>
    </w:p>
    <w:p>
      <w:pPr>
        <w:numPr>
          <w:ilvl w:val="0"/>
          <w:numId w:val="105"/>
        </w:numPr>
        <w:suppressAutoHyphens/>
        <w:spacing w:after="120" w:line="240" w:lineRule="auto"/>
        <w:jc w:val="both"/>
        <w:rPr>
          <w:rFonts w:ascii="Times New Roman" w:eastAsia="SimSun" w:hAnsi="Times New Roman" w:cs="Times New Roman"/>
          <w:noProof/>
          <w:sz w:val="24"/>
          <w:szCs w:val="24"/>
          <w:lang w:val="bg-BG" w:eastAsia="ar-SA"/>
        </w:rPr>
      </w:pPr>
      <w:r>
        <w:rPr>
          <w:rFonts w:ascii="Times New Roman" w:eastAsia="SimSun" w:hAnsi="Times New Roman" w:cs="font413"/>
          <w:noProof/>
          <w:sz w:val="24"/>
          <w:szCs w:val="24"/>
          <w:lang w:val="bg-BG" w:eastAsia="ar-SA"/>
        </w:rPr>
        <w:t xml:space="preserve">За активирането на клаузата за преход в областите на недискриминацията и социалната сигурност и социалната закрила на работниците ще бъде необходимо Европейският съвет да вземе решение в този смисъл, следвайки процедурата, предвидена в член 48, параграф 7 от ДЕС, както е посочено в точка 4 от настоящото съобщение. </w:t>
      </w:r>
    </w:p>
    <w:p>
      <w:pPr>
        <w:spacing w:after="240" w:line="240" w:lineRule="auto"/>
        <w:jc w:val="both"/>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Комисията приканва Европейския парламент, Европейския съвет, Съвета, Европейския икономически и социален комитет, Комитета на регионите, социалните партньори и всички заинтересовани страни да започнат открит дебат относно засиленото използване на гласуването с квалифицирано мнозинство или на обикновената законодателна процедура в областта на социалната политика, като използват за основа настоящото съобщение.</w:t>
      </w:r>
    </w:p>
    <w:p>
      <w:pPr>
        <w:spacing w:after="240" w:line="240" w:lineRule="auto"/>
        <w:contextualSpacing/>
        <w:jc w:val="center"/>
        <w:rPr>
          <w:rFonts w:ascii="Times New Roman" w:eastAsia="Calibri" w:hAnsi="Times New Roman" w:cs="Times New Roman"/>
          <w:noProof/>
          <w:sz w:val="24"/>
          <w:szCs w:val="24"/>
          <w:lang w:val="bg-BG"/>
        </w:rPr>
      </w:pPr>
      <w:r>
        <w:rPr>
          <w:rFonts w:ascii="Times New Roman" w:eastAsia="Calibri" w:hAnsi="Times New Roman" w:cs="Times New Roman"/>
          <w:noProof/>
          <w:sz w:val="24"/>
          <w:szCs w:val="24"/>
          <w:lang w:val="bg-BG"/>
        </w:rPr>
        <w:t>***</w:t>
      </w:r>
    </w:p>
    <w:p>
      <w:pPr>
        <w:keepNext/>
        <w:spacing w:after="240" w:line="240" w:lineRule="auto"/>
        <w:ind w:left="397" w:hanging="397"/>
        <w:jc w:val="both"/>
        <w:rPr>
          <w:rFonts w:ascii="Times New Roman" w:hAnsi="Times New Roman" w:cs="Times New Roman"/>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ont413">
    <w:altName w:val="MS Gothic"/>
    <w:charset w:val="80"/>
    <w:family w:val="roman"/>
    <w:pitch w:val="default"/>
  </w:font>
  <w:font w:name="Segoe UI">
    <w:panose1 w:val="020B0502040204020203"/>
    <w:charset w:val="00"/>
    <w:family w:val="swiss"/>
    <w:pitch w:val="variable"/>
    <w:sig w:usb0="E10022FF" w:usb1="C000E47F" w:usb2="00000029" w:usb3="00000000" w:csb0="000001DF" w:csb1="00000000"/>
  </w:font>
  <w:font w:name="DaxlinePro">
    <w:altName w:val="DaxlinePro"/>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92282"/>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spacing w:after="0" w:line="240" w:lineRule="auto"/>
        <w:ind w:left="284" w:hanging="284"/>
        <w:jc w:val="both"/>
        <w:rPr>
          <w:rFonts w:ascii="Times New Roman" w:eastAsia="Times New Roman" w:hAnsi="Times New Roman" w:cs="Times New Roman"/>
          <w:bCs/>
          <w:kern w:val="36"/>
        </w:rPr>
      </w:pPr>
      <w:r>
        <w:rPr>
          <w:rStyle w:val="FootnoteReference"/>
        </w:rPr>
        <w:footnoteRef/>
      </w:r>
      <w:r>
        <w:t xml:space="preserve"> </w:t>
      </w:r>
      <w:r>
        <w:tab/>
      </w:r>
      <w:r>
        <w:rPr>
          <w:rFonts w:ascii="Times New Roman" w:hAnsi="Times New Roman"/>
          <w:bCs/>
        </w:rPr>
        <w:t xml:space="preserve">Вж. повече информация на следния адрес: </w:t>
      </w:r>
    </w:p>
    <w:p>
      <w:pPr>
        <w:pStyle w:val="footnotetext1"/>
        <w:spacing w:after="0" w:line="240" w:lineRule="auto"/>
        <w:ind w:left="284" w:firstLine="0"/>
        <w:jc w:val="both"/>
        <w:rPr>
          <w:rFonts w:ascii="Times New Roman" w:eastAsia="Times New Roman" w:hAnsi="Times New Roman" w:cs="Times New Roman"/>
          <w:bCs/>
          <w:kern w:val="36"/>
        </w:rPr>
      </w:pPr>
      <w:hyperlink r:id="rId1" w:history="1">
        <w:r>
          <w:rPr>
            <w:rStyle w:val="Hyperlink"/>
            <w:rFonts w:ascii="Times New Roman" w:hAnsi="Times New Roman"/>
            <w:bCs/>
          </w:rPr>
          <w:t>Https://ec.europa.eu/commission/sites/beta-political/files/social_priorities_juncker_commission_en.pdf,</w:t>
        </w:r>
      </w:hyperlink>
      <w:r>
        <w:rPr>
          <w:rFonts w:ascii="Times New Roman" w:hAnsi="Times New Roman"/>
          <w:bCs/>
        </w:rPr>
        <w:t>, както и в приложение 2.</w:t>
      </w:r>
    </w:p>
  </w:footnote>
  <w:footnote w:id="3">
    <w:p>
      <w:pPr>
        <w:pStyle w:val="Heading1"/>
        <w:spacing w:before="0" w:beforeAutospacing="0" w:after="0" w:afterAutospacing="0"/>
        <w:ind w:left="284" w:hanging="284"/>
        <w:jc w:val="both"/>
        <w:rPr>
          <w:sz w:val="20"/>
          <w:szCs w:val="20"/>
          <w:lang w:val="en-GB"/>
        </w:rPr>
      </w:pPr>
      <w:r>
        <w:rPr>
          <w:rStyle w:val="FootnoteReference"/>
          <w:b w:val="0"/>
          <w:sz w:val="20"/>
          <w:szCs w:val="20"/>
          <w:lang w:val="en-GB"/>
        </w:rPr>
        <w:footnoteRef/>
      </w:r>
      <w:r>
        <w:rPr>
          <w:b w:val="0"/>
          <w:sz w:val="20"/>
          <w:szCs w:val="20"/>
          <w:lang w:val="en-GB"/>
        </w:rPr>
        <w:t xml:space="preserve"> </w:t>
      </w:r>
      <w:r>
        <w:rPr>
          <w:b w:val="0"/>
          <w:sz w:val="20"/>
          <w:szCs w:val="20"/>
          <w:lang w:val="en-GB"/>
        </w:rPr>
        <w:tab/>
      </w:r>
      <w:r>
        <w:rPr>
          <w:b w:val="0"/>
          <w:sz w:val="20"/>
          <w:szCs w:val="20"/>
        </w:rPr>
        <w:t>Декларация</w:t>
      </w:r>
      <w:r>
        <w:rPr>
          <w:b w:val="0"/>
          <w:sz w:val="20"/>
          <w:szCs w:val="20"/>
          <w:lang w:val="en-GB"/>
        </w:rPr>
        <w:t xml:space="preserve"> </w:t>
      </w:r>
      <w:r>
        <w:rPr>
          <w:b w:val="0"/>
          <w:sz w:val="20"/>
          <w:szCs w:val="20"/>
        </w:rPr>
        <w:t>на</w:t>
      </w:r>
      <w:r>
        <w:rPr>
          <w:b w:val="0"/>
          <w:sz w:val="20"/>
          <w:szCs w:val="20"/>
          <w:lang w:val="en-GB"/>
        </w:rPr>
        <w:t xml:space="preserve"> </w:t>
      </w:r>
      <w:r>
        <w:rPr>
          <w:b w:val="0"/>
          <w:sz w:val="20"/>
          <w:szCs w:val="20"/>
        </w:rPr>
        <w:t>ръководителите</w:t>
      </w:r>
      <w:r>
        <w:rPr>
          <w:b w:val="0"/>
          <w:sz w:val="20"/>
          <w:szCs w:val="20"/>
          <w:lang w:val="en-GB"/>
        </w:rPr>
        <w:t xml:space="preserve"> </w:t>
      </w:r>
      <w:r>
        <w:rPr>
          <w:b w:val="0"/>
          <w:sz w:val="20"/>
          <w:szCs w:val="20"/>
        </w:rPr>
        <w:t>на</w:t>
      </w:r>
      <w:r>
        <w:rPr>
          <w:b w:val="0"/>
          <w:sz w:val="20"/>
          <w:szCs w:val="20"/>
          <w:lang w:val="en-GB"/>
        </w:rPr>
        <w:t xml:space="preserve"> 27 </w:t>
      </w:r>
      <w:r>
        <w:rPr>
          <w:b w:val="0"/>
          <w:sz w:val="20"/>
          <w:szCs w:val="20"/>
        </w:rPr>
        <w:t>държави</w:t>
      </w:r>
      <w:r>
        <w:rPr>
          <w:b w:val="0"/>
          <w:sz w:val="20"/>
          <w:szCs w:val="20"/>
          <w:lang w:val="en-GB"/>
        </w:rPr>
        <w:t xml:space="preserve"> </w:t>
      </w:r>
      <w:r>
        <w:rPr>
          <w:b w:val="0"/>
          <w:sz w:val="20"/>
          <w:szCs w:val="20"/>
        </w:rPr>
        <w:t>членки</w:t>
      </w:r>
      <w:r>
        <w:rPr>
          <w:b w:val="0"/>
          <w:sz w:val="20"/>
          <w:szCs w:val="20"/>
          <w:lang w:val="en-GB"/>
        </w:rPr>
        <w:t xml:space="preserve"> </w:t>
      </w:r>
      <w:r>
        <w:rPr>
          <w:b w:val="0"/>
          <w:sz w:val="20"/>
          <w:szCs w:val="20"/>
        </w:rPr>
        <w:t>и</w:t>
      </w:r>
      <w:r>
        <w:rPr>
          <w:b w:val="0"/>
          <w:sz w:val="20"/>
          <w:szCs w:val="20"/>
          <w:lang w:val="en-GB"/>
        </w:rPr>
        <w:t xml:space="preserve"> </w:t>
      </w:r>
      <w:r>
        <w:rPr>
          <w:b w:val="0"/>
          <w:sz w:val="20"/>
          <w:szCs w:val="20"/>
        </w:rPr>
        <w:t>на</w:t>
      </w:r>
      <w:r>
        <w:rPr>
          <w:b w:val="0"/>
          <w:sz w:val="20"/>
          <w:szCs w:val="20"/>
          <w:lang w:val="en-GB"/>
        </w:rPr>
        <w:t xml:space="preserve"> </w:t>
      </w:r>
      <w:r>
        <w:rPr>
          <w:b w:val="0"/>
          <w:sz w:val="20"/>
          <w:szCs w:val="20"/>
        </w:rPr>
        <w:t>Европейския</w:t>
      </w:r>
      <w:r>
        <w:rPr>
          <w:b w:val="0"/>
          <w:sz w:val="20"/>
          <w:szCs w:val="20"/>
          <w:lang w:val="en-GB"/>
        </w:rPr>
        <w:t xml:space="preserve"> </w:t>
      </w:r>
      <w:r>
        <w:rPr>
          <w:b w:val="0"/>
          <w:sz w:val="20"/>
          <w:szCs w:val="20"/>
        </w:rPr>
        <w:t>съвет</w:t>
      </w:r>
      <w:r>
        <w:rPr>
          <w:b w:val="0"/>
          <w:sz w:val="20"/>
          <w:szCs w:val="20"/>
          <w:lang w:val="en-GB"/>
        </w:rPr>
        <w:t xml:space="preserve">, </w:t>
      </w:r>
      <w:r>
        <w:rPr>
          <w:b w:val="0"/>
          <w:sz w:val="20"/>
          <w:szCs w:val="20"/>
        </w:rPr>
        <w:t>Европейския</w:t>
      </w:r>
      <w:r>
        <w:rPr>
          <w:b w:val="0"/>
          <w:sz w:val="20"/>
          <w:szCs w:val="20"/>
          <w:lang w:val="en-GB"/>
        </w:rPr>
        <w:t xml:space="preserve"> </w:t>
      </w:r>
      <w:r>
        <w:rPr>
          <w:b w:val="0"/>
          <w:sz w:val="20"/>
          <w:szCs w:val="20"/>
        </w:rPr>
        <w:t>парламент</w:t>
      </w:r>
      <w:r>
        <w:rPr>
          <w:b w:val="0"/>
          <w:sz w:val="20"/>
          <w:szCs w:val="20"/>
          <w:lang w:val="en-GB"/>
        </w:rPr>
        <w:t xml:space="preserve"> </w:t>
      </w:r>
      <w:r>
        <w:rPr>
          <w:b w:val="0"/>
          <w:sz w:val="20"/>
          <w:szCs w:val="20"/>
        </w:rPr>
        <w:t>и</w:t>
      </w:r>
      <w:r>
        <w:rPr>
          <w:b w:val="0"/>
          <w:sz w:val="20"/>
          <w:szCs w:val="20"/>
          <w:lang w:val="en-GB"/>
        </w:rPr>
        <w:t xml:space="preserve"> </w:t>
      </w:r>
      <w:r>
        <w:rPr>
          <w:b w:val="0"/>
          <w:sz w:val="20"/>
          <w:szCs w:val="20"/>
        </w:rPr>
        <w:t>Европейската</w:t>
      </w:r>
      <w:r>
        <w:rPr>
          <w:b w:val="0"/>
          <w:sz w:val="20"/>
          <w:szCs w:val="20"/>
          <w:lang w:val="en-GB"/>
        </w:rPr>
        <w:t xml:space="preserve"> </w:t>
      </w:r>
      <w:r>
        <w:rPr>
          <w:b w:val="0"/>
          <w:sz w:val="20"/>
          <w:szCs w:val="20"/>
        </w:rPr>
        <w:t>комисия</w:t>
      </w:r>
      <w:r>
        <w:rPr>
          <w:b w:val="0"/>
          <w:sz w:val="20"/>
          <w:szCs w:val="20"/>
          <w:lang w:val="en-GB"/>
        </w:rPr>
        <w:t xml:space="preserve"> (</w:t>
      </w:r>
      <w:r>
        <w:rPr>
          <w:b w:val="0"/>
          <w:sz w:val="20"/>
          <w:szCs w:val="20"/>
        </w:rPr>
        <w:t>Рим</w:t>
      </w:r>
      <w:r>
        <w:rPr>
          <w:b w:val="0"/>
          <w:sz w:val="20"/>
          <w:szCs w:val="20"/>
          <w:lang w:val="en-GB"/>
        </w:rPr>
        <w:t xml:space="preserve">, 25 </w:t>
      </w:r>
      <w:r>
        <w:rPr>
          <w:b w:val="0"/>
          <w:sz w:val="20"/>
          <w:szCs w:val="20"/>
        </w:rPr>
        <w:t>март</w:t>
      </w:r>
      <w:r>
        <w:rPr>
          <w:b w:val="0"/>
          <w:sz w:val="20"/>
          <w:szCs w:val="20"/>
          <w:lang w:val="en-GB"/>
        </w:rPr>
        <w:t xml:space="preserve"> 2017 </w:t>
      </w:r>
      <w:r>
        <w:rPr>
          <w:b w:val="0"/>
          <w:sz w:val="20"/>
          <w:szCs w:val="20"/>
        </w:rPr>
        <w:t>г</w:t>
      </w:r>
      <w:r>
        <w:rPr>
          <w:b w:val="0"/>
          <w:sz w:val="20"/>
          <w:szCs w:val="20"/>
          <w:lang w:val="en-GB"/>
        </w:rPr>
        <w:t>.) —</w:t>
      </w:r>
      <w:r>
        <w:rPr>
          <w:b w:val="0"/>
          <w:sz w:val="20"/>
          <w:szCs w:val="20"/>
          <w:lang w:val="en-GB"/>
        </w:rPr>
        <w:tab/>
      </w:r>
      <w:r>
        <w:rPr>
          <w:b w:val="0"/>
          <w:sz w:val="20"/>
          <w:szCs w:val="20"/>
          <w:lang w:val="en-GB"/>
        </w:rPr>
        <w:br/>
      </w:r>
      <w:hyperlink r:id="rId2" w:history="1">
        <w:r>
          <w:rPr>
            <w:rStyle w:val="Hyperlink"/>
            <w:b w:val="0"/>
            <w:sz w:val="20"/>
            <w:szCs w:val="20"/>
            <w:lang w:val="en-GB"/>
          </w:rPr>
          <w:t>http://europa.eu/rapid/press-release_STATEMENT-17-767_bg.htm</w:t>
        </w:r>
      </w:hyperlink>
    </w:p>
  </w:footnote>
  <w:footnote w:id="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Стълбът бе прогласен от Европейския парламент, Съвета и Комисията по време на Социалната среща на върха за справедливи работни места и растеж в Гьотеборг (ноември 2017 г). </w:t>
      </w:r>
      <w:hyperlink r:id="rId3" w:history="1">
        <w:r>
          <w:rPr>
            <w:rStyle w:val="Hyperlink"/>
            <w:rFonts w:ascii="Times New Roman" w:hAnsi="Times New Roman"/>
          </w:rPr>
          <w:t>https://ec.europa.eu/commission/priorities_bg</w:t>
        </w:r>
      </w:hyperlink>
      <w:hyperlink r:id="rId4" w:history="1">
        <w:r>
          <w:rPr>
            <w:rStyle w:val="Hyperlink"/>
            <w:rFonts w:ascii="Times New Roman" w:hAnsi="Times New Roman"/>
          </w:rPr>
          <w:br/>
          <w:t>https://ec.europa.eu/commission/priorities/deeper-and-fairer-economic-and-monetary-union_bg</w:t>
        </w:r>
      </w:hyperlink>
      <w:r>
        <w:rPr>
          <w:rFonts w:ascii="Times New Roman" w:hAnsi="Times New Roman"/>
        </w:rPr>
        <w:t xml:space="preserve"> </w:t>
      </w:r>
    </w:p>
  </w:footnote>
  <w:footnote w:id="5">
    <w:p>
      <w:pPr>
        <w:pStyle w:val="Heading1"/>
        <w:spacing w:before="0" w:beforeAutospacing="0" w:after="0" w:afterAutospacing="0"/>
        <w:ind w:left="284" w:hanging="284"/>
        <w:jc w:val="both"/>
        <w:rPr>
          <w:lang w:val="en-GB"/>
        </w:rPr>
      </w:pPr>
      <w:r>
        <w:rPr>
          <w:rStyle w:val="FootnoteReference"/>
          <w:rFonts w:eastAsia="SimSun"/>
          <w:b w:val="0"/>
          <w:bCs w:val="0"/>
          <w:kern w:val="0"/>
          <w:sz w:val="20"/>
          <w:szCs w:val="20"/>
          <w:lang w:val="en-GB" w:eastAsia="ar-SA"/>
        </w:rPr>
        <w:footnoteRef/>
      </w:r>
      <w:r>
        <w:rPr>
          <w:b w:val="0"/>
          <w:sz w:val="20"/>
          <w:szCs w:val="20"/>
          <w:lang w:val="en-GB"/>
        </w:rPr>
        <w:t xml:space="preserve"> </w:t>
      </w:r>
      <w:r>
        <w:rPr>
          <w:b w:val="0"/>
          <w:sz w:val="20"/>
          <w:szCs w:val="20"/>
          <w:lang w:val="en-GB"/>
        </w:rPr>
        <w:tab/>
      </w:r>
      <w:r>
        <w:rPr>
          <w:b w:val="0"/>
          <w:sz w:val="20"/>
          <w:szCs w:val="20"/>
        </w:rPr>
        <w:t>Вж</w:t>
      </w:r>
      <w:r>
        <w:rPr>
          <w:b w:val="0"/>
          <w:sz w:val="20"/>
          <w:szCs w:val="20"/>
          <w:lang w:val="en-GB"/>
        </w:rPr>
        <w:t xml:space="preserve">. </w:t>
      </w:r>
      <w:r>
        <w:rPr>
          <w:b w:val="0"/>
          <w:sz w:val="20"/>
          <w:szCs w:val="20"/>
        </w:rPr>
        <w:t>приложение</w:t>
      </w:r>
      <w:r>
        <w:rPr>
          <w:b w:val="0"/>
          <w:sz w:val="20"/>
          <w:szCs w:val="20"/>
          <w:lang w:val="en-GB"/>
        </w:rPr>
        <w:t xml:space="preserve"> 2 </w:t>
      </w:r>
      <w:r>
        <w:rPr>
          <w:b w:val="0"/>
          <w:sz w:val="20"/>
          <w:szCs w:val="20"/>
        </w:rPr>
        <w:t>за</w:t>
      </w:r>
      <w:r>
        <w:rPr>
          <w:b w:val="0"/>
          <w:sz w:val="20"/>
          <w:szCs w:val="20"/>
          <w:lang w:val="en-GB"/>
        </w:rPr>
        <w:t xml:space="preserve"> </w:t>
      </w:r>
      <w:r>
        <w:rPr>
          <w:b w:val="0"/>
          <w:sz w:val="20"/>
          <w:szCs w:val="20"/>
        </w:rPr>
        <w:t>обзор</w:t>
      </w:r>
      <w:r>
        <w:rPr>
          <w:b w:val="0"/>
          <w:sz w:val="20"/>
          <w:szCs w:val="20"/>
          <w:lang w:val="en-GB"/>
        </w:rPr>
        <w:t xml:space="preserve"> </w:t>
      </w:r>
      <w:r>
        <w:rPr>
          <w:b w:val="0"/>
          <w:sz w:val="20"/>
          <w:szCs w:val="20"/>
        </w:rPr>
        <w:t>на</w:t>
      </w:r>
      <w:r>
        <w:rPr>
          <w:b w:val="0"/>
          <w:sz w:val="20"/>
          <w:szCs w:val="20"/>
          <w:lang w:val="en-GB"/>
        </w:rPr>
        <w:t xml:space="preserve"> </w:t>
      </w:r>
      <w:r>
        <w:rPr>
          <w:b w:val="0"/>
          <w:sz w:val="20"/>
          <w:szCs w:val="20"/>
        </w:rPr>
        <w:t>инициативите</w:t>
      </w:r>
      <w:r>
        <w:rPr>
          <w:b w:val="0"/>
          <w:sz w:val="20"/>
          <w:szCs w:val="20"/>
          <w:lang w:val="en-GB"/>
        </w:rPr>
        <w:t xml:space="preserve">, </w:t>
      </w:r>
      <w:r>
        <w:rPr>
          <w:b w:val="0"/>
          <w:sz w:val="20"/>
          <w:szCs w:val="20"/>
        </w:rPr>
        <w:t>приети</w:t>
      </w:r>
      <w:r>
        <w:rPr>
          <w:b w:val="0"/>
          <w:sz w:val="20"/>
          <w:szCs w:val="20"/>
          <w:lang w:val="en-GB"/>
        </w:rPr>
        <w:t xml:space="preserve"> </w:t>
      </w:r>
      <w:r>
        <w:rPr>
          <w:b w:val="0"/>
          <w:sz w:val="20"/>
          <w:szCs w:val="20"/>
        </w:rPr>
        <w:t>в</w:t>
      </w:r>
      <w:r>
        <w:rPr>
          <w:b w:val="0"/>
          <w:sz w:val="20"/>
          <w:szCs w:val="20"/>
          <w:lang w:val="en-GB"/>
        </w:rPr>
        <w:t xml:space="preserve"> </w:t>
      </w:r>
      <w:r>
        <w:rPr>
          <w:b w:val="0"/>
          <w:sz w:val="20"/>
          <w:szCs w:val="20"/>
        </w:rPr>
        <w:t>социалната</w:t>
      </w:r>
      <w:r>
        <w:rPr>
          <w:b w:val="0"/>
          <w:sz w:val="20"/>
          <w:szCs w:val="20"/>
          <w:lang w:val="en-GB"/>
        </w:rPr>
        <w:t xml:space="preserve"> </w:t>
      </w:r>
      <w:r>
        <w:rPr>
          <w:b w:val="0"/>
          <w:sz w:val="20"/>
          <w:szCs w:val="20"/>
        </w:rPr>
        <w:t>сфера</w:t>
      </w:r>
      <w:r>
        <w:rPr>
          <w:b w:val="0"/>
          <w:sz w:val="20"/>
          <w:szCs w:val="20"/>
          <w:lang w:val="en-GB"/>
        </w:rPr>
        <w:t xml:space="preserve"> </w:t>
      </w:r>
      <w:r>
        <w:rPr>
          <w:b w:val="0"/>
          <w:sz w:val="20"/>
          <w:szCs w:val="20"/>
        </w:rPr>
        <w:t>по</w:t>
      </w:r>
      <w:r>
        <w:rPr>
          <w:b w:val="0"/>
          <w:sz w:val="20"/>
          <w:szCs w:val="20"/>
          <w:lang w:val="en-GB"/>
        </w:rPr>
        <w:t xml:space="preserve"> </w:t>
      </w:r>
      <w:r>
        <w:rPr>
          <w:b w:val="0"/>
          <w:sz w:val="20"/>
          <w:szCs w:val="20"/>
        </w:rPr>
        <w:t>инициатива</w:t>
      </w:r>
      <w:r>
        <w:rPr>
          <w:b w:val="0"/>
          <w:sz w:val="20"/>
          <w:szCs w:val="20"/>
          <w:lang w:val="en-GB"/>
        </w:rPr>
        <w:t xml:space="preserve"> </w:t>
      </w:r>
      <w:r>
        <w:rPr>
          <w:b w:val="0"/>
          <w:sz w:val="20"/>
          <w:szCs w:val="20"/>
        </w:rPr>
        <w:t>на</w:t>
      </w:r>
      <w:r>
        <w:rPr>
          <w:b w:val="0"/>
          <w:sz w:val="20"/>
          <w:szCs w:val="20"/>
          <w:lang w:val="en-GB"/>
        </w:rPr>
        <w:t xml:space="preserve"> </w:t>
      </w:r>
      <w:r>
        <w:rPr>
          <w:b w:val="0"/>
          <w:sz w:val="20"/>
          <w:szCs w:val="20"/>
        </w:rPr>
        <w:t>комисията</w:t>
      </w:r>
      <w:r>
        <w:rPr>
          <w:b w:val="0"/>
          <w:sz w:val="20"/>
          <w:szCs w:val="20"/>
          <w:lang w:val="en-GB"/>
        </w:rPr>
        <w:t xml:space="preserve"> „</w:t>
      </w:r>
      <w:r>
        <w:rPr>
          <w:b w:val="0"/>
          <w:sz w:val="20"/>
          <w:szCs w:val="20"/>
        </w:rPr>
        <w:t>Юнкер</w:t>
      </w:r>
      <w:r>
        <w:rPr>
          <w:b w:val="0"/>
          <w:sz w:val="20"/>
          <w:szCs w:val="20"/>
          <w:lang w:val="en-GB"/>
        </w:rPr>
        <w:t>“.</w:t>
      </w:r>
    </w:p>
  </w:footnote>
  <w:footnote w:id="6">
    <w:p>
      <w:pPr>
        <w:pStyle w:val="Default"/>
        <w:ind w:left="284" w:hanging="284"/>
        <w:jc w:val="both"/>
        <w:rPr>
          <w:rFonts w:ascii="Times New Roman" w:hAnsi="Times New Roman" w:cs="Times New Roman"/>
          <w:color w:val="auto"/>
          <w:sz w:val="20"/>
          <w:szCs w:val="20"/>
        </w:rPr>
      </w:pPr>
      <w:r>
        <w:rPr>
          <w:rStyle w:val="FootnoteReference"/>
          <w:rFonts w:ascii="Times New Roman" w:hAnsi="Times New Roman" w:cs="Times New Roman"/>
          <w:color w:val="auto"/>
          <w:sz w:val="20"/>
          <w:szCs w:val="20"/>
        </w:rPr>
        <w:footnoteRef/>
      </w:r>
      <w:r>
        <w:rPr>
          <w:rFonts w:ascii="Times New Roman" w:hAnsi="Times New Roman"/>
          <w:color w:val="auto"/>
          <w:sz w:val="20"/>
          <w:szCs w:val="20"/>
        </w:rPr>
        <w:t xml:space="preserve"> </w:t>
      </w:r>
      <w:r>
        <w:rPr>
          <w:rFonts w:ascii="Times New Roman" w:hAnsi="Times New Roman"/>
          <w:color w:val="auto"/>
          <w:sz w:val="20"/>
          <w:szCs w:val="20"/>
        </w:rPr>
        <w:tab/>
        <w:t>Вж. речта на председателя Юнкер за „състоянието на Съюза“, произнесена на 12 септември 2018 г., и работната програма на Комисията за 2019 г. (COM (2018) 800 final).</w:t>
      </w:r>
    </w:p>
  </w:footnote>
  <w:footnote w:id="7">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r>
      <w:r>
        <w:rPr>
          <w:rFonts w:ascii="Times New Roman" w:hAnsi="Times New Roman"/>
        </w:rPr>
        <w:t>СОМ</w:t>
      </w:r>
      <w:r>
        <w:rPr>
          <w:rFonts w:ascii="Times New Roman" w:hAnsi="Times New Roman"/>
          <w:lang w:val="pt-PT"/>
        </w:rPr>
        <w:t>(2018) 647 final.</w:t>
      </w:r>
    </w:p>
  </w:footnote>
  <w:footnote w:id="8">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t>COM(2019) 8 final.</w:t>
      </w:r>
    </w:p>
  </w:footnote>
  <w:footnote w:id="9">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r>
      <w:r>
        <w:rPr>
          <w:rFonts w:ascii="Times New Roman" w:hAnsi="Times New Roman"/>
        </w:rPr>
        <w:t>СОМ</w:t>
      </w:r>
      <w:r>
        <w:rPr>
          <w:rFonts w:ascii="Times New Roman" w:hAnsi="Times New Roman"/>
          <w:lang w:val="pt-PT"/>
        </w:rPr>
        <w:t>(2019) 177 final.</w:t>
      </w:r>
    </w:p>
  </w:footnote>
  <w:footnote w:id="10">
    <w:p>
      <w:pPr>
        <w:pStyle w:val="footnotetext1"/>
        <w:spacing w:after="0" w:line="240" w:lineRule="auto"/>
        <w:ind w:left="284" w:hanging="284"/>
        <w:jc w:val="both"/>
        <w:rPr>
          <w:rFonts w:ascii="Times New Roman" w:hAnsi="Times New Roman" w:cs="Times New Roman"/>
          <w:strike/>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r>
      <w:r>
        <w:rPr>
          <w:rFonts w:ascii="Times New Roman" w:hAnsi="Times New Roman"/>
        </w:rPr>
        <w:t>В</w:t>
      </w:r>
      <w:r>
        <w:rPr>
          <w:rFonts w:ascii="Times New Roman" w:hAnsi="Times New Roman"/>
          <w:lang w:val="pt-PT"/>
        </w:rPr>
        <w:t xml:space="preserve"> </w:t>
      </w:r>
      <w:r>
        <w:rPr>
          <w:rFonts w:ascii="Times New Roman" w:hAnsi="Times New Roman"/>
        </w:rPr>
        <w:t>член</w:t>
      </w:r>
      <w:r>
        <w:rPr>
          <w:rFonts w:ascii="Times New Roman" w:hAnsi="Times New Roman"/>
          <w:lang w:val="pt-PT"/>
        </w:rPr>
        <w:t xml:space="preserve"> 154 </w:t>
      </w:r>
      <w:r>
        <w:rPr>
          <w:rFonts w:ascii="Times New Roman" w:hAnsi="Times New Roman"/>
        </w:rPr>
        <w:t>от</w:t>
      </w:r>
      <w:r>
        <w:rPr>
          <w:rFonts w:ascii="Times New Roman" w:hAnsi="Times New Roman"/>
          <w:lang w:val="pt-PT"/>
        </w:rPr>
        <w:t xml:space="preserve"> </w:t>
      </w:r>
      <w:r>
        <w:rPr>
          <w:rFonts w:ascii="Times New Roman" w:hAnsi="Times New Roman"/>
        </w:rPr>
        <w:t>Договора</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функционирането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Европейския</w:t>
      </w:r>
      <w:r>
        <w:rPr>
          <w:rFonts w:ascii="Times New Roman" w:hAnsi="Times New Roman"/>
          <w:lang w:val="pt-PT"/>
        </w:rPr>
        <w:t xml:space="preserve"> </w:t>
      </w:r>
      <w:r>
        <w:rPr>
          <w:rFonts w:ascii="Times New Roman" w:hAnsi="Times New Roman"/>
        </w:rPr>
        <w:t>съюз</w:t>
      </w:r>
      <w:r>
        <w:rPr>
          <w:rFonts w:ascii="Times New Roman" w:hAnsi="Times New Roman"/>
          <w:lang w:val="pt-PT"/>
        </w:rPr>
        <w:t xml:space="preserve"> </w:t>
      </w:r>
      <w:r>
        <w:rPr>
          <w:rFonts w:ascii="Times New Roman" w:hAnsi="Times New Roman"/>
        </w:rPr>
        <w:t>се</w:t>
      </w:r>
      <w:r>
        <w:rPr>
          <w:rFonts w:ascii="Times New Roman" w:hAnsi="Times New Roman"/>
          <w:lang w:val="pt-PT"/>
        </w:rPr>
        <w:t xml:space="preserve"> </w:t>
      </w:r>
      <w:r>
        <w:rPr>
          <w:rFonts w:ascii="Times New Roman" w:hAnsi="Times New Roman"/>
        </w:rPr>
        <w:t>предвижда</w:t>
      </w:r>
      <w:r>
        <w:rPr>
          <w:rFonts w:ascii="Times New Roman" w:hAnsi="Times New Roman"/>
          <w:lang w:val="pt-PT"/>
        </w:rPr>
        <w:t xml:space="preserve"> </w:t>
      </w:r>
      <w:r>
        <w:rPr>
          <w:rFonts w:ascii="Times New Roman" w:hAnsi="Times New Roman"/>
        </w:rPr>
        <w:t>задължителна</w:t>
      </w:r>
      <w:r>
        <w:rPr>
          <w:rFonts w:ascii="Times New Roman" w:hAnsi="Times New Roman"/>
          <w:lang w:val="pt-PT"/>
        </w:rPr>
        <w:t xml:space="preserve"> </w:t>
      </w:r>
      <w:r>
        <w:rPr>
          <w:rFonts w:ascii="Times New Roman" w:hAnsi="Times New Roman"/>
        </w:rPr>
        <w:t>двуетапна</w:t>
      </w:r>
      <w:r>
        <w:rPr>
          <w:rFonts w:ascii="Times New Roman" w:hAnsi="Times New Roman"/>
          <w:lang w:val="pt-PT"/>
        </w:rPr>
        <w:t xml:space="preserve"> </w:t>
      </w:r>
      <w:r>
        <w:rPr>
          <w:rFonts w:ascii="Times New Roman" w:hAnsi="Times New Roman"/>
        </w:rPr>
        <w:t>процедура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консултация</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първия</w:t>
      </w:r>
      <w:r>
        <w:rPr>
          <w:rFonts w:ascii="Times New Roman" w:hAnsi="Times New Roman"/>
          <w:lang w:val="pt-PT"/>
        </w:rPr>
        <w:t xml:space="preserve"> </w:t>
      </w:r>
      <w:r>
        <w:rPr>
          <w:rFonts w:ascii="Times New Roman" w:hAnsi="Times New Roman"/>
        </w:rPr>
        <w:t>етап</w:t>
      </w:r>
      <w:r>
        <w:rPr>
          <w:rFonts w:ascii="Times New Roman" w:hAnsi="Times New Roman"/>
          <w:lang w:val="pt-PT"/>
        </w:rPr>
        <w:t xml:space="preserve"> </w:t>
      </w:r>
      <w:r>
        <w:rPr>
          <w:rFonts w:ascii="Times New Roman" w:hAnsi="Times New Roman"/>
        </w:rPr>
        <w:t>Комисията</w:t>
      </w:r>
      <w:r>
        <w:rPr>
          <w:rFonts w:ascii="Times New Roman" w:hAnsi="Times New Roman"/>
          <w:lang w:val="pt-PT"/>
        </w:rPr>
        <w:t xml:space="preserve"> </w:t>
      </w:r>
      <w:r>
        <w:rPr>
          <w:rFonts w:ascii="Times New Roman" w:hAnsi="Times New Roman"/>
        </w:rPr>
        <w:t>се</w:t>
      </w:r>
      <w:r>
        <w:rPr>
          <w:rFonts w:ascii="Times New Roman" w:hAnsi="Times New Roman"/>
          <w:lang w:val="pt-PT"/>
        </w:rPr>
        <w:t xml:space="preserve"> </w:t>
      </w:r>
      <w:r>
        <w:rPr>
          <w:rFonts w:ascii="Times New Roman" w:hAnsi="Times New Roman"/>
        </w:rPr>
        <w:t>консултира</w:t>
      </w:r>
      <w:r>
        <w:rPr>
          <w:rFonts w:ascii="Times New Roman" w:hAnsi="Times New Roman"/>
          <w:lang w:val="pt-PT"/>
        </w:rPr>
        <w:t xml:space="preserve"> </w:t>
      </w:r>
      <w:r>
        <w:rPr>
          <w:rFonts w:ascii="Times New Roman" w:hAnsi="Times New Roman"/>
        </w:rPr>
        <w:t>със</w:t>
      </w:r>
      <w:r>
        <w:rPr>
          <w:rFonts w:ascii="Times New Roman" w:hAnsi="Times New Roman"/>
          <w:lang w:val="pt-PT"/>
        </w:rPr>
        <w:t xml:space="preserve"> </w:t>
      </w:r>
      <w:r>
        <w:rPr>
          <w:rFonts w:ascii="Times New Roman" w:hAnsi="Times New Roman"/>
        </w:rPr>
        <w:t>социалните</w:t>
      </w:r>
      <w:r>
        <w:rPr>
          <w:rFonts w:ascii="Times New Roman" w:hAnsi="Times New Roman"/>
          <w:lang w:val="pt-PT"/>
        </w:rPr>
        <w:t xml:space="preserve"> </w:t>
      </w:r>
      <w:r>
        <w:rPr>
          <w:rFonts w:ascii="Times New Roman" w:hAnsi="Times New Roman"/>
        </w:rPr>
        <w:t>партньори</w:t>
      </w:r>
      <w:r>
        <w:rPr>
          <w:rFonts w:ascii="Times New Roman" w:hAnsi="Times New Roman"/>
          <w:lang w:val="pt-PT"/>
        </w:rPr>
        <w:t xml:space="preserve"> </w:t>
      </w:r>
      <w:r>
        <w:rPr>
          <w:rFonts w:ascii="Times New Roman" w:hAnsi="Times New Roman"/>
        </w:rPr>
        <w:t>относно</w:t>
      </w:r>
      <w:r>
        <w:rPr>
          <w:rFonts w:ascii="Times New Roman" w:hAnsi="Times New Roman"/>
          <w:lang w:val="pt-PT"/>
        </w:rPr>
        <w:t xml:space="preserve"> </w:t>
      </w:r>
      <w:r>
        <w:rPr>
          <w:rFonts w:ascii="Times New Roman" w:hAnsi="Times New Roman"/>
        </w:rPr>
        <w:t>възможната</w:t>
      </w:r>
      <w:r>
        <w:rPr>
          <w:rFonts w:ascii="Times New Roman" w:hAnsi="Times New Roman"/>
          <w:lang w:val="pt-PT"/>
        </w:rPr>
        <w:t xml:space="preserve"> </w:t>
      </w:r>
      <w:r>
        <w:rPr>
          <w:rFonts w:ascii="Times New Roman" w:hAnsi="Times New Roman"/>
        </w:rPr>
        <w:t>насока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дадена</w:t>
      </w:r>
      <w:r>
        <w:rPr>
          <w:rFonts w:ascii="Times New Roman" w:hAnsi="Times New Roman"/>
          <w:lang w:val="pt-PT"/>
        </w:rPr>
        <w:t xml:space="preserve"> </w:t>
      </w:r>
      <w:r>
        <w:rPr>
          <w:rFonts w:ascii="Times New Roman" w:hAnsi="Times New Roman"/>
        </w:rPr>
        <w:t>инициатива</w:t>
      </w:r>
      <w:r>
        <w:rPr>
          <w:rFonts w:ascii="Times New Roman" w:hAnsi="Times New Roman"/>
          <w:lang w:val="pt-PT"/>
        </w:rPr>
        <w:t xml:space="preserve">, </w:t>
      </w:r>
      <w:r>
        <w:rPr>
          <w:rFonts w:ascii="Times New Roman" w:hAnsi="Times New Roman"/>
        </w:rPr>
        <w:t>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втория</w:t>
      </w:r>
      <w:r>
        <w:rPr>
          <w:rFonts w:ascii="Times New Roman" w:hAnsi="Times New Roman"/>
          <w:lang w:val="pt-PT"/>
        </w:rPr>
        <w:t xml:space="preserve"> </w:t>
      </w:r>
      <w:r>
        <w:rPr>
          <w:rFonts w:ascii="Times New Roman" w:hAnsi="Times New Roman"/>
        </w:rPr>
        <w:t>етап</w:t>
      </w:r>
      <w:r>
        <w:rPr>
          <w:rFonts w:ascii="Times New Roman" w:hAnsi="Times New Roman"/>
          <w:lang w:val="pt-PT"/>
        </w:rPr>
        <w:t xml:space="preserve"> — </w:t>
      </w:r>
      <w:r>
        <w:rPr>
          <w:rFonts w:ascii="Times New Roman" w:hAnsi="Times New Roman"/>
        </w:rPr>
        <w:t>относно</w:t>
      </w:r>
      <w:r>
        <w:rPr>
          <w:rFonts w:ascii="Times New Roman" w:hAnsi="Times New Roman"/>
          <w:lang w:val="pt-PT"/>
        </w:rPr>
        <w:t xml:space="preserve"> </w:t>
      </w:r>
      <w:r>
        <w:rPr>
          <w:rFonts w:ascii="Times New Roman" w:hAnsi="Times New Roman"/>
        </w:rPr>
        <w:t>съдържанието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bCs/>
        </w:rPr>
        <w:t>предвидената</w:t>
      </w:r>
      <w:r>
        <w:rPr>
          <w:rFonts w:ascii="Times New Roman" w:hAnsi="Times New Roman"/>
          <w:lang w:val="pt-PT"/>
        </w:rPr>
        <w:t xml:space="preserve"> </w:t>
      </w:r>
      <w:r>
        <w:rPr>
          <w:rFonts w:ascii="Times New Roman" w:hAnsi="Times New Roman"/>
        </w:rPr>
        <w:t>инициатива</w:t>
      </w:r>
      <w:r>
        <w:rPr>
          <w:rFonts w:ascii="Times New Roman" w:hAnsi="Times New Roman"/>
          <w:lang w:val="pt-PT"/>
        </w:rPr>
        <w:t xml:space="preserve">. </w:t>
      </w:r>
      <w:r>
        <w:rPr>
          <w:rFonts w:ascii="Times New Roman" w:hAnsi="Times New Roman"/>
          <w:bCs/>
        </w:rPr>
        <w:t>По</w:t>
      </w:r>
      <w:r>
        <w:rPr>
          <w:rFonts w:ascii="Times New Roman" w:hAnsi="Times New Roman"/>
          <w:bCs/>
          <w:lang w:val="pt-PT"/>
        </w:rPr>
        <w:t xml:space="preserve"> </w:t>
      </w:r>
      <w:r>
        <w:rPr>
          <w:rFonts w:ascii="Times New Roman" w:hAnsi="Times New Roman"/>
          <w:bCs/>
        </w:rPr>
        <w:t>време</w:t>
      </w:r>
      <w:r>
        <w:rPr>
          <w:rFonts w:ascii="Times New Roman" w:hAnsi="Times New Roman"/>
          <w:bCs/>
          <w:lang w:val="pt-PT"/>
        </w:rPr>
        <w:t xml:space="preserve"> </w:t>
      </w:r>
      <w:r>
        <w:rPr>
          <w:rFonts w:ascii="Times New Roman" w:hAnsi="Times New Roman"/>
          <w:bCs/>
        </w:rPr>
        <w:t>и</w:t>
      </w:r>
      <w:r>
        <w:rPr>
          <w:rFonts w:ascii="Times New Roman" w:hAnsi="Times New Roman"/>
          <w:bCs/>
          <w:lang w:val="pt-PT"/>
        </w:rPr>
        <w:t xml:space="preserve"> </w:t>
      </w:r>
      <w:r>
        <w:rPr>
          <w:rFonts w:ascii="Times New Roman" w:hAnsi="Times New Roman"/>
          <w:bCs/>
        </w:rPr>
        <w:t>на</w:t>
      </w:r>
      <w:r>
        <w:rPr>
          <w:rFonts w:ascii="Times New Roman" w:hAnsi="Times New Roman"/>
          <w:bCs/>
          <w:lang w:val="pt-PT"/>
        </w:rPr>
        <w:t xml:space="preserve"> </w:t>
      </w:r>
      <w:r>
        <w:rPr>
          <w:rFonts w:ascii="Times New Roman" w:hAnsi="Times New Roman"/>
          <w:bCs/>
        </w:rPr>
        <w:t>двата</w:t>
      </w:r>
      <w:r>
        <w:rPr>
          <w:rFonts w:ascii="Times New Roman" w:hAnsi="Times New Roman"/>
          <w:bCs/>
          <w:lang w:val="pt-PT"/>
        </w:rPr>
        <w:t xml:space="preserve"> </w:t>
      </w:r>
      <w:r>
        <w:rPr>
          <w:rFonts w:ascii="Times New Roman" w:hAnsi="Times New Roman"/>
          <w:bCs/>
        </w:rPr>
        <w:t>етапа</w:t>
      </w:r>
      <w:r>
        <w:rPr>
          <w:rFonts w:ascii="Times New Roman" w:hAnsi="Times New Roman"/>
          <w:bCs/>
          <w:lang w:val="pt-PT"/>
        </w:rPr>
        <w:t xml:space="preserve"> </w:t>
      </w:r>
      <w:r>
        <w:rPr>
          <w:rFonts w:ascii="Times New Roman" w:hAnsi="Times New Roman"/>
          <w:bCs/>
        </w:rPr>
        <w:t>социалните</w:t>
      </w:r>
      <w:r>
        <w:rPr>
          <w:rFonts w:ascii="Times New Roman" w:hAnsi="Times New Roman"/>
          <w:bCs/>
          <w:lang w:val="pt-PT"/>
        </w:rPr>
        <w:t xml:space="preserve"> </w:t>
      </w:r>
      <w:r>
        <w:rPr>
          <w:rFonts w:ascii="Times New Roman" w:hAnsi="Times New Roman"/>
          <w:bCs/>
        </w:rPr>
        <w:t>партньори</w:t>
      </w:r>
      <w:r>
        <w:rPr>
          <w:rFonts w:ascii="Times New Roman" w:hAnsi="Times New Roman"/>
          <w:bCs/>
          <w:lang w:val="pt-PT"/>
        </w:rPr>
        <w:t xml:space="preserve"> </w:t>
      </w:r>
      <w:r>
        <w:rPr>
          <w:rFonts w:ascii="Times New Roman" w:hAnsi="Times New Roman"/>
          <w:bCs/>
        </w:rPr>
        <w:t>могат</w:t>
      </w:r>
      <w:r>
        <w:rPr>
          <w:rFonts w:ascii="Times New Roman" w:hAnsi="Times New Roman"/>
          <w:bCs/>
          <w:lang w:val="pt-PT"/>
        </w:rPr>
        <w:t xml:space="preserve"> </w:t>
      </w:r>
      <w:r>
        <w:rPr>
          <w:rFonts w:ascii="Times New Roman" w:hAnsi="Times New Roman"/>
          <w:bCs/>
        </w:rPr>
        <w:t>да</w:t>
      </w:r>
      <w:r>
        <w:rPr>
          <w:rFonts w:ascii="Times New Roman" w:hAnsi="Times New Roman"/>
          <w:bCs/>
          <w:lang w:val="pt-PT"/>
        </w:rPr>
        <w:t xml:space="preserve"> </w:t>
      </w:r>
      <w:r>
        <w:rPr>
          <w:rFonts w:ascii="Times New Roman" w:hAnsi="Times New Roman"/>
          <w:bCs/>
        </w:rPr>
        <w:t>информират</w:t>
      </w:r>
      <w:r>
        <w:rPr>
          <w:rFonts w:ascii="Times New Roman" w:hAnsi="Times New Roman"/>
          <w:bCs/>
          <w:lang w:val="pt-PT"/>
        </w:rPr>
        <w:t xml:space="preserve"> </w:t>
      </w:r>
      <w:r>
        <w:rPr>
          <w:rFonts w:ascii="Times New Roman" w:hAnsi="Times New Roman"/>
          <w:bCs/>
        </w:rPr>
        <w:t>Комисията</w:t>
      </w:r>
      <w:r>
        <w:rPr>
          <w:rFonts w:ascii="Times New Roman" w:hAnsi="Times New Roman"/>
          <w:bCs/>
          <w:lang w:val="pt-PT"/>
        </w:rPr>
        <w:t xml:space="preserve"> </w:t>
      </w:r>
      <w:r>
        <w:rPr>
          <w:rFonts w:ascii="Times New Roman" w:hAnsi="Times New Roman"/>
          <w:bCs/>
        </w:rPr>
        <w:t>за</w:t>
      </w:r>
      <w:r>
        <w:rPr>
          <w:rFonts w:ascii="Times New Roman" w:hAnsi="Times New Roman"/>
          <w:bCs/>
          <w:lang w:val="pt-PT"/>
        </w:rPr>
        <w:t xml:space="preserve"> </w:t>
      </w:r>
      <w:r>
        <w:rPr>
          <w:rFonts w:ascii="Times New Roman" w:hAnsi="Times New Roman"/>
          <w:bCs/>
        </w:rPr>
        <w:t>желанието</w:t>
      </w:r>
      <w:r>
        <w:rPr>
          <w:rFonts w:ascii="Times New Roman" w:hAnsi="Times New Roman"/>
          <w:bCs/>
          <w:lang w:val="pt-PT"/>
        </w:rPr>
        <w:t xml:space="preserve"> </w:t>
      </w:r>
      <w:r>
        <w:rPr>
          <w:rFonts w:ascii="Times New Roman" w:hAnsi="Times New Roman"/>
          <w:bCs/>
        </w:rPr>
        <w:t>си</w:t>
      </w:r>
      <w:r>
        <w:rPr>
          <w:rFonts w:ascii="Times New Roman" w:hAnsi="Times New Roman"/>
          <w:bCs/>
          <w:lang w:val="pt-PT"/>
        </w:rPr>
        <w:t xml:space="preserve"> </w:t>
      </w:r>
      <w:r>
        <w:rPr>
          <w:rFonts w:ascii="Times New Roman" w:hAnsi="Times New Roman"/>
          <w:bCs/>
        </w:rPr>
        <w:t>да</w:t>
      </w:r>
      <w:r>
        <w:rPr>
          <w:rFonts w:ascii="Times New Roman" w:hAnsi="Times New Roman"/>
          <w:bCs/>
          <w:lang w:val="pt-PT"/>
        </w:rPr>
        <w:t xml:space="preserve"> </w:t>
      </w:r>
      <w:r>
        <w:rPr>
          <w:rFonts w:ascii="Times New Roman" w:hAnsi="Times New Roman"/>
          <w:bCs/>
        </w:rPr>
        <w:t>започнат</w:t>
      </w:r>
      <w:r>
        <w:rPr>
          <w:rFonts w:ascii="Times New Roman" w:hAnsi="Times New Roman"/>
          <w:bCs/>
          <w:lang w:val="pt-PT"/>
        </w:rPr>
        <w:t xml:space="preserve"> </w:t>
      </w:r>
      <w:r>
        <w:rPr>
          <w:rFonts w:ascii="Times New Roman" w:hAnsi="Times New Roman"/>
          <w:bCs/>
        </w:rPr>
        <w:t>процедура</w:t>
      </w:r>
      <w:r>
        <w:rPr>
          <w:rFonts w:ascii="Times New Roman" w:hAnsi="Times New Roman"/>
          <w:bCs/>
          <w:lang w:val="pt-PT"/>
        </w:rPr>
        <w:t xml:space="preserve"> </w:t>
      </w:r>
      <w:r>
        <w:rPr>
          <w:rFonts w:ascii="Times New Roman" w:hAnsi="Times New Roman"/>
          <w:bCs/>
        </w:rPr>
        <w:t>на</w:t>
      </w:r>
      <w:r>
        <w:rPr>
          <w:rFonts w:ascii="Times New Roman" w:hAnsi="Times New Roman"/>
          <w:bCs/>
          <w:lang w:val="pt-PT"/>
        </w:rPr>
        <w:t xml:space="preserve"> </w:t>
      </w:r>
      <w:r>
        <w:rPr>
          <w:rFonts w:ascii="Times New Roman" w:hAnsi="Times New Roman"/>
          <w:bCs/>
        </w:rPr>
        <w:t>преговори</w:t>
      </w:r>
      <w:r>
        <w:rPr>
          <w:rFonts w:ascii="Times New Roman" w:hAnsi="Times New Roman"/>
          <w:bCs/>
          <w:lang w:val="pt-PT"/>
        </w:rPr>
        <w:t xml:space="preserve"> </w:t>
      </w:r>
      <w:r>
        <w:rPr>
          <w:rFonts w:ascii="Times New Roman" w:hAnsi="Times New Roman"/>
          <w:bCs/>
        </w:rPr>
        <w:t>за</w:t>
      </w:r>
      <w:r>
        <w:rPr>
          <w:rFonts w:ascii="Times New Roman" w:hAnsi="Times New Roman"/>
          <w:bCs/>
          <w:lang w:val="pt-PT"/>
        </w:rPr>
        <w:t xml:space="preserve"> </w:t>
      </w:r>
      <w:r>
        <w:rPr>
          <w:rFonts w:ascii="Times New Roman" w:hAnsi="Times New Roman"/>
          <w:bCs/>
        </w:rPr>
        <w:t>споразумение</w:t>
      </w:r>
      <w:r>
        <w:rPr>
          <w:rFonts w:ascii="Times New Roman" w:hAnsi="Times New Roman"/>
          <w:bCs/>
          <w:lang w:val="pt-PT"/>
        </w:rPr>
        <w:t xml:space="preserve"> </w:t>
      </w:r>
      <w:r>
        <w:rPr>
          <w:rFonts w:ascii="Times New Roman" w:hAnsi="Times New Roman"/>
          <w:bCs/>
        </w:rPr>
        <w:t>на</w:t>
      </w:r>
      <w:r>
        <w:rPr>
          <w:rFonts w:ascii="Times New Roman" w:hAnsi="Times New Roman"/>
          <w:bCs/>
          <w:lang w:val="pt-PT"/>
        </w:rPr>
        <w:t xml:space="preserve"> </w:t>
      </w:r>
      <w:r>
        <w:rPr>
          <w:rFonts w:ascii="Times New Roman" w:hAnsi="Times New Roman"/>
          <w:bCs/>
        </w:rPr>
        <w:t>социалните</w:t>
      </w:r>
      <w:r>
        <w:rPr>
          <w:rFonts w:ascii="Times New Roman" w:hAnsi="Times New Roman"/>
          <w:bCs/>
          <w:lang w:val="pt-PT"/>
        </w:rPr>
        <w:t xml:space="preserve"> </w:t>
      </w:r>
      <w:r>
        <w:rPr>
          <w:rFonts w:ascii="Times New Roman" w:hAnsi="Times New Roman"/>
          <w:bCs/>
        </w:rPr>
        <w:t>партньори</w:t>
      </w:r>
      <w:r>
        <w:rPr>
          <w:rFonts w:ascii="Times New Roman" w:hAnsi="Times New Roman"/>
          <w:bCs/>
          <w:lang w:val="pt-PT"/>
        </w:rPr>
        <w:t xml:space="preserve"> </w:t>
      </w:r>
      <w:r>
        <w:rPr>
          <w:rFonts w:ascii="Times New Roman" w:hAnsi="Times New Roman"/>
          <w:bCs/>
        </w:rPr>
        <w:t>в</w:t>
      </w:r>
      <w:r>
        <w:rPr>
          <w:rFonts w:ascii="Times New Roman" w:hAnsi="Times New Roman"/>
          <w:bCs/>
          <w:lang w:val="pt-PT"/>
        </w:rPr>
        <w:t xml:space="preserve"> </w:t>
      </w:r>
      <w:r>
        <w:rPr>
          <w:rFonts w:ascii="Times New Roman" w:hAnsi="Times New Roman"/>
          <w:bCs/>
        </w:rPr>
        <w:t>тази</w:t>
      </w:r>
      <w:r>
        <w:rPr>
          <w:rFonts w:ascii="Times New Roman" w:hAnsi="Times New Roman"/>
          <w:bCs/>
          <w:lang w:val="pt-PT"/>
        </w:rPr>
        <w:t xml:space="preserve"> </w:t>
      </w:r>
      <w:r>
        <w:rPr>
          <w:rFonts w:ascii="Times New Roman" w:hAnsi="Times New Roman"/>
          <w:bCs/>
        </w:rPr>
        <w:t>област</w:t>
      </w:r>
      <w:r>
        <w:rPr>
          <w:rFonts w:ascii="Times New Roman" w:hAnsi="Times New Roman"/>
          <w:bCs/>
          <w:lang w:val="pt-PT"/>
        </w:rPr>
        <w:t xml:space="preserve">. </w:t>
      </w:r>
      <w:r>
        <w:rPr>
          <w:rFonts w:ascii="Times New Roman" w:hAnsi="Times New Roman"/>
          <w:bCs/>
        </w:rPr>
        <w:t>В</w:t>
      </w:r>
      <w:r>
        <w:rPr>
          <w:rFonts w:ascii="Times New Roman" w:hAnsi="Times New Roman"/>
          <w:bCs/>
          <w:lang w:val="pt-PT"/>
        </w:rPr>
        <w:t xml:space="preserve"> </w:t>
      </w:r>
      <w:r>
        <w:rPr>
          <w:rFonts w:ascii="Times New Roman" w:hAnsi="Times New Roman"/>
          <w:bCs/>
        </w:rPr>
        <w:t>такъв</w:t>
      </w:r>
      <w:r>
        <w:rPr>
          <w:rFonts w:ascii="Times New Roman" w:hAnsi="Times New Roman"/>
          <w:bCs/>
          <w:lang w:val="pt-PT"/>
        </w:rPr>
        <w:t xml:space="preserve"> </w:t>
      </w:r>
      <w:r>
        <w:rPr>
          <w:rFonts w:ascii="Times New Roman" w:hAnsi="Times New Roman"/>
          <w:bCs/>
        </w:rPr>
        <w:t>случай</w:t>
      </w:r>
      <w:r>
        <w:rPr>
          <w:rFonts w:ascii="Times New Roman" w:hAnsi="Times New Roman"/>
          <w:bCs/>
          <w:lang w:val="pt-PT"/>
        </w:rPr>
        <w:t xml:space="preserve"> </w:t>
      </w:r>
      <w:r>
        <w:rPr>
          <w:rFonts w:ascii="Times New Roman" w:hAnsi="Times New Roman"/>
          <w:bCs/>
        </w:rPr>
        <w:t>Комисията</w:t>
      </w:r>
      <w:r>
        <w:rPr>
          <w:rFonts w:ascii="Times New Roman" w:hAnsi="Times New Roman"/>
          <w:bCs/>
          <w:lang w:val="pt-PT"/>
        </w:rPr>
        <w:t xml:space="preserve"> </w:t>
      </w:r>
      <w:r>
        <w:rPr>
          <w:rFonts w:ascii="Times New Roman" w:hAnsi="Times New Roman"/>
          <w:bCs/>
        </w:rPr>
        <w:t>спира</w:t>
      </w:r>
      <w:r>
        <w:rPr>
          <w:rFonts w:ascii="Times New Roman" w:hAnsi="Times New Roman"/>
          <w:bCs/>
          <w:lang w:val="pt-PT"/>
        </w:rPr>
        <w:t xml:space="preserve"> </w:t>
      </w:r>
      <w:r>
        <w:rPr>
          <w:rFonts w:ascii="Times New Roman" w:hAnsi="Times New Roman"/>
          <w:bCs/>
        </w:rPr>
        <w:t>инициативата</w:t>
      </w:r>
      <w:r>
        <w:rPr>
          <w:rFonts w:ascii="Times New Roman" w:hAnsi="Times New Roman"/>
          <w:bCs/>
          <w:lang w:val="pt-PT"/>
        </w:rPr>
        <w:t xml:space="preserve"> </w:t>
      </w:r>
      <w:r>
        <w:rPr>
          <w:rFonts w:ascii="Times New Roman" w:hAnsi="Times New Roman"/>
          <w:bCs/>
        </w:rPr>
        <w:t>си</w:t>
      </w:r>
      <w:r>
        <w:rPr>
          <w:rFonts w:ascii="Times New Roman" w:hAnsi="Times New Roman"/>
          <w:bCs/>
          <w:lang w:val="pt-PT"/>
        </w:rPr>
        <w:t xml:space="preserve"> </w:t>
      </w:r>
      <w:r>
        <w:rPr>
          <w:rFonts w:ascii="Times New Roman" w:hAnsi="Times New Roman"/>
          <w:bCs/>
        </w:rPr>
        <w:t>за</w:t>
      </w:r>
      <w:r>
        <w:rPr>
          <w:rFonts w:ascii="Times New Roman" w:hAnsi="Times New Roman"/>
          <w:bCs/>
          <w:lang w:val="pt-PT"/>
        </w:rPr>
        <w:t xml:space="preserve"> </w:t>
      </w:r>
      <w:r>
        <w:rPr>
          <w:rFonts w:ascii="Times New Roman" w:hAnsi="Times New Roman"/>
          <w:bCs/>
        </w:rPr>
        <w:t>времето</w:t>
      </w:r>
      <w:r>
        <w:rPr>
          <w:rFonts w:ascii="Times New Roman" w:hAnsi="Times New Roman"/>
          <w:bCs/>
          <w:lang w:val="pt-PT"/>
        </w:rPr>
        <w:t xml:space="preserve">, </w:t>
      </w:r>
      <w:r>
        <w:rPr>
          <w:rFonts w:ascii="Times New Roman" w:hAnsi="Times New Roman"/>
          <w:bCs/>
        </w:rPr>
        <w:t>през</w:t>
      </w:r>
      <w:r>
        <w:rPr>
          <w:rFonts w:ascii="Times New Roman" w:hAnsi="Times New Roman"/>
          <w:bCs/>
          <w:lang w:val="pt-PT"/>
        </w:rPr>
        <w:t xml:space="preserve"> </w:t>
      </w:r>
      <w:r>
        <w:rPr>
          <w:rFonts w:ascii="Times New Roman" w:hAnsi="Times New Roman"/>
          <w:bCs/>
        </w:rPr>
        <w:t>което</w:t>
      </w:r>
      <w:r>
        <w:rPr>
          <w:rFonts w:ascii="Times New Roman" w:hAnsi="Times New Roman"/>
          <w:bCs/>
          <w:lang w:val="pt-PT"/>
        </w:rPr>
        <w:t xml:space="preserve"> </w:t>
      </w:r>
      <w:r>
        <w:rPr>
          <w:rFonts w:ascii="Times New Roman" w:hAnsi="Times New Roman"/>
          <w:bCs/>
        </w:rPr>
        <w:t>траят</w:t>
      </w:r>
      <w:r>
        <w:rPr>
          <w:rFonts w:ascii="Times New Roman" w:hAnsi="Times New Roman"/>
          <w:bCs/>
          <w:lang w:val="pt-PT"/>
        </w:rPr>
        <w:t xml:space="preserve"> </w:t>
      </w:r>
      <w:r>
        <w:rPr>
          <w:rFonts w:ascii="Times New Roman" w:hAnsi="Times New Roman"/>
          <w:bCs/>
        </w:rPr>
        <w:t>преговорите</w:t>
      </w:r>
      <w:r>
        <w:rPr>
          <w:rFonts w:ascii="Times New Roman" w:hAnsi="Times New Roman"/>
          <w:bCs/>
          <w:lang w:val="pt-PT"/>
        </w:rPr>
        <w:t xml:space="preserve">. </w:t>
      </w:r>
      <w:r>
        <w:rPr>
          <w:rFonts w:ascii="Times New Roman" w:hAnsi="Times New Roman"/>
          <w:bCs/>
        </w:rPr>
        <w:t>Ако</w:t>
      </w:r>
      <w:r>
        <w:rPr>
          <w:rFonts w:ascii="Times New Roman" w:hAnsi="Times New Roman"/>
          <w:bCs/>
          <w:lang w:val="pt-PT"/>
        </w:rPr>
        <w:t xml:space="preserve"> </w:t>
      </w:r>
      <w:r>
        <w:rPr>
          <w:rFonts w:ascii="Times New Roman" w:hAnsi="Times New Roman"/>
          <w:bCs/>
        </w:rPr>
        <w:t>преговорите</w:t>
      </w:r>
      <w:r>
        <w:rPr>
          <w:rFonts w:ascii="Times New Roman" w:hAnsi="Times New Roman"/>
          <w:bCs/>
          <w:lang w:val="pt-PT"/>
        </w:rPr>
        <w:t xml:space="preserve"> </w:t>
      </w:r>
      <w:r>
        <w:rPr>
          <w:rFonts w:ascii="Times New Roman" w:hAnsi="Times New Roman"/>
          <w:bCs/>
        </w:rPr>
        <w:t>приключат</w:t>
      </w:r>
      <w:r>
        <w:rPr>
          <w:rFonts w:ascii="Times New Roman" w:hAnsi="Times New Roman"/>
          <w:bCs/>
          <w:lang w:val="pt-PT"/>
        </w:rPr>
        <w:t xml:space="preserve"> </w:t>
      </w:r>
      <w:r>
        <w:rPr>
          <w:rFonts w:ascii="Times New Roman" w:hAnsi="Times New Roman"/>
          <w:bCs/>
        </w:rPr>
        <w:t>успешно</w:t>
      </w:r>
      <w:r>
        <w:rPr>
          <w:rFonts w:ascii="Times New Roman" w:hAnsi="Times New Roman"/>
          <w:bCs/>
          <w:lang w:val="pt-PT"/>
        </w:rPr>
        <w:t xml:space="preserve">, </w:t>
      </w:r>
      <w:r>
        <w:rPr>
          <w:rFonts w:ascii="Times New Roman" w:hAnsi="Times New Roman"/>
          <w:bCs/>
        </w:rPr>
        <w:t>социалните</w:t>
      </w:r>
      <w:r>
        <w:rPr>
          <w:rFonts w:ascii="Times New Roman" w:hAnsi="Times New Roman"/>
          <w:bCs/>
          <w:lang w:val="pt-PT"/>
        </w:rPr>
        <w:t xml:space="preserve"> </w:t>
      </w:r>
      <w:r>
        <w:rPr>
          <w:rFonts w:ascii="Times New Roman" w:hAnsi="Times New Roman"/>
          <w:bCs/>
        </w:rPr>
        <w:t>партньори</w:t>
      </w:r>
      <w:r>
        <w:rPr>
          <w:rFonts w:ascii="Times New Roman" w:hAnsi="Times New Roman"/>
          <w:bCs/>
          <w:lang w:val="pt-PT"/>
        </w:rPr>
        <w:t xml:space="preserve"> </w:t>
      </w:r>
      <w:r>
        <w:rPr>
          <w:rFonts w:ascii="Times New Roman" w:hAnsi="Times New Roman"/>
          <w:bCs/>
        </w:rPr>
        <w:t>могат</w:t>
      </w:r>
      <w:r>
        <w:rPr>
          <w:rFonts w:ascii="Times New Roman" w:hAnsi="Times New Roman"/>
          <w:bCs/>
          <w:lang w:val="pt-PT"/>
        </w:rPr>
        <w:t xml:space="preserve"> </w:t>
      </w:r>
      <w:r>
        <w:rPr>
          <w:rFonts w:ascii="Times New Roman" w:hAnsi="Times New Roman"/>
          <w:bCs/>
        </w:rPr>
        <w:t>да</w:t>
      </w:r>
      <w:r>
        <w:rPr>
          <w:rFonts w:ascii="Times New Roman" w:hAnsi="Times New Roman"/>
          <w:bCs/>
          <w:lang w:val="pt-PT"/>
        </w:rPr>
        <w:t xml:space="preserve"> </w:t>
      </w:r>
      <w:r>
        <w:rPr>
          <w:rFonts w:ascii="Times New Roman" w:hAnsi="Times New Roman"/>
          <w:bCs/>
        </w:rPr>
        <w:t>поискат</w:t>
      </w:r>
      <w:r>
        <w:rPr>
          <w:rFonts w:ascii="Times New Roman" w:hAnsi="Times New Roman"/>
          <w:bCs/>
          <w:lang w:val="pt-PT"/>
        </w:rPr>
        <w:t xml:space="preserve"> </w:t>
      </w:r>
      <w:r>
        <w:rPr>
          <w:rFonts w:ascii="Times New Roman" w:hAnsi="Times New Roman"/>
          <w:bCs/>
        </w:rPr>
        <w:t>споразумението</w:t>
      </w:r>
      <w:r>
        <w:rPr>
          <w:rFonts w:ascii="Times New Roman" w:hAnsi="Times New Roman"/>
          <w:bCs/>
          <w:lang w:val="pt-PT"/>
        </w:rPr>
        <w:t xml:space="preserve"> </w:t>
      </w:r>
      <w:r>
        <w:rPr>
          <w:rFonts w:ascii="Times New Roman" w:hAnsi="Times New Roman"/>
          <w:bCs/>
        </w:rPr>
        <w:t>да</w:t>
      </w:r>
      <w:r>
        <w:rPr>
          <w:rFonts w:ascii="Times New Roman" w:hAnsi="Times New Roman"/>
          <w:bCs/>
          <w:lang w:val="pt-PT"/>
        </w:rPr>
        <w:t xml:space="preserve"> </w:t>
      </w:r>
      <w:r>
        <w:rPr>
          <w:rFonts w:ascii="Times New Roman" w:hAnsi="Times New Roman"/>
          <w:bCs/>
        </w:rPr>
        <w:t>бъде</w:t>
      </w:r>
      <w:r>
        <w:rPr>
          <w:rFonts w:ascii="Times New Roman" w:hAnsi="Times New Roman"/>
          <w:bCs/>
          <w:lang w:val="pt-PT"/>
        </w:rPr>
        <w:t xml:space="preserve"> </w:t>
      </w:r>
      <w:r>
        <w:rPr>
          <w:rFonts w:ascii="Times New Roman" w:hAnsi="Times New Roman"/>
          <w:bCs/>
        </w:rPr>
        <w:t>изпълнено</w:t>
      </w:r>
      <w:r>
        <w:rPr>
          <w:rFonts w:ascii="Times New Roman" w:hAnsi="Times New Roman"/>
          <w:bCs/>
          <w:lang w:val="pt-PT"/>
        </w:rPr>
        <w:t xml:space="preserve"> </w:t>
      </w:r>
      <w:r>
        <w:rPr>
          <w:rFonts w:ascii="Times New Roman" w:hAnsi="Times New Roman"/>
          <w:bCs/>
        </w:rPr>
        <w:t>чрез</w:t>
      </w:r>
      <w:r>
        <w:rPr>
          <w:rFonts w:ascii="Times New Roman" w:hAnsi="Times New Roman"/>
          <w:bCs/>
          <w:lang w:val="pt-PT"/>
        </w:rPr>
        <w:t xml:space="preserve"> </w:t>
      </w:r>
      <w:r>
        <w:rPr>
          <w:rFonts w:ascii="Times New Roman" w:hAnsi="Times New Roman"/>
          <w:bCs/>
        </w:rPr>
        <w:t>решение</w:t>
      </w:r>
      <w:r>
        <w:rPr>
          <w:rFonts w:ascii="Times New Roman" w:hAnsi="Times New Roman"/>
          <w:bCs/>
          <w:lang w:val="pt-PT"/>
        </w:rPr>
        <w:t xml:space="preserve"> </w:t>
      </w:r>
      <w:r>
        <w:rPr>
          <w:rFonts w:ascii="Times New Roman" w:hAnsi="Times New Roman"/>
          <w:bCs/>
        </w:rPr>
        <w:t>на</w:t>
      </w:r>
      <w:r>
        <w:rPr>
          <w:rFonts w:ascii="Times New Roman" w:hAnsi="Times New Roman"/>
          <w:bCs/>
          <w:lang w:val="pt-PT"/>
        </w:rPr>
        <w:t xml:space="preserve"> </w:t>
      </w:r>
      <w:r>
        <w:rPr>
          <w:rFonts w:ascii="Times New Roman" w:hAnsi="Times New Roman"/>
          <w:bCs/>
        </w:rPr>
        <w:t>Съвета</w:t>
      </w:r>
      <w:r>
        <w:rPr>
          <w:rFonts w:ascii="Times New Roman" w:hAnsi="Times New Roman"/>
          <w:bCs/>
          <w:lang w:val="pt-PT"/>
        </w:rPr>
        <w:t xml:space="preserve"> </w:t>
      </w:r>
      <w:r>
        <w:rPr>
          <w:rFonts w:ascii="Times New Roman" w:hAnsi="Times New Roman"/>
          <w:bCs/>
        </w:rPr>
        <w:t>по</w:t>
      </w:r>
      <w:r>
        <w:rPr>
          <w:rFonts w:ascii="Times New Roman" w:hAnsi="Times New Roman"/>
          <w:bCs/>
          <w:lang w:val="pt-PT"/>
        </w:rPr>
        <w:t xml:space="preserve"> </w:t>
      </w:r>
      <w:r>
        <w:rPr>
          <w:rFonts w:ascii="Times New Roman" w:hAnsi="Times New Roman"/>
          <w:bCs/>
        </w:rPr>
        <w:t>представено</w:t>
      </w:r>
      <w:r>
        <w:rPr>
          <w:rFonts w:ascii="Times New Roman" w:hAnsi="Times New Roman"/>
          <w:bCs/>
          <w:lang w:val="pt-PT"/>
        </w:rPr>
        <w:t xml:space="preserve"> </w:t>
      </w:r>
      <w:r>
        <w:rPr>
          <w:rFonts w:ascii="Times New Roman" w:hAnsi="Times New Roman"/>
          <w:bCs/>
        </w:rPr>
        <w:t>от</w:t>
      </w:r>
      <w:r>
        <w:rPr>
          <w:rFonts w:ascii="Times New Roman" w:hAnsi="Times New Roman"/>
          <w:bCs/>
          <w:lang w:val="pt-PT"/>
        </w:rPr>
        <w:t xml:space="preserve"> </w:t>
      </w:r>
      <w:r>
        <w:rPr>
          <w:rFonts w:ascii="Times New Roman" w:hAnsi="Times New Roman"/>
          <w:bCs/>
        </w:rPr>
        <w:t>Комисията</w:t>
      </w:r>
      <w:r>
        <w:rPr>
          <w:rFonts w:ascii="Times New Roman" w:hAnsi="Times New Roman"/>
          <w:bCs/>
          <w:lang w:val="pt-PT"/>
        </w:rPr>
        <w:t xml:space="preserve"> </w:t>
      </w:r>
      <w:r>
        <w:rPr>
          <w:rFonts w:ascii="Times New Roman" w:hAnsi="Times New Roman"/>
          <w:bCs/>
        </w:rPr>
        <w:t>предложение</w:t>
      </w:r>
      <w:r>
        <w:rPr>
          <w:rFonts w:ascii="Times New Roman" w:hAnsi="Times New Roman"/>
          <w:bCs/>
          <w:lang w:val="pt-PT"/>
        </w:rPr>
        <w:t xml:space="preserve">. </w:t>
      </w:r>
      <w:r>
        <w:rPr>
          <w:rFonts w:ascii="Times New Roman" w:hAnsi="Times New Roman"/>
          <w:bCs/>
        </w:rPr>
        <w:t>При</w:t>
      </w:r>
      <w:r>
        <w:rPr>
          <w:rFonts w:ascii="Times New Roman" w:hAnsi="Times New Roman"/>
          <w:bCs/>
          <w:lang w:val="pt-PT"/>
        </w:rPr>
        <w:t xml:space="preserve"> </w:t>
      </w:r>
      <w:r>
        <w:rPr>
          <w:rFonts w:ascii="Times New Roman" w:hAnsi="Times New Roman"/>
          <w:bCs/>
        </w:rPr>
        <w:t>липса</w:t>
      </w:r>
      <w:r>
        <w:rPr>
          <w:rFonts w:ascii="Times New Roman" w:hAnsi="Times New Roman"/>
          <w:bCs/>
          <w:lang w:val="pt-PT"/>
        </w:rPr>
        <w:t xml:space="preserve"> </w:t>
      </w:r>
      <w:r>
        <w:rPr>
          <w:rFonts w:ascii="Times New Roman" w:hAnsi="Times New Roman"/>
          <w:bCs/>
        </w:rPr>
        <w:t>на</w:t>
      </w:r>
      <w:r>
        <w:rPr>
          <w:rFonts w:ascii="Times New Roman" w:hAnsi="Times New Roman"/>
          <w:bCs/>
          <w:lang w:val="pt-PT"/>
        </w:rPr>
        <w:t xml:space="preserve"> </w:t>
      </w:r>
      <w:r>
        <w:rPr>
          <w:rFonts w:ascii="Times New Roman" w:hAnsi="Times New Roman"/>
          <w:bCs/>
        </w:rPr>
        <w:t>споразумение</w:t>
      </w:r>
      <w:r>
        <w:rPr>
          <w:rFonts w:ascii="Times New Roman" w:hAnsi="Times New Roman"/>
          <w:bCs/>
          <w:lang w:val="pt-PT"/>
        </w:rPr>
        <w:t xml:space="preserve"> </w:t>
      </w:r>
      <w:r>
        <w:rPr>
          <w:rFonts w:ascii="Times New Roman" w:hAnsi="Times New Roman"/>
          <w:bCs/>
        </w:rPr>
        <w:t>между</w:t>
      </w:r>
      <w:r>
        <w:rPr>
          <w:rFonts w:ascii="Times New Roman" w:hAnsi="Times New Roman"/>
          <w:bCs/>
          <w:lang w:val="pt-PT"/>
        </w:rPr>
        <w:t xml:space="preserve"> </w:t>
      </w:r>
      <w:r>
        <w:rPr>
          <w:rFonts w:ascii="Times New Roman" w:hAnsi="Times New Roman"/>
          <w:bCs/>
        </w:rPr>
        <w:t>социалните</w:t>
      </w:r>
      <w:r>
        <w:rPr>
          <w:rFonts w:ascii="Times New Roman" w:hAnsi="Times New Roman"/>
          <w:bCs/>
          <w:lang w:val="pt-PT"/>
        </w:rPr>
        <w:t xml:space="preserve"> </w:t>
      </w:r>
      <w:r>
        <w:rPr>
          <w:rFonts w:ascii="Times New Roman" w:hAnsi="Times New Roman"/>
          <w:bCs/>
        </w:rPr>
        <w:t>партньори</w:t>
      </w:r>
      <w:r>
        <w:rPr>
          <w:rFonts w:ascii="Times New Roman" w:hAnsi="Times New Roman"/>
          <w:bCs/>
          <w:lang w:val="pt-PT"/>
        </w:rPr>
        <w:t xml:space="preserve"> </w:t>
      </w:r>
      <w:r>
        <w:rPr>
          <w:rFonts w:ascii="Times New Roman" w:hAnsi="Times New Roman"/>
          <w:bCs/>
        </w:rPr>
        <w:t>след</w:t>
      </w:r>
      <w:r>
        <w:rPr>
          <w:rFonts w:ascii="Times New Roman" w:hAnsi="Times New Roman"/>
          <w:bCs/>
          <w:lang w:val="pt-PT"/>
        </w:rPr>
        <w:t xml:space="preserve"> </w:t>
      </w:r>
      <w:r>
        <w:rPr>
          <w:rFonts w:ascii="Times New Roman" w:hAnsi="Times New Roman"/>
          <w:bCs/>
        </w:rPr>
        <w:t>втория</w:t>
      </w:r>
      <w:r>
        <w:rPr>
          <w:rFonts w:ascii="Times New Roman" w:hAnsi="Times New Roman"/>
          <w:bCs/>
          <w:lang w:val="pt-PT"/>
        </w:rPr>
        <w:t xml:space="preserve"> </w:t>
      </w:r>
      <w:r>
        <w:rPr>
          <w:rFonts w:ascii="Times New Roman" w:hAnsi="Times New Roman"/>
          <w:bCs/>
        </w:rPr>
        <w:t>етап</w:t>
      </w:r>
      <w:r>
        <w:rPr>
          <w:rFonts w:ascii="Times New Roman" w:hAnsi="Times New Roman"/>
          <w:bCs/>
          <w:lang w:val="pt-PT"/>
        </w:rPr>
        <w:t xml:space="preserve"> </w:t>
      </w:r>
      <w:r>
        <w:rPr>
          <w:rFonts w:ascii="Times New Roman" w:hAnsi="Times New Roman"/>
          <w:bCs/>
        </w:rPr>
        <w:t>на</w:t>
      </w:r>
      <w:r>
        <w:rPr>
          <w:rFonts w:ascii="Times New Roman" w:hAnsi="Times New Roman"/>
          <w:bCs/>
          <w:lang w:val="pt-PT"/>
        </w:rPr>
        <w:t xml:space="preserve"> </w:t>
      </w:r>
      <w:r>
        <w:rPr>
          <w:rFonts w:ascii="Times New Roman" w:hAnsi="Times New Roman"/>
          <w:bCs/>
        </w:rPr>
        <w:t>консултацията</w:t>
      </w:r>
      <w:r>
        <w:rPr>
          <w:rFonts w:ascii="Times New Roman" w:hAnsi="Times New Roman"/>
          <w:bCs/>
          <w:lang w:val="pt-PT"/>
        </w:rPr>
        <w:t xml:space="preserve">, </w:t>
      </w:r>
      <w:r>
        <w:rPr>
          <w:rFonts w:ascii="Times New Roman" w:hAnsi="Times New Roman"/>
          <w:bCs/>
        </w:rPr>
        <w:t>Комисията</w:t>
      </w:r>
      <w:r>
        <w:rPr>
          <w:rFonts w:ascii="Times New Roman" w:hAnsi="Times New Roman"/>
          <w:bCs/>
          <w:lang w:val="pt-PT"/>
        </w:rPr>
        <w:t xml:space="preserve"> </w:t>
      </w:r>
      <w:r>
        <w:rPr>
          <w:rFonts w:ascii="Times New Roman" w:hAnsi="Times New Roman"/>
          <w:bCs/>
        </w:rPr>
        <w:t>може</w:t>
      </w:r>
      <w:r>
        <w:rPr>
          <w:rFonts w:ascii="Times New Roman" w:hAnsi="Times New Roman"/>
          <w:bCs/>
          <w:lang w:val="pt-PT"/>
        </w:rPr>
        <w:t xml:space="preserve"> </w:t>
      </w:r>
      <w:r>
        <w:rPr>
          <w:rFonts w:ascii="Times New Roman" w:hAnsi="Times New Roman"/>
          <w:bCs/>
        </w:rPr>
        <w:t>да</w:t>
      </w:r>
      <w:r>
        <w:rPr>
          <w:rFonts w:ascii="Times New Roman" w:hAnsi="Times New Roman"/>
          <w:bCs/>
          <w:lang w:val="pt-PT"/>
        </w:rPr>
        <w:t xml:space="preserve"> </w:t>
      </w:r>
      <w:r>
        <w:rPr>
          <w:rFonts w:ascii="Times New Roman" w:hAnsi="Times New Roman"/>
          <w:bCs/>
        </w:rPr>
        <w:t>реши</w:t>
      </w:r>
      <w:r>
        <w:rPr>
          <w:rFonts w:ascii="Times New Roman" w:hAnsi="Times New Roman"/>
          <w:bCs/>
          <w:lang w:val="pt-PT"/>
        </w:rPr>
        <w:t xml:space="preserve"> </w:t>
      </w:r>
      <w:r>
        <w:rPr>
          <w:rFonts w:ascii="Times New Roman" w:hAnsi="Times New Roman"/>
          <w:bCs/>
        </w:rPr>
        <w:t>да</w:t>
      </w:r>
      <w:r>
        <w:rPr>
          <w:rFonts w:ascii="Times New Roman" w:hAnsi="Times New Roman"/>
          <w:bCs/>
          <w:lang w:val="pt-PT"/>
        </w:rPr>
        <w:t xml:space="preserve"> </w:t>
      </w:r>
      <w:r>
        <w:rPr>
          <w:rFonts w:ascii="Times New Roman" w:hAnsi="Times New Roman"/>
          <w:bCs/>
        </w:rPr>
        <w:t>представи</w:t>
      </w:r>
      <w:r>
        <w:rPr>
          <w:rFonts w:ascii="Times New Roman" w:hAnsi="Times New Roman"/>
          <w:bCs/>
          <w:lang w:val="pt-PT"/>
        </w:rPr>
        <w:t xml:space="preserve"> </w:t>
      </w:r>
      <w:r>
        <w:rPr>
          <w:rFonts w:ascii="Times New Roman" w:hAnsi="Times New Roman"/>
          <w:bCs/>
        </w:rPr>
        <w:t>предложение</w:t>
      </w:r>
      <w:r>
        <w:rPr>
          <w:rFonts w:ascii="Times New Roman" w:hAnsi="Times New Roman"/>
          <w:bCs/>
          <w:lang w:val="pt-PT"/>
        </w:rPr>
        <w:t>.</w:t>
      </w:r>
    </w:p>
  </w:footnote>
  <w:footnote w:id="11">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r>
      <w:r>
        <w:rPr>
          <w:rFonts w:ascii="Times New Roman" w:hAnsi="Times New Roman"/>
          <w:color w:val="444444"/>
        </w:rPr>
        <w:t>Член</w:t>
      </w:r>
      <w:r>
        <w:rPr>
          <w:rFonts w:ascii="Times New Roman" w:hAnsi="Times New Roman"/>
          <w:color w:val="444444"/>
          <w:lang w:val="pt-PT"/>
        </w:rPr>
        <w:t xml:space="preserve"> 155 </w:t>
      </w:r>
      <w:r>
        <w:rPr>
          <w:rFonts w:ascii="Times New Roman" w:hAnsi="Times New Roman"/>
          <w:color w:val="444444"/>
        </w:rPr>
        <w:t>от</w:t>
      </w:r>
      <w:r>
        <w:rPr>
          <w:rFonts w:ascii="Times New Roman" w:hAnsi="Times New Roman"/>
          <w:color w:val="444444"/>
          <w:lang w:val="pt-PT"/>
        </w:rPr>
        <w:t xml:space="preserve"> </w:t>
      </w:r>
      <w:r>
        <w:rPr>
          <w:rFonts w:ascii="Times New Roman" w:hAnsi="Times New Roman"/>
          <w:color w:val="444444"/>
        </w:rPr>
        <w:t>ДФЕС</w:t>
      </w:r>
      <w:r>
        <w:rPr>
          <w:rFonts w:ascii="Times New Roman" w:hAnsi="Times New Roman"/>
          <w:color w:val="444444"/>
          <w:lang w:val="pt-PT"/>
        </w:rPr>
        <w:t>.</w:t>
      </w:r>
    </w:p>
  </w:footnote>
  <w:footnote w:id="12">
    <w:p>
      <w:pPr>
        <w:pStyle w:val="Default"/>
        <w:keepLines/>
        <w:ind w:left="284" w:hanging="284"/>
        <w:jc w:val="both"/>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vertAlign w:val="superscript"/>
          <w:lang w:eastAsia="de-DE"/>
        </w:rPr>
        <w:footnoteRef/>
      </w:r>
      <w:r>
        <w:rPr>
          <w:rFonts w:ascii="Times New Roman" w:hAnsi="Times New Roman"/>
          <w:color w:val="auto"/>
          <w:sz w:val="20"/>
          <w:szCs w:val="20"/>
          <w:vertAlign w:val="superscript"/>
          <w:lang w:val="pt-PT"/>
        </w:rPr>
        <w:t xml:space="preserve"> </w:t>
      </w:r>
      <w:r>
        <w:rPr>
          <w:rFonts w:ascii="Times New Roman" w:hAnsi="Times New Roman"/>
          <w:color w:val="auto"/>
          <w:sz w:val="20"/>
          <w:szCs w:val="20"/>
          <w:vertAlign w:val="superscript"/>
          <w:lang w:val="pt-PT"/>
        </w:rPr>
        <w:tab/>
      </w:r>
      <w:r>
        <w:rPr>
          <w:rFonts w:ascii="Times New Roman" w:hAnsi="Times New Roman"/>
          <w:sz w:val="20"/>
          <w:szCs w:val="20"/>
        </w:rPr>
        <w:t>С</w:t>
      </w:r>
      <w:r>
        <w:rPr>
          <w:rFonts w:ascii="Times New Roman" w:hAnsi="Times New Roman"/>
          <w:sz w:val="20"/>
          <w:szCs w:val="20"/>
          <w:lang w:val="pt-PT"/>
        </w:rPr>
        <w:t xml:space="preserve"> </w:t>
      </w:r>
      <w:r>
        <w:rPr>
          <w:rFonts w:ascii="Times New Roman" w:hAnsi="Times New Roman"/>
          <w:sz w:val="20"/>
          <w:szCs w:val="20"/>
        </w:rPr>
        <w:t>Договора</w:t>
      </w:r>
      <w:r>
        <w:rPr>
          <w:rFonts w:ascii="Times New Roman" w:hAnsi="Times New Roman"/>
          <w:sz w:val="20"/>
          <w:szCs w:val="20"/>
          <w:lang w:val="pt-PT"/>
        </w:rPr>
        <w:t xml:space="preserve"> </w:t>
      </w:r>
      <w:r>
        <w:rPr>
          <w:rFonts w:ascii="Times New Roman" w:hAnsi="Times New Roman"/>
          <w:sz w:val="20"/>
          <w:szCs w:val="20"/>
        </w:rPr>
        <w:t>от</w:t>
      </w:r>
      <w:r>
        <w:rPr>
          <w:rFonts w:ascii="Times New Roman" w:hAnsi="Times New Roman"/>
          <w:sz w:val="20"/>
          <w:szCs w:val="20"/>
          <w:lang w:val="pt-PT"/>
        </w:rPr>
        <w:t xml:space="preserve"> </w:t>
      </w:r>
      <w:r>
        <w:rPr>
          <w:rFonts w:ascii="Times New Roman" w:hAnsi="Times New Roman"/>
          <w:sz w:val="20"/>
          <w:szCs w:val="20"/>
        </w:rPr>
        <w:t>Лисабон</w:t>
      </w:r>
      <w:r>
        <w:rPr>
          <w:rFonts w:ascii="Times New Roman" w:hAnsi="Times New Roman"/>
          <w:sz w:val="20"/>
          <w:szCs w:val="20"/>
          <w:lang w:val="pt-PT"/>
        </w:rPr>
        <w:t xml:space="preserve"> </w:t>
      </w:r>
      <w:r>
        <w:rPr>
          <w:rFonts w:ascii="Times New Roman" w:hAnsi="Times New Roman"/>
          <w:sz w:val="20"/>
          <w:szCs w:val="20"/>
        </w:rPr>
        <w:t>през</w:t>
      </w:r>
      <w:r>
        <w:rPr>
          <w:rFonts w:ascii="Times New Roman" w:hAnsi="Times New Roman"/>
          <w:sz w:val="20"/>
          <w:szCs w:val="20"/>
          <w:lang w:val="pt-PT"/>
        </w:rPr>
        <w:t xml:space="preserve"> 2009 </w:t>
      </w:r>
      <w:r>
        <w:rPr>
          <w:rFonts w:ascii="Times New Roman" w:hAnsi="Times New Roman"/>
          <w:sz w:val="20"/>
          <w:szCs w:val="20"/>
        </w:rPr>
        <w:t>г</w:t>
      </w:r>
      <w:r>
        <w:rPr>
          <w:rFonts w:ascii="Times New Roman" w:hAnsi="Times New Roman"/>
          <w:sz w:val="20"/>
          <w:szCs w:val="20"/>
          <w:lang w:val="pt-PT"/>
        </w:rPr>
        <w:t xml:space="preserve">. </w:t>
      </w:r>
      <w:r>
        <w:rPr>
          <w:rFonts w:ascii="Times New Roman" w:hAnsi="Times New Roman"/>
          <w:sz w:val="20"/>
          <w:szCs w:val="20"/>
        </w:rPr>
        <w:t>по</w:t>
      </w:r>
      <w:r>
        <w:rPr>
          <w:rFonts w:ascii="Times New Roman" w:hAnsi="Times New Roman"/>
          <w:sz w:val="20"/>
          <w:szCs w:val="20"/>
          <w:lang w:val="pt-PT"/>
        </w:rPr>
        <w:t xml:space="preserve"> </w:t>
      </w:r>
      <w:r>
        <w:rPr>
          <w:rFonts w:ascii="Times New Roman" w:hAnsi="Times New Roman"/>
          <w:sz w:val="20"/>
          <w:szCs w:val="20"/>
        </w:rPr>
        <w:t>отношение</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координацията</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системите</w:t>
      </w:r>
      <w:r>
        <w:rPr>
          <w:rFonts w:ascii="Times New Roman" w:hAnsi="Times New Roman"/>
          <w:sz w:val="20"/>
          <w:szCs w:val="20"/>
          <w:lang w:val="pt-PT"/>
        </w:rPr>
        <w:t xml:space="preserve"> </w:t>
      </w:r>
      <w:r>
        <w:rPr>
          <w:rFonts w:ascii="Times New Roman" w:hAnsi="Times New Roman"/>
          <w:sz w:val="20"/>
          <w:szCs w:val="20"/>
        </w:rPr>
        <w:t>за</w:t>
      </w:r>
      <w:r>
        <w:rPr>
          <w:rFonts w:ascii="Times New Roman" w:hAnsi="Times New Roman"/>
          <w:sz w:val="20"/>
          <w:szCs w:val="20"/>
          <w:lang w:val="pt-PT"/>
        </w:rPr>
        <w:t xml:space="preserve"> </w:t>
      </w:r>
      <w:r>
        <w:rPr>
          <w:rFonts w:ascii="Times New Roman" w:hAnsi="Times New Roman"/>
          <w:sz w:val="20"/>
          <w:szCs w:val="20"/>
        </w:rPr>
        <w:t>социална</w:t>
      </w:r>
      <w:r>
        <w:rPr>
          <w:rFonts w:ascii="Times New Roman" w:hAnsi="Times New Roman"/>
          <w:sz w:val="20"/>
          <w:szCs w:val="20"/>
          <w:lang w:val="pt-PT"/>
        </w:rPr>
        <w:t xml:space="preserve"> </w:t>
      </w:r>
      <w:r>
        <w:rPr>
          <w:rFonts w:ascii="Times New Roman" w:hAnsi="Times New Roman"/>
          <w:sz w:val="20"/>
          <w:szCs w:val="20"/>
        </w:rPr>
        <w:t>сигурност</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държавите</w:t>
      </w:r>
      <w:r>
        <w:rPr>
          <w:rFonts w:ascii="Times New Roman" w:hAnsi="Times New Roman"/>
          <w:sz w:val="20"/>
          <w:szCs w:val="20"/>
          <w:lang w:val="pt-PT"/>
        </w:rPr>
        <w:t xml:space="preserve"> </w:t>
      </w:r>
      <w:r>
        <w:rPr>
          <w:rFonts w:ascii="Times New Roman" w:hAnsi="Times New Roman"/>
          <w:sz w:val="20"/>
          <w:szCs w:val="20"/>
        </w:rPr>
        <w:t>членки</w:t>
      </w:r>
      <w:r>
        <w:rPr>
          <w:rFonts w:ascii="Times New Roman" w:hAnsi="Times New Roman"/>
          <w:sz w:val="20"/>
          <w:szCs w:val="20"/>
          <w:lang w:val="pt-PT"/>
        </w:rPr>
        <w:t xml:space="preserve"> </w:t>
      </w:r>
      <w:r>
        <w:rPr>
          <w:rFonts w:ascii="Times New Roman" w:hAnsi="Times New Roman"/>
          <w:sz w:val="20"/>
          <w:szCs w:val="20"/>
        </w:rPr>
        <w:t>в</w:t>
      </w:r>
      <w:r>
        <w:rPr>
          <w:rFonts w:ascii="Times New Roman" w:hAnsi="Times New Roman"/>
          <w:sz w:val="20"/>
          <w:szCs w:val="20"/>
          <w:lang w:val="pt-PT"/>
        </w:rPr>
        <w:t xml:space="preserve"> </w:t>
      </w:r>
      <w:r>
        <w:rPr>
          <w:rFonts w:ascii="Times New Roman" w:hAnsi="Times New Roman"/>
          <w:sz w:val="20"/>
          <w:szCs w:val="20"/>
        </w:rPr>
        <w:t>контекста</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свободното</w:t>
      </w:r>
      <w:r>
        <w:rPr>
          <w:rFonts w:ascii="Times New Roman" w:hAnsi="Times New Roman"/>
          <w:sz w:val="20"/>
          <w:szCs w:val="20"/>
          <w:lang w:val="pt-PT"/>
        </w:rPr>
        <w:t xml:space="preserve"> </w:t>
      </w:r>
      <w:r>
        <w:rPr>
          <w:rFonts w:ascii="Times New Roman" w:hAnsi="Times New Roman"/>
          <w:sz w:val="20"/>
          <w:szCs w:val="20"/>
        </w:rPr>
        <w:t>движение</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работници</w:t>
      </w:r>
      <w:r>
        <w:rPr>
          <w:rFonts w:ascii="Times New Roman" w:hAnsi="Times New Roman"/>
          <w:sz w:val="20"/>
          <w:szCs w:val="20"/>
          <w:lang w:val="pt-PT"/>
        </w:rPr>
        <w:t xml:space="preserve"> </w:t>
      </w:r>
      <w:r>
        <w:rPr>
          <w:rFonts w:ascii="Times New Roman" w:hAnsi="Times New Roman"/>
          <w:sz w:val="20"/>
          <w:szCs w:val="20"/>
        </w:rPr>
        <w:t>съгласно</w:t>
      </w:r>
      <w:r>
        <w:rPr>
          <w:rFonts w:ascii="Times New Roman" w:hAnsi="Times New Roman"/>
          <w:sz w:val="20"/>
          <w:szCs w:val="20"/>
          <w:lang w:val="pt-PT"/>
        </w:rPr>
        <w:t xml:space="preserve"> </w:t>
      </w:r>
      <w:r>
        <w:rPr>
          <w:rFonts w:ascii="Times New Roman" w:hAnsi="Times New Roman"/>
          <w:sz w:val="20"/>
          <w:szCs w:val="20"/>
        </w:rPr>
        <w:t>член</w:t>
      </w:r>
      <w:r>
        <w:rPr>
          <w:rFonts w:ascii="Times New Roman" w:hAnsi="Times New Roman"/>
          <w:sz w:val="20"/>
          <w:szCs w:val="20"/>
          <w:lang w:val="pt-PT"/>
        </w:rPr>
        <w:t xml:space="preserve"> 48 </w:t>
      </w:r>
      <w:r>
        <w:rPr>
          <w:rFonts w:ascii="Times New Roman" w:hAnsi="Times New Roman"/>
          <w:sz w:val="20"/>
          <w:szCs w:val="20"/>
        </w:rPr>
        <w:t>от</w:t>
      </w:r>
      <w:r>
        <w:rPr>
          <w:rFonts w:ascii="Times New Roman" w:hAnsi="Times New Roman"/>
          <w:sz w:val="20"/>
          <w:szCs w:val="20"/>
          <w:lang w:val="pt-PT"/>
        </w:rPr>
        <w:t xml:space="preserve"> </w:t>
      </w:r>
      <w:r>
        <w:rPr>
          <w:rFonts w:ascii="Times New Roman" w:hAnsi="Times New Roman"/>
          <w:sz w:val="20"/>
          <w:szCs w:val="20"/>
        </w:rPr>
        <w:t>Договора</w:t>
      </w:r>
      <w:r>
        <w:rPr>
          <w:rFonts w:ascii="Times New Roman" w:hAnsi="Times New Roman"/>
          <w:sz w:val="20"/>
          <w:szCs w:val="20"/>
          <w:lang w:val="pt-PT"/>
        </w:rPr>
        <w:t xml:space="preserve"> </w:t>
      </w:r>
      <w:r>
        <w:rPr>
          <w:rFonts w:ascii="Times New Roman" w:hAnsi="Times New Roman"/>
          <w:sz w:val="20"/>
          <w:szCs w:val="20"/>
        </w:rPr>
        <w:t>за</w:t>
      </w:r>
      <w:r>
        <w:rPr>
          <w:rFonts w:ascii="Times New Roman" w:hAnsi="Times New Roman"/>
          <w:sz w:val="20"/>
          <w:szCs w:val="20"/>
          <w:lang w:val="pt-PT"/>
        </w:rPr>
        <w:t xml:space="preserve"> </w:t>
      </w:r>
      <w:r>
        <w:rPr>
          <w:rFonts w:ascii="Times New Roman" w:hAnsi="Times New Roman"/>
          <w:sz w:val="20"/>
          <w:szCs w:val="20"/>
        </w:rPr>
        <w:t>функционирането</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ЕС</w:t>
      </w:r>
      <w:r>
        <w:rPr>
          <w:rFonts w:ascii="Times New Roman" w:hAnsi="Times New Roman"/>
          <w:sz w:val="20"/>
          <w:szCs w:val="20"/>
          <w:lang w:val="pt-PT"/>
        </w:rPr>
        <w:t xml:space="preserve"> (</w:t>
      </w:r>
      <w:r>
        <w:rPr>
          <w:rFonts w:ascii="Times New Roman" w:hAnsi="Times New Roman"/>
          <w:sz w:val="20"/>
          <w:szCs w:val="20"/>
        </w:rPr>
        <w:t>ДФЕС</w:t>
      </w:r>
      <w:r>
        <w:rPr>
          <w:rFonts w:ascii="Times New Roman" w:hAnsi="Times New Roman"/>
          <w:sz w:val="20"/>
          <w:szCs w:val="20"/>
          <w:lang w:val="pt-PT"/>
        </w:rPr>
        <w:t xml:space="preserve">) </w:t>
      </w:r>
      <w:r>
        <w:rPr>
          <w:rFonts w:ascii="Times New Roman" w:hAnsi="Times New Roman"/>
          <w:sz w:val="20"/>
          <w:szCs w:val="20"/>
        </w:rPr>
        <w:t>вместо</w:t>
      </w:r>
      <w:r>
        <w:rPr>
          <w:rFonts w:ascii="Times New Roman" w:hAnsi="Times New Roman"/>
          <w:sz w:val="20"/>
          <w:szCs w:val="20"/>
          <w:lang w:val="pt-PT"/>
        </w:rPr>
        <w:t xml:space="preserve"> </w:t>
      </w:r>
      <w:r>
        <w:rPr>
          <w:rFonts w:ascii="Times New Roman" w:hAnsi="Times New Roman"/>
          <w:sz w:val="20"/>
          <w:szCs w:val="20"/>
        </w:rPr>
        <w:t>гласуването</w:t>
      </w:r>
      <w:r>
        <w:rPr>
          <w:rFonts w:ascii="Times New Roman" w:hAnsi="Times New Roman"/>
          <w:sz w:val="20"/>
          <w:szCs w:val="20"/>
          <w:lang w:val="pt-PT"/>
        </w:rPr>
        <w:t xml:space="preserve"> </w:t>
      </w:r>
      <w:r>
        <w:rPr>
          <w:rFonts w:ascii="Times New Roman" w:hAnsi="Times New Roman"/>
          <w:sz w:val="20"/>
          <w:szCs w:val="20"/>
        </w:rPr>
        <w:t>с</w:t>
      </w:r>
      <w:r>
        <w:rPr>
          <w:rFonts w:ascii="Times New Roman" w:hAnsi="Times New Roman"/>
          <w:sz w:val="20"/>
          <w:szCs w:val="20"/>
          <w:lang w:val="pt-PT"/>
        </w:rPr>
        <w:t xml:space="preserve"> </w:t>
      </w:r>
      <w:r>
        <w:rPr>
          <w:rFonts w:ascii="Times New Roman" w:hAnsi="Times New Roman"/>
          <w:sz w:val="20"/>
          <w:szCs w:val="20"/>
        </w:rPr>
        <w:t>единодушие</w:t>
      </w:r>
      <w:r>
        <w:rPr>
          <w:rFonts w:ascii="Times New Roman" w:hAnsi="Times New Roman"/>
          <w:sz w:val="20"/>
          <w:szCs w:val="20"/>
          <w:lang w:val="pt-PT"/>
        </w:rPr>
        <w:t xml:space="preserve"> </w:t>
      </w:r>
      <w:r>
        <w:rPr>
          <w:rFonts w:ascii="Times New Roman" w:hAnsi="Times New Roman"/>
          <w:sz w:val="20"/>
          <w:szCs w:val="20"/>
        </w:rPr>
        <w:t>започна</w:t>
      </w:r>
      <w:r>
        <w:rPr>
          <w:rFonts w:ascii="Times New Roman" w:hAnsi="Times New Roman"/>
          <w:sz w:val="20"/>
          <w:szCs w:val="20"/>
          <w:lang w:val="pt-PT"/>
        </w:rPr>
        <w:t xml:space="preserve"> </w:t>
      </w:r>
      <w:r>
        <w:rPr>
          <w:rFonts w:ascii="Times New Roman" w:hAnsi="Times New Roman"/>
          <w:sz w:val="20"/>
          <w:szCs w:val="20"/>
        </w:rPr>
        <w:t>да</w:t>
      </w:r>
      <w:r>
        <w:rPr>
          <w:rFonts w:ascii="Times New Roman" w:hAnsi="Times New Roman"/>
          <w:sz w:val="20"/>
          <w:szCs w:val="20"/>
          <w:lang w:val="pt-PT"/>
        </w:rPr>
        <w:t xml:space="preserve"> </w:t>
      </w:r>
      <w:r>
        <w:rPr>
          <w:rFonts w:ascii="Times New Roman" w:hAnsi="Times New Roman"/>
          <w:sz w:val="20"/>
          <w:szCs w:val="20"/>
        </w:rPr>
        <w:t>се</w:t>
      </w:r>
      <w:r>
        <w:rPr>
          <w:rFonts w:ascii="Times New Roman" w:hAnsi="Times New Roman"/>
          <w:sz w:val="20"/>
          <w:szCs w:val="20"/>
          <w:lang w:val="pt-PT"/>
        </w:rPr>
        <w:t xml:space="preserve"> </w:t>
      </w:r>
      <w:r>
        <w:rPr>
          <w:rFonts w:ascii="Times New Roman" w:hAnsi="Times New Roman"/>
          <w:sz w:val="20"/>
          <w:szCs w:val="20"/>
        </w:rPr>
        <w:t>прилага</w:t>
      </w:r>
      <w:r>
        <w:rPr>
          <w:rFonts w:ascii="Times New Roman" w:hAnsi="Times New Roman"/>
          <w:sz w:val="20"/>
          <w:szCs w:val="20"/>
          <w:lang w:val="pt-PT"/>
        </w:rPr>
        <w:t xml:space="preserve"> </w:t>
      </w:r>
      <w:r>
        <w:rPr>
          <w:rFonts w:ascii="Times New Roman" w:hAnsi="Times New Roman"/>
          <w:sz w:val="20"/>
          <w:szCs w:val="20"/>
        </w:rPr>
        <w:t>гласуването</w:t>
      </w:r>
      <w:r>
        <w:rPr>
          <w:rFonts w:ascii="Times New Roman" w:hAnsi="Times New Roman"/>
          <w:sz w:val="20"/>
          <w:szCs w:val="20"/>
          <w:lang w:val="pt-PT"/>
        </w:rPr>
        <w:t xml:space="preserve"> </w:t>
      </w:r>
      <w:r>
        <w:rPr>
          <w:rFonts w:ascii="Times New Roman" w:hAnsi="Times New Roman"/>
          <w:sz w:val="20"/>
          <w:szCs w:val="20"/>
        </w:rPr>
        <w:t>с</w:t>
      </w:r>
      <w:r>
        <w:rPr>
          <w:rFonts w:ascii="Times New Roman" w:hAnsi="Times New Roman"/>
          <w:sz w:val="20"/>
          <w:szCs w:val="20"/>
          <w:lang w:val="pt-PT"/>
        </w:rPr>
        <w:t xml:space="preserve"> </w:t>
      </w:r>
      <w:r>
        <w:rPr>
          <w:rFonts w:ascii="Times New Roman" w:hAnsi="Times New Roman"/>
          <w:sz w:val="20"/>
          <w:szCs w:val="20"/>
        </w:rPr>
        <w:t>квалифицирано</w:t>
      </w:r>
      <w:r>
        <w:rPr>
          <w:rFonts w:ascii="Times New Roman" w:hAnsi="Times New Roman"/>
          <w:sz w:val="20"/>
          <w:szCs w:val="20"/>
          <w:lang w:val="pt-PT"/>
        </w:rPr>
        <w:t xml:space="preserve"> </w:t>
      </w:r>
      <w:r>
        <w:rPr>
          <w:rFonts w:ascii="Times New Roman" w:hAnsi="Times New Roman"/>
          <w:sz w:val="20"/>
          <w:szCs w:val="20"/>
        </w:rPr>
        <w:t>мнозинство</w:t>
      </w:r>
      <w:r>
        <w:rPr>
          <w:rFonts w:ascii="Times New Roman" w:hAnsi="Times New Roman"/>
          <w:sz w:val="20"/>
          <w:szCs w:val="20"/>
          <w:lang w:val="pt-PT"/>
        </w:rPr>
        <w:t xml:space="preserve"> </w:t>
      </w:r>
      <w:r>
        <w:rPr>
          <w:rFonts w:ascii="Times New Roman" w:hAnsi="Times New Roman"/>
          <w:sz w:val="20"/>
          <w:szCs w:val="20"/>
        </w:rPr>
        <w:t>по</w:t>
      </w:r>
      <w:r>
        <w:rPr>
          <w:rFonts w:ascii="Times New Roman" w:hAnsi="Times New Roman"/>
          <w:sz w:val="20"/>
          <w:szCs w:val="20"/>
          <w:lang w:val="pt-PT"/>
        </w:rPr>
        <w:t xml:space="preserve"> </w:t>
      </w:r>
      <w:r>
        <w:rPr>
          <w:rFonts w:ascii="Times New Roman" w:hAnsi="Times New Roman"/>
          <w:sz w:val="20"/>
          <w:szCs w:val="20"/>
        </w:rPr>
        <w:t>обикновената</w:t>
      </w:r>
      <w:r>
        <w:rPr>
          <w:rFonts w:ascii="Times New Roman" w:hAnsi="Times New Roman"/>
          <w:sz w:val="20"/>
          <w:szCs w:val="20"/>
          <w:lang w:val="pt-PT"/>
        </w:rPr>
        <w:t xml:space="preserve"> </w:t>
      </w:r>
      <w:r>
        <w:rPr>
          <w:rFonts w:ascii="Times New Roman" w:hAnsi="Times New Roman"/>
          <w:sz w:val="20"/>
          <w:szCs w:val="20"/>
        </w:rPr>
        <w:t>законодателна</w:t>
      </w:r>
      <w:r>
        <w:rPr>
          <w:rFonts w:ascii="Times New Roman" w:hAnsi="Times New Roman"/>
          <w:sz w:val="20"/>
          <w:szCs w:val="20"/>
          <w:lang w:val="pt-PT"/>
        </w:rPr>
        <w:t xml:space="preserve"> </w:t>
      </w:r>
      <w:r>
        <w:rPr>
          <w:rFonts w:ascii="Times New Roman" w:hAnsi="Times New Roman"/>
          <w:sz w:val="20"/>
          <w:szCs w:val="20"/>
        </w:rPr>
        <w:t>процедура</w:t>
      </w:r>
      <w:r>
        <w:rPr>
          <w:rFonts w:ascii="Times New Roman" w:hAnsi="Times New Roman"/>
          <w:sz w:val="20"/>
          <w:szCs w:val="20"/>
          <w:lang w:val="pt-PT"/>
        </w:rPr>
        <w:t xml:space="preserve">. </w:t>
      </w:r>
      <w:r>
        <w:rPr>
          <w:rFonts w:ascii="Times New Roman" w:hAnsi="Times New Roman"/>
          <w:color w:val="auto"/>
          <w:sz w:val="20"/>
          <w:szCs w:val="20"/>
        </w:rPr>
        <w:t>Вж</w:t>
      </w:r>
      <w:r>
        <w:rPr>
          <w:rFonts w:ascii="Times New Roman" w:hAnsi="Times New Roman"/>
          <w:color w:val="auto"/>
          <w:sz w:val="20"/>
          <w:szCs w:val="20"/>
          <w:lang w:val="pt-PT"/>
        </w:rPr>
        <w:t xml:space="preserve">. </w:t>
      </w:r>
      <w:r>
        <w:rPr>
          <w:rFonts w:ascii="Times New Roman" w:hAnsi="Times New Roman"/>
          <w:color w:val="auto"/>
          <w:sz w:val="20"/>
          <w:szCs w:val="20"/>
        </w:rPr>
        <w:t>приложение</w:t>
      </w:r>
      <w:r>
        <w:rPr>
          <w:rFonts w:ascii="Times New Roman" w:hAnsi="Times New Roman"/>
          <w:color w:val="auto"/>
          <w:sz w:val="20"/>
          <w:szCs w:val="20"/>
          <w:lang w:val="pt-PT"/>
        </w:rPr>
        <w:t xml:space="preserve"> 1 </w:t>
      </w:r>
      <w:r>
        <w:rPr>
          <w:rFonts w:ascii="Times New Roman" w:hAnsi="Times New Roman"/>
          <w:color w:val="auto"/>
          <w:sz w:val="20"/>
          <w:szCs w:val="20"/>
        </w:rPr>
        <w:t>за</w:t>
      </w:r>
      <w:r>
        <w:rPr>
          <w:rFonts w:ascii="Times New Roman" w:hAnsi="Times New Roman"/>
          <w:color w:val="auto"/>
          <w:sz w:val="20"/>
          <w:szCs w:val="20"/>
          <w:lang w:val="pt-PT"/>
        </w:rPr>
        <w:t xml:space="preserve"> </w:t>
      </w:r>
      <w:r>
        <w:rPr>
          <w:rFonts w:ascii="Times New Roman" w:hAnsi="Times New Roman"/>
          <w:color w:val="auto"/>
          <w:sz w:val="20"/>
          <w:szCs w:val="20"/>
        </w:rPr>
        <w:t>обзор</w:t>
      </w:r>
      <w:r>
        <w:rPr>
          <w:rFonts w:ascii="Times New Roman" w:hAnsi="Times New Roman"/>
          <w:color w:val="auto"/>
          <w:sz w:val="20"/>
          <w:szCs w:val="20"/>
          <w:lang w:val="pt-PT"/>
        </w:rPr>
        <w:t xml:space="preserve"> </w:t>
      </w:r>
      <w:r>
        <w:rPr>
          <w:rFonts w:ascii="Times New Roman" w:hAnsi="Times New Roman"/>
          <w:color w:val="auto"/>
          <w:sz w:val="20"/>
          <w:szCs w:val="20"/>
        </w:rPr>
        <w:t>на</w:t>
      </w:r>
      <w:r>
        <w:rPr>
          <w:rFonts w:ascii="Times New Roman" w:hAnsi="Times New Roman"/>
          <w:color w:val="auto"/>
          <w:sz w:val="20"/>
          <w:szCs w:val="20"/>
          <w:lang w:val="pt-PT"/>
        </w:rPr>
        <w:t xml:space="preserve"> </w:t>
      </w:r>
      <w:r>
        <w:rPr>
          <w:rFonts w:ascii="Times New Roman" w:hAnsi="Times New Roman"/>
          <w:color w:val="auto"/>
          <w:sz w:val="20"/>
          <w:szCs w:val="20"/>
        </w:rPr>
        <w:t>развитието</w:t>
      </w:r>
      <w:r>
        <w:rPr>
          <w:rFonts w:ascii="Times New Roman" w:hAnsi="Times New Roman"/>
          <w:color w:val="auto"/>
          <w:sz w:val="20"/>
          <w:szCs w:val="20"/>
          <w:lang w:val="pt-PT"/>
        </w:rPr>
        <w:t xml:space="preserve"> </w:t>
      </w:r>
      <w:r>
        <w:rPr>
          <w:rFonts w:ascii="Times New Roman" w:hAnsi="Times New Roman"/>
          <w:color w:val="auto"/>
          <w:sz w:val="20"/>
          <w:szCs w:val="20"/>
        </w:rPr>
        <w:t>на</w:t>
      </w:r>
      <w:r>
        <w:rPr>
          <w:rFonts w:ascii="Times New Roman" w:hAnsi="Times New Roman"/>
          <w:color w:val="auto"/>
          <w:sz w:val="20"/>
          <w:szCs w:val="20"/>
          <w:lang w:val="pt-PT"/>
        </w:rPr>
        <w:t xml:space="preserve"> </w:t>
      </w:r>
      <w:r>
        <w:rPr>
          <w:rFonts w:ascii="Times New Roman" w:hAnsi="Times New Roman"/>
          <w:color w:val="auto"/>
          <w:sz w:val="20"/>
          <w:szCs w:val="20"/>
        </w:rPr>
        <w:t>достиженията</w:t>
      </w:r>
      <w:r>
        <w:rPr>
          <w:rFonts w:ascii="Times New Roman" w:hAnsi="Times New Roman"/>
          <w:color w:val="auto"/>
          <w:sz w:val="20"/>
          <w:szCs w:val="20"/>
          <w:lang w:val="pt-PT"/>
        </w:rPr>
        <w:t xml:space="preserve"> </w:t>
      </w:r>
      <w:r>
        <w:rPr>
          <w:rFonts w:ascii="Times New Roman" w:hAnsi="Times New Roman"/>
          <w:color w:val="auto"/>
          <w:sz w:val="20"/>
          <w:szCs w:val="20"/>
        </w:rPr>
        <w:t>на</w:t>
      </w:r>
      <w:r>
        <w:rPr>
          <w:rFonts w:ascii="Times New Roman" w:hAnsi="Times New Roman"/>
          <w:color w:val="auto"/>
          <w:sz w:val="20"/>
          <w:szCs w:val="20"/>
          <w:lang w:val="pt-PT"/>
        </w:rPr>
        <w:t xml:space="preserve"> </w:t>
      </w:r>
      <w:r>
        <w:rPr>
          <w:rFonts w:ascii="Times New Roman" w:hAnsi="Times New Roman"/>
          <w:color w:val="auto"/>
          <w:sz w:val="20"/>
          <w:szCs w:val="20"/>
        </w:rPr>
        <w:t>правото</w:t>
      </w:r>
      <w:r>
        <w:rPr>
          <w:rFonts w:ascii="Times New Roman" w:hAnsi="Times New Roman"/>
          <w:color w:val="auto"/>
          <w:sz w:val="20"/>
          <w:szCs w:val="20"/>
          <w:lang w:val="pt-PT"/>
        </w:rPr>
        <w:t xml:space="preserve"> </w:t>
      </w:r>
      <w:r>
        <w:rPr>
          <w:rFonts w:ascii="Times New Roman" w:hAnsi="Times New Roman"/>
          <w:color w:val="auto"/>
          <w:sz w:val="20"/>
          <w:szCs w:val="20"/>
        </w:rPr>
        <w:t>на</w:t>
      </w:r>
      <w:r>
        <w:rPr>
          <w:rFonts w:ascii="Times New Roman" w:hAnsi="Times New Roman"/>
          <w:color w:val="auto"/>
          <w:sz w:val="20"/>
          <w:szCs w:val="20"/>
          <w:lang w:val="pt-PT"/>
        </w:rPr>
        <w:t xml:space="preserve"> </w:t>
      </w:r>
      <w:r>
        <w:rPr>
          <w:rFonts w:ascii="Times New Roman" w:hAnsi="Times New Roman"/>
          <w:color w:val="auto"/>
          <w:sz w:val="20"/>
          <w:szCs w:val="20"/>
        </w:rPr>
        <w:t>ЕС</w:t>
      </w:r>
      <w:r>
        <w:rPr>
          <w:rFonts w:ascii="Times New Roman" w:hAnsi="Times New Roman"/>
          <w:color w:val="auto"/>
          <w:sz w:val="20"/>
          <w:szCs w:val="20"/>
          <w:lang w:val="pt-PT"/>
        </w:rPr>
        <w:t xml:space="preserve"> </w:t>
      </w:r>
      <w:r>
        <w:rPr>
          <w:rFonts w:ascii="Times New Roman" w:hAnsi="Times New Roman"/>
          <w:color w:val="auto"/>
          <w:sz w:val="20"/>
          <w:szCs w:val="20"/>
        </w:rPr>
        <w:t>в</w:t>
      </w:r>
      <w:r>
        <w:rPr>
          <w:rFonts w:ascii="Times New Roman" w:hAnsi="Times New Roman"/>
          <w:color w:val="auto"/>
          <w:sz w:val="20"/>
          <w:szCs w:val="20"/>
          <w:lang w:val="pt-PT"/>
        </w:rPr>
        <w:t xml:space="preserve"> </w:t>
      </w:r>
      <w:r>
        <w:rPr>
          <w:rFonts w:ascii="Times New Roman" w:hAnsi="Times New Roman"/>
          <w:color w:val="auto"/>
          <w:sz w:val="20"/>
          <w:szCs w:val="20"/>
        </w:rPr>
        <w:t>областта</w:t>
      </w:r>
      <w:r>
        <w:rPr>
          <w:rFonts w:ascii="Times New Roman" w:hAnsi="Times New Roman"/>
          <w:color w:val="auto"/>
          <w:sz w:val="20"/>
          <w:szCs w:val="20"/>
          <w:lang w:val="pt-PT"/>
        </w:rPr>
        <w:t xml:space="preserve"> </w:t>
      </w:r>
      <w:r>
        <w:rPr>
          <w:rFonts w:ascii="Times New Roman" w:hAnsi="Times New Roman"/>
          <w:color w:val="auto"/>
          <w:sz w:val="20"/>
          <w:szCs w:val="20"/>
        </w:rPr>
        <w:t>на</w:t>
      </w:r>
      <w:r>
        <w:rPr>
          <w:rFonts w:ascii="Times New Roman" w:hAnsi="Times New Roman"/>
          <w:color w:val="auto"/>
          <w:sz w:val="20"/>
          <w:szCs w:val="20"/>
          <w:lang w:val="pt-PT"/>
        </w:rPr>
        <w:t xml:space="preserve"> </w:t>
      </w:r>
      <w:r>
        <w:rPr>
          <w:rFonts w:ascii="Times New Roman" w:hAnsi="Times New Roman"/>
          <w:color w:val="auto"/>
          <w:sz w:val="20"/>
          <w:szCs w:val="20"/>
        </w:rPr>
        <w:t>социалната</w:t>
      </w:r>
      <w:r>
        <w:rPr>
          <w:rFonts w:ascii="Times New Roman" w:hAnsi="Times New Roman"/>
          <w:color w:val="auto"/>
          <w:sz w:val="20"/>
          <w:szCs w:val="20"/>
          <w:lang w:val="pt-PT"/>
        </w:rPr>
        <w:t xml:space="preserve"> </w:t>
      </w:r>
      <w:r>
        <w:rPr>
          <w:rFonts w:ascii="Times New Roman" w:hAnsi="Times New Roman"/>
          <w:color w:val="auto"/>
          <w:sz w:val="20"/>
          <w:szCs w:val="20"/>
        </w:rPr>
        <w:t>политика</w:t>
      </w:r>
      <w:r>
        <w:rPr>
          <w:rFonts w:ascii="Times New Roman" w:hAnsi="Times New Roman"/>
          <w:color w:val="auto"/>
          <w:sz w:val="20"/>
          <w:szCs w:val="20"/>
          <w:lang w:val="pt-PT"/>
        </w:rPr>
        <w:t>.</w:t>
      </w:r>
      <w:r>
        <w:rPr>
          <w:rFonts w:ascii="Times New Roman" w:hAnsi="Times New Roman"/>
          <w:sz w:val="20"/>
          <w:szCs w:val="20"/>
          <w:lang w:val="pt-PT"/>
        </w:rPr>
        <w:t xml:space="preserve"> </w:t>
      </w:r>
      <w:r>
        <w:rPr>
          <w:rFonts w:ascii="Times New Roman" w:hAnsi="Times New Roman"/>
          <w:sz w:val="20"/>
          <w:szCs w:val="20"/>
        </w:rPr>
        <w:t>Тази</w:t>
      </w:r>
      <w:r>
        <w:rPr>
          <w:rFonts w:ascii="Times New Roman" w:hAnsi="Times New Roman"/>
          <w:sz w:val="20"/>
          <w:szCs w:val="20"/>
          <w:lang w:val="pt-PT"/>
        </w:rPr>
        <w:t xml:space="preserve"> </w:t>
      </w:r>
      <w:r>
        <w:rPr>
          <w:rFonts w:ascii="Times New Roman" w:hAnsi="Times New Roman"/>
          <w:sz w:val="20"/>
          <w:szCs w:val="20"/>
        </w:rPr>
        <w:t>промяна</w:t>
      </w:r>
      <w:r>
        <w:rPr>
          <w:rFonts w:ascii="Times New Roman" w:hAnsi="Times New Roman"/>
          <w:sz w:val="20"/>
          <w:szCs w:val="20"/>
          <w:lang w:val="pt-PT"/>
        </w:rPr>
        <w:t xml:space="preserve"> </w:t>
      </w:r>
      <w:r>
        <w:rPr>
          <w:rFonts w:ascii="Times New Roman" w:hAnsi="Times New Roman"/>
          <w:sz w:val="20"/>
          <w:szCs w:val="20"/>
        </w:rPr>
        <w:t>бе</w:t>
      </w:r>
      <w:r>
        <w:rPr>
          <w:rFonts w:ascii="Times New Roman" w:hAnsi="Times New Roman"/>
          <w:sz w:val="20"/>
          <w:szCs w:val="20"/>
          <w:lang w:val="pt-PT"/>
        </w:rPr>
        <w:t xml:space="preserve"> </w:t>
      </w:r>
      <w:r>
        <w:rPr>
          <w:rFonts w:ascii="Times New Roman" w:hAnsi="Times New Roman"/>
          <w:sz w:val="20"/>
          <w:szCs w:val="20"/>
        </w:rPr>
        <w:t>придружена</w:t>
      </w:r>
      <w:r>
        <w:rPr>
          <w:rFonts w:ascii="Times New Roman" w:hAnsi="Times New Roman"/>
          <w:sz w:val="20"/>
          <w:szCs w:val="20"/>
          <w:lang w:val="pt-PT"/>
        </w:rPr>
        <w:t xml:space="preserve"> </w:t>
      </w:r>
      <w:r>
        <w:rPr>
          <w:rFonts w:ascii="Times New Roman" w:hAnsi="Times New Roman"/>
          <w:sz w:val="20"/>
          <w:szCs w:val="20"/>
        </w:rPr>
        <w:t>от</w:t>
      </w:r>
      <w:r>
        <w:rPr>
          <w:rFonts w:ascii="Times New Roman" w:hAnsi="Times New Roman"/>
          <w:sz w:val="20"/>
          <w:szCs w:val="20"/>
          <w:lang w:val="pt-PT"/>
        </w:rPr>
        <w:t xml:space="preserve"> </w:t>
      </w:r>
      <w:r>
        <w:rPr>
          <w:rFonts w:ascii="Times New Roman" w:hAnsi="Times New Roman"/>
          <w:sz w:val="20"/>
          <w:szCs w:val="20"/>
        </w:rPr>
        <w:t>въвеждането</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клауза</w:t>
      </w:r>
      <w:r>
        <w:rPr>
          <w:rFonts w:ascii="Times New Roman" w:hAnsi="Times New Roman"/>
          <w:sz w:val="20"/>
          <w:szCs w:val="20"/>
          <w:lang w:val="pt-PT"/>
        </w:rPr>
        <w:t xml:space="preserve"> </w:t>
      </w:r>
      <w:r>
        <w:rPr>
          <w:rFonts w:ascii="Times New Roman" w:hAnsi="Times New Roman"/>
          <w:sz w:val="20"/>
          <w:szCs w:val="20"/>
        </w:rPr>
        <w:t>за</w:t>
      </w:r>
      <w:r>
        <w:rPr>
          <w:rFonts w:ascii="Times New Roman" w:hAnsi="Times New Roman"/>
          <w:sz w:val="20"/>
          <w:szCs w:val="20"/>
          <w:lang w:val="pt-PT"/>
        </w:rPr>
        <w:t xml:space="preserve"> „</w:t>
      </w:r>
      <w:r>
        <w:rPr>
          <w:rFonts w:ascii="Times New Roman" w:hAnsi="Times New Roman"/>
          <w:sz w:val="20"/>
          <w:szCs w:val="20"/>
        </w:rPr>
        <w:t>аварийна</w:t>
      </w:r>
      <w:r>
        <w:rPr>
          <w:rFonts w:ascii="Times New Roman" w:hAnsi="Times New Roman"/>
          <w:sz w:val="20"/>
          <w:szCs w:val="20"/>
          <w:lang w:val="pt-PT"/>
        </w:rPr>
        <w:t xml:space="preserve"> </w:t>
      </w:r>
      <w:r>
        <w:rPr>
          <w:rFonts w:ascii="Times New Roman" w:hAnsi="Times New Roman"/>
          <w:sz w:val="20"/>
          <w:szCs w:val="20"/>
        </w:rPr>
        <w:t>спирачка</w:t>
      </w:r>
      <w:r>
        <w:rPr>
          <w:rFonts w:ascii="Times New Roman" w:hAnsi="Times New Roman"/>
          <w:sz w:val="20"/>
          <w:szCs w:val="20"/>
          <w:lang w:val="pt-PT"/>
        </w:rPr>
        <w:t xml:space="preserve">“, </w:t>
      </w:r>
      <w:r>
        <w:rPr>
          <w:rFonts w:ascii="Times New Roman" w:hAnsi="Times New Roman"/>
          <w:sz w:val="20"/>
          <w:szCs w:val="20"/>
        </w:rPr>
        <w:t>съдържаща</w:t>
      </w:r>
      <w:r>
        <w:rPr>
          <w:rFonts w:ascii="Times New Roman" w:hAnsi="Times New Roman"/>
          <w:sz w:val="20"/>
          <w:szCs w:val="20"/>
          <w:lang w:val="pt-PT"/>
        </w:rPr>
        <w:t xml:space="preserve"> </w:t>
      </w:r>
      <w:r>
        <w:rPr>
          <w:rFonts w:ascii="Times New Roman" w:hAnsi="Times New Roman"/>
          <w:sz w:val="20"/>
          <w:szCs w:val="20"/>
        </w:rPr>
        <w:t>се</w:t>
      </w:r>
      <w:r>
        <w:rPr>
          <w:rFonts w:ascii="Times New Roman" w:hAnsi="Times New Roman"/>
          <w:sz w:val="20"/>
          <w:szCs w:val="20"/>
          <w:lang w:val="pt-PT"/>
        </w:rPr>
        <w:t xml:space="preserve"> </w:t>
      </w:r>
      <w:r>
        <w:rPr>
          <w:rFonts w:ascii="Times New Roman" w:hAnsi="Times New Roman"/>
          <w:sz w:val="20"/>
          <w:szCs w:val="20"/>
        </w:rPr>
        <w:t>в</w:t>
      </w:r>
      <w:r>
        <w:rPr>
          <w:rFonts w:ascii="Times New Roman" w:hAnsi="Times New Roman"/>
          <w:sz w:val="20"/>
          <w:szCs w:val="20"/>
          <w:lang w:val="pt-PT"/>
        </w:rPr>
        <w:t xml:space="preserve"> </w:t>
      </w:r>
      <w:r>
        <w:rPr>
          <w:rFonts w:ascii="Times New Roman" w:hAnsi="Times New Roman"/>
          <w:sz w:val="20"/>
          <w:szCs w:val="20"/>
        </w:rPr>
        <w:t>член</w:t>
      </w:r>
      <w:r>
        <w:rPr>
          <w:rFonts w:ascii="Times New Roman" w:hAnsi="Times New Roman"/>
          <w:sz w:val="20"/>
          <w:szCs w:val="20"/>
          <w:lang w:val="pt-PT"/>
        </w:rPr>
        <w:t xml:space="preserve"> 48 </w:t>
      </w:r>
      <w:r>
        <w:rPr>
          <w:rFonts w:ascii="Times New Roman" w:hAnsi="Times New Roman"/>
          <w:sz w:val="20"/>
          <w:szCs w:val="20"/>
        </w:rPr>
        <w:t>от</w:t>
      </w:r>
      <w:r>
        <w:rPr>
          <w:rFonts w:ascii="Times New Roman" w:hAnsi="Times New Roman"/>
          <w:sz w:val="20"/>
          <w:szCs w:val="20"/>
          <w:lang w:val="pt-PT"/>
        </w:rPr>
        <w:t xml:space="preserve"> </w:t>
      </w:r>
      <w:r>
        <w:rPr>
          <w:rFonts w:ascii="Times New Roman" w:hAnsi="Times New Roman"/>
          <w:sz w:val="20"/>
          <w:szCs w:val="20"/>
        </w:rPr>
        <w:t>ДФЕС</w:t>
      </w:r>
      <w:r>
        <w:rPr>
          <w:rFonts w:ascii="Times New Roman" w:hAnsi="Times New Roman"/>
          <w:sz w:val="20"/>
          <w:szCs w:val="20"/>
          <w:lang w:val="pt-PT"/>
        </w:rPr>
        <w:t xml:space="preserve">, </w:t>
      </w:r>
      <w:r>
        <w:rPr>
          <w:rFonts w:ascii="Times New Roman" w:hAnsi="Times New Roman"/>
          <w:sz w:val="20"/>
          <w:szCs w:val="20"/>
        </w:rPr>
        <w:t>съгласно</w:t>
      </w:r>
      <w:r>
        <w:rPr>
          <w:rFonts w:ascii="Times New Roman" w:hAnsi="Times New Roman"/>
          <w:sz w:val="20"/>
          <w:szCs w:val="20"/>
          <w:lang w:val="pt-PT"/>
        </w:rPr>
        <w:t xml:space="preserve"> </w:t>
      </w:r>
      <w:r>
        <w:rPr>
          <w:rFonts w:ascii="Times New Roman" w:hAnsi="Times New Roman"/>
          <w:sz w:val="20"/>
          <w:szCs w:val="20"/>
        </w:rPr>
        <w:t>която</w:t>
      </w:r>
      <w:r>
        <w:rPr>
          <w:rFonts w:ascii="Times New Roman" w:hAnsi="Times New Roman"/>
          <w:sz w:val="20"/>
          <w:szCs w:val="20"/>
          <w:lang w:val="pt-PT"/>
        </w:rPr>
        <w:t xml:space="preserve"> </w:t>
      </w:r>
      <w:r>
        <w:rPr>
          <w:rFonts w:ascii="Times New Roman" w:hAnsi="Times New Roman"/>
          <w:sz w:val="20"/>
          <w:szCs w:val="20"/>
        </w:rPr>
        <w:t>член</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Съвета</w:t>
      </w:r>
      <w:r>
        <w:rPr>
          <w:rFonts w:ascii="Times New Roman" w:hAnsi="Times New Roman"/>
          <w:sz w:val="20"/>
          <w:szCs w:val="20"/>
          <w:lang w:val="pt-PT"/>
        </w:rPr>
        <w:t xml:space="preserve"> </w:t>
      </w:r>
      <w:r>
        <w:rPr>
          <w:rFonts w:ascii="Times New Roman" w:hAnsi="Times New Roman"/>
          <w:sz w:val="20"/>
          <w:szCs w:val="20"/>
        </w:rPr>
        <w:t>може</w:t>
      </w:r>
      <w:r>
        <w:rPr>
          <w:rFonts w:ascii="Times New Roman" w:hAnsi="Times New Roman"/>
          <w:sz w:val="20"/>
          <w:szCs w:val="20"/>
          <w:lang w:val="pt-PT"/>
        </w:rPr>
        <w:t xml:space="preserve"> </w:t>
      </w:r>
      <w:r>
        <w:rPr>
          <w:rFonts w:ascii="Times New Roman" w:hAnsi="Times New Roman"/>
          <w:sz w:val="20"/>
          <w:szCs w:val="20"/>
        </w:rPr>
        <w:t>да</w:t>
      </w:r>
      <w:r>
        <w:rPr>
          <w:rFonts w:ascii="Times New Roman" w:hAnsi="Times New Roman"/>
          <w:sz w:val="20"/>
          <w:szCs w:val="20"/>
          <w:lang w:val="pt-PT"/>
        </w:rPr>
        <w:t xml:space="preserve"> </w:t>
      </w:r>
      <w:r>
        <w:rPr>
          <w:rFonts w:ascii="Times New Roman" w:hAnsi="Times New Roman"/>
          <w:sz w:val="20"/>
          <w:szCs w:val="20"/>
        </w:rPr>
        <w:t>заяви</w:t>
      </w:r>
      <w:r>
        <w:rPr>
          <w:rFonts w:ascii="Times New Roman" w:hAnsi="Times New Roman"/>
          <w:sz w:val="20"/>
          <w:szCs w:val="20"/>
          <w:lang w:val="pt-PT"/>
        </w:rPr>
        <w:t xml:space="preserve">, </w:t>
      </w:r>
      <w:r>
        <w:rPr>
          <w:rFonts w:ascii="Times New Roman" w:hAnsi="Times New Roman"/>
          <w:sz w:val="20"/>
          <w:szCs w:val="20"/>
        </w:rPr>
        <w:t>че</w:t>
      </w:r>
      <w:r>
        <w:rPr>
          <w:rFonts w:ascii="Times New Roman" w:hAnsi="Times New Roman"/>
          <w:sz w:val="20"/>
          <w:szCs w:val="20"/>
          <w:lang w:val="pt-PT"/>
        </w:rPr>
        <w:t xml:space="preserve"> </w:t>
      </w:r>
      <w:r>
        <w:rPr>
          <w:rFonts w:ascii="Times New Roman" w:hAnsi="Times New Roman"/>
          <w:sz w:val="20"/>
          <w:szCs w:val="20"/>
        </w:rPr>
        <w:t>даден</w:t>
      </w:r>
      <w:r>
        <w:rPr>
          <w:rFonts w:ascii="Times New Roman" w:hAnsi="Times New Roman"/>
          <w:sz w:val="20"/>
          <w:szCs w:val="20"/>
          <w:lang w:val="pt-PT"/>
        </w:rPr>
        <w:t xml:space="preserve"> </w:t>
      </w:r>
      <w:r>
        <w:rPr>
          <w:rFonts w:ascii="Times New Roman" w:hAnsi="Times New Roman"/>
          <w:sz w:val="20"/>
          <w:szCs w:val="20"/>
        </w:rPr>
        <w:t>проект</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законодателен</w:t>
      </w:r>
      <w:r>
        <w:rPr>
          <w:rFonts w:ascii="Times New Roman" w:hAnsi="Times New Roman"/>
          <w:sz w:val="20"/>
          <w:szCs w:val="20"/>
          <w:lang w:val="pt-PT"/>
        </w:rPr>
        <w:t xml:space="preserve"> </w:t>
      </w:r>
      <w:r>
        <w:rPr>
          <w:rFonts w:ascii="Times New Roman" w:hAnsi="Times New Roman"/>
          <w:sz w:val="20"/>
          <w:szCs w:val="20"/>
        </w:rPr>
        <w:t>акт</w:t>
      </w:r>
      <w:r>
        <w:rPr>
          <w:rFonts w:ascii="Times New Roman" w:hAnsi="Times New Roman"/>
          <w:sz w:val="20"/>
          <w:szCs w:val="20"/>
          <w:lang w:val="pt-PT"/>
        </w:rPr>
        <w:t xml:space="preserve"> </w:t>
      </w:r>
      <w:r>
        <w:rPr>
          <w:rFonts w:ascii="Times New Roman" w:hAnsi="Times New Roman"/>
          <w:sz w:val="20"/>
          <w:szCs w:val="20"/>
        </w:rPr>
        <w:t>относно</w:t>
      </w:r>
      <w:r>
        <w:rPr>
          <w:rFonts w:ascii="Times New Roman" w:hAnsi="Times New Roman"/>
          <w:sz w:val="20"/>
          <w:szCs w:val="20"/>
          <w:lang w:val="pt-PT"/>
        </w:rPr>
        <w:t xml:space="preserve"> </w:t>
      </w:r>
      <w:r>
        <w:rPr>
          <w:rFonts w:ascii="Times New Roman" w:hAnsi="Times New Roman"/>
          <w:sz w:val="20"/>
          <w:szCs w:val="20"/>
        </w:rPr>
        <w:t>координацията</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социалната</w:t>
      </w:r>
      <w:r>
        <w:rPr>
          <w:rFonts w:ascii="Times New Roman" w:hAnsi="Times New Roman"/>
          <w:sz w:val="20"/>
          <w:szCs w:val="20"/>
          <w:lang w:val="pt-PT"/>
        </w:rPr>
        <w:t xml:space="preserve"> </w:t>
      </w:r>
      <w:r>
        <w:rPr>
          <w:rFonts w:ascii="Times New Roman" w:hAnsi="Times New Roman"/>
          <w:sz w:val="20"/>
          <w:szCs w:val="20"/>
        </w:rPr>
        <w:t>сигурност</w:t>
      </w:r>
      <w:r>
        <w:rPr>
          <w:rFonts w:ascii="Times New Roman" w:hAnsi="Times New Roman"/>
          <w:sz w:val="20"/>
          <w:szCs w:val="20"/>
          <w:lang w:val="pt-PT"/>
        </w:rPr>
        <w:t xml:space="preserve"> </w:t>
      </w:r>
      <w:r>
        <w:rPr>
          <w:rFonts w:ascii="Times New Roman" w:hAnsi="Times New Roman"/>
          <w:sz w:val="20"/>
          <w:szCs w:val="20"/>
        </w:rPr>
        <w:t>би</w:t>
      </w:r>
      <w:r>
        <w:rPr>
          <w:rFonts w:ascii="Times New Roman" w:hAnsi="Times New Roman"/>
          <w:sz w:val="20"/>
          <w:szCs w:val="20"/>
          <w:lang w:val="pt-PT"/>
        </w:rPr>
        <w:t xml:space="preserve"> </w:t>
      </w:r>
      <w:r>
        <w:rPr>
          <w:rFonts w:ascii="Times New Roman" w:hAnsi="Times New Roman"/>
          <w:sz w:val="20"/>
          <w:szCs w:val="20"/>
        </w:rPr>
        <w:t>засегнал</w:t>
      </w:r>
      <w:r>
        <w:rPr>
          <w:rFonts w:ascii="Times New Roman" w:hAnsi="Times New Roman"/>
          <w:sz w:val="20"/>
          <w:szCs w:val="20"/>
          <w:lang w:val="pt-PT"/>
        </w:rPr>
        <w:t xml:space="preserve"> </w:t>
      </w:r>
      <w:r>
        <w:rPr>
          <w:rFonts w:ascii="Times New Roman" w:hAnsi="Times New Roman"/>
          <w:sz w:val="20"/>
          <w:szCs w:val="20"/>
        </w:rPr>
        <w:t>важни</w:t>
      </w:r>
      <w:r>
        <w:rPr>
          <w:rFonts w:ascii="Times New Roman" w:hAnsi="Times New Roman"/>
          <w:sz w:val="20"/>
          <w:szCs w:val="20"/>
          <w:lang w:val="pt-PT"/>
        </w:rPr>
        <w:t xml:space="preserve"> </w:t>
      </w:r>
      <w:r>
        <w:rPr>
          <w:rFonts w:ascii="Times New Roman" w:hAnsi="Times New Roman"/>
          <w:sz w:val="20"/>
          <w:szCs w:val="20"/>
        </w:rPr>
        <w:t>аспекти</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неговата</w:t>
      </w:r>
      <w:r>
        <w:rPr>
          <w:rFonts w:ascii="Times New Roman" w:hAnsi="Times New Roman"/>
          <w:sz w:val="20"/>
          <w:szCs w:val="20"/>
          <w:lang w:val="pt-PT"/>
        </w:rPr>
        <w:t xml:space="preserve"> </w:t>
      </w:r>
      <w:r>
        <w:rPr>
          <w:rFonts w:ascii="Times New Roman" w:hAnsi="Times New Roman"/>
          <w:sz w:val="20"/>
          <w:szCs w:val="20"/>
        </w:rPr>
        <w:t>система</w:t>
      </w:r>
      <w:r>
        <w:rPr>
          <w:rFonts w:ascii="Times New Roman" w:hAnsi="Times New Roman"/>
          <w:sz w:val="20"/>
          <w:szCs w:val="20"/>
          <w:lang w:val="pt-PT"/>
        </w:rPr>
        <w:t xml:space="preserve"> </w:t>
      </w:r>
      <w:r>
        <w:rPr>
          <w:rFonts w:ascii="Times New Roman" w:hAnsi="Times New Roman"/>
          <w:sz w:val="20"/>
          <w:szCs w:val="20"/>
        </w:rPr>
        <w:t>за</w:t>
      </w:r>
      <w:r>
        <w:rPr>
          <w:rFonts w:ascii="Times New Roman" w:hAnsi="Times New Roman"/>
          <w:sz w:val="20"/>
          <w:szCs w:val="20"/>
          <w:lang w:val="pt-PT"/>
        </w:rPr>
        <w:t xml:space="preserve"> </w:t>
      </w:r>
      <w:r>
        <w:rPr>
          <w:rFonts w:ascii="Times New Roman" w:hAnsi="Times New Roman"/>
          <w:sz w:val="20"/>
          <w:szCs w:val="20"/>
        </w:rPr>
        <w:t>социална</w:t>
      </w:r>
      <w:r>
        <w:rPr>
          <w:rFonts w:ascii="Times New Roman" w:hAnsi="Times New Roman"/>
          <w:sz w:val="20"/>
          <w:szCs w:val="20"/>
          <w:lang w:val="pt-PT"/>
        </w:rPr>
        <w:t xml:space="preserve"> </w:t>
      </w:r>
      <w:r>
        <w:rPr>
          <w:rFonts w:ascii="Times New Roman" w:hAnsi="Times New Roman"/>
          <w:sz w:val="20"/>
          <w:szCs w:val="20"/>
        </w:rPr>
        <w:t>сигурност</w:t>
      </w:r>
      <w:r>
        <w:rPr>
          <w:rFonts w:ascii="Times New Roman" w:hAnsi="Times New Roman"/>
          <w:sz w:val="20"/>
          <w:szCs w:val="20"/>
          <w:lang w:val="pt-PT"/>
        </w:rPr>
        <w:t xml:space="preserve"> (</w:t>
      </w:r>
      <w:r>
        <w:rPr>
          <w:rFonts w:ascii="Times New Roman" w:hAnsi="Times New Roman"/>
          <w:sz w:val="20"/>
          <w:szCs w:val="20"/>
        </w:rPr>
        <w:t>включително</w:t>
      </w:r>
      <w:r>
        <w:rPr>
          <w:rFonts w:ascii="Times New Roman" w:hAnsi="Times New Roman"/>
          <w:sz w:val="20"/>
          <w:szCs w:val="20"/>
          <w:lang w:val="pt-PT"/>
        </w:rPr>
        <w:t xml:space="preserve"> </w:t>
      </w:r>
      <w:r>
        <w:rPr>
          <w:rFonts w:ascii="Times New Roman" w:hAnsi="Times New Roman"/>
          <w:sz w:val="20"/>
          <w:szCs w:val="20"/>
        </w:rPr>
        <w:t>нейните</w:t>
      </w:r>
      <w:r>
        <w:rPr>
          <w:rFonts w:ascii="Times New Roman" w:hAnsi="Times New Roman"/>
          <w:sz w:val="20"/>
          <w:szCs w:val="20"/>
          <w:lang w:val="pt-PT"/>
        </w:rPr>
        <w:t xml:space="preserve"> </w:t>
      </w:r>
      <w:r>
        <w:rPr>
          <w:rFonts w:ascii="Times New Roman" w:hAnsi="Times New Roman"/>
          <w:sz w:val="20"/>
          <w:szCs w:val="20"/>
        </w:rPr>
        <w:t>приложно</w:t>
      </w:r>
      <w:r>
        <w:rPr>
          <w:rFonts w:ascii="Times New Roman" w:hAnsi="Times New Roman"/>
          <w:sz w:val="20"/>
          <w:szCs w:val="20"/>
          <w:lang w:val="pt-PT"/>
        </w:rPr>
        <w:t xml:space="preserve"> </w:t>
      </w:r>
      <w:r>
        <w:rPr>
          <w:rFonts w:ascii="Times New Roman" w:hAnsi="Times New Roman"/>
          <w:sz w:val="20"/>
          <w:szCs w:val="20"/>
        </w:rPr>
        <w:t>поле</w:t>
      </w:r>
      <w:r>
        <w:rPr>
          <w:rFonts w:ascii="Times New Roman" w:hAnsi="Times New Roman"/>
          <w:sz w:val="20"/>
          <w:szCs w:val="20"/>
          <w:lang w:val="pt-PT"/>
        </w:rPr>
        <w:t xml:space="preserve">, </w:t>
      </w:r>
      <w:r>
        <w:rPr>
          <w:rFonts w:ascii="Times New Roman" w:hAnsi="Times New Roman"/>
          <w:sz w:val="20"/>
          <w:szCs w:val="20"/>
        </w:rPr>
        <w:t>разходи</w:t>
      </w:r>
      <w:r>
        <w:rPr>
          <w:rFonts w:ascii="Times New Roman" w:hAnsi="Times New Roman"/>
          <w:sz w:val="20"/>
          <w:szCs w:val="20"/>
          <w:lang w:val="pt-PT"/>
        </w:rPr>
        <w:t xml:space="preserve"> </w:t>
      </w:r>
      <w:r>
        <w:rPr>
          <w:rFonts w:ascii="Times New Roman" w:hAnsi="Times New Roman"/>
          <w:sz w:val="20"/>
          <w:szCs w:val="20"/>
        </w:rPr>
        <w:t>или</w:t>
      </w:r>
      <w:r>
        <w:rPr>
          <w:rFonts w:ascii="Times New Roman" w:hAnsi="Times New Roman"/>
          <w:sz w:val="20"/>
          <w:szCs w:val="20"/>
          <w:lang w:val="pt-PT"/>
        </w:rPr>
        <w:t xml:space="preserve"> </w:t>
      </w:r>
      <w:r>
        <w:rPr>
          <w:rFonts w:ascii="Times New Roman" w:hAnsi="Times New Roman"/>
          <w:sz w:val="20"/>
          <w:szCs w:val="20"/>
        </w:rPr>
        <w:t>финансова</w:t>
      </w:r>
      <w:r>
        <w:rPr>
          <w:rFonts w:ascii="Times New Roman" w:hAnsi="Times New Roman"/>
          <w:sz w:val="20"/>
          <w:szCs w:val="20"/>
          <w:lang w:val="pt-PT"/>
        </w:rPr>
        <w:t xml:space="preserve"> </w:t>
      </w:r>
      <w:r>
        <w:rPr>
          <w:rFonts w:ascii="Times New Roman" w:hAnsi="Times New Roman"/>
          <w:sz w:val="20"/>
          <w:szCs w:val="20"/>
        </w:rPr>
        <w:t>структура</w:t>
      </w:r>
      <w:r>
        <w:rPr>
          <w:rFonts w:ascii="Times New Roman" w:hAnsi="Times New Roman"/>
          <w:sz w:val="20"/>
          <w:szCs w:val="20"/>
          <w:lang w:val="pt-PT"/>
        </w:rPr>
        <w:t xml:space="preserve">) </w:t>
      </w:r>
      <w:r>
        <w:rPr>
          <w:rFonts w:ascii="Times New Roman" w:hAnsi="Times New Roman"/>
          <w:sz w:val="20"/>
          <w:szCs w:val="20"/>
        </w:rPr>
        <w:t>или</w:t>
      </w:r>
      <w:r>
        <w:rPr>
          <w:rFonts w:ascii="Times New Roman" w:hAnsi="Times New Roman"/>
          <w:sz w:val="20"/>
          <w:szCs w:val="20"/>
          <w:lang w:val="pt-PT"/>
        </w:rPr>
        <w:t xml:space="preserve"> </w:t>
      </w:r>
      <w:r>
        <w:rPr>
          <w:rFonts w:ascii="Times New Roman" w:hAnsi="Times New Roman"/>
          <w:sz w:val="20"/>
          <w:szCs w:val="20"/>
        </w:rPr>
        <w:t>нейното</w:t>
      </w:r>
      <w:r>
        <w:rPr>
          <w:rFonts w:ascii="Times New Roman" w:hAnsi="Times New Roman"/>
          <w:sz w:val="20"/>
          <w:szCs w:val="20"/>
          <w:lang w:val="pt-PT"/>
        </w:rPr>
        <w:t xml:space="preserve"> </w:t>
      </w:r>
      <w:r>
        <w:rPr>
          <w:rFonts w:ascii="Times New Roman" w:hAnsi="Times New Roman"/>
          <w:sz w:val="20"/>
          <w:szCs w:val="20"/>
        </w:rPr>
        <w:t>финансово</w:t>
      </w:r>
      <w:r>
        <w:rPr>
          <w:rFonts w:ascii="Times New Roman" w:hAnsi="Times New Roman"/>
          <w:sz w:val="20"/>
          <w:szCs w:val="20"/>
          <w:lang w:val="pt-PT"/>
        </w:rPr>
        <w:t xml:space="preserve"> </w:t>
      </w:r>
      <w:r>
        <w:rPr>
          <w:rFonts w:ascii="Times New Roman" w:hAnsi="Times New Roman"/>
          <w:sz w:val="20"/>
          <w:szCs w:val="20"/>
        </w:rPr>
        <w:t>равновесие</w:t>
      </w:r>
      <w:r>
        <w:rPr>
          <w:rFonts w:ascii="Times New Roman" w:hAnsi="Times New Roman"/>
          <w:sz w:val="20"/>
          <w:szCs w:val="20"/>
          <w:lang w:val="pt-PT"/>
        </w:rPr>
        <w:t xml:space="preserve"> </w:t>
      </w:r>
      <w:r>
        <w:rPr>
          <w:rFonts w:ascii="Times New Roman" w:hAnsi="Times New Roman"/>
          <w:sz w:val="20"/>
          <w:szCs w:val="20"/>
        </w:rPr>
        <w:t>и</w:t>
      </w:r>
      <w:r>
        <w:rPr>
          <w:rFonts w:ascii="Times New Roman" w:hAnsi="Times New Roman"/>
          <w:sz w:val="20"/>
          <w:szCs w:val="20"/>
          <w:lang w:val="pt-PT"/>
        </w:rPr>
        <w:t xml:space="preserve"> </w:t>
      </w:r>
      <w:r>
        <w:rPr>
          <w:rFonts w:ascii="Times New Roman" w:hAnsi="Times New Roman"/>
          <w:sz w:val="20"/>
          <w:szCs w:val="20"/>
        </w:rPr>
        <w:t>да</w:t>
      </w:r>
      <w:r>
        <w:rPr>
          <w:rFonts w:ascii="Times New Roman" w:hAnsi="Times New Roman"/>
          <w:sz w:val="20"/>
          <w:szCs w:val="20"/>
          <w:lang w:val="pt-PT"/>
        </w:rPr>
        <w:t xml:space="preserve"> </w:t>
      </w:r>
      <w:r>
        <w:rPr>
          <w:rFonts w:ascii="Times New Roman" w:hAnsi="Times New Roman"/>
          <w:sz w:val="20"/>
          <w:szCs w:val="20"/>
        </w:rPr>
        <w:t>поиска</w:t>
      </w:r>
      <w:r>
        <w:rPr>
          <w:rFonts w:ascii="Times New Roman" w:hAnsi="Times New Roman"/>
          <w:sz w:val="20"/>
          <w:szCs w:val="20"/>
          <w:lang w:val="pt-PT"/>
        </w:rPr>
        <w:t xml:space="preserve"> </w:t>
      </w:r>
      <w:r>
        <w:rPr>
          <w:rFonts w:ascii="Times New Roman" w:hAnsi="Times New Roman"/>
          <w:sz w:val="20"/>
          <w:szCs w:val="20"/>
        </w:rPr>
        <w:t>този</w:t>
      </w:r>
      <w:r>
        <w:rPr>
          <w:rFonts w:ascii="Times New Roman" w:hAnsi="Times New Roman"/>
          <w:sz w:val="20"/>
          <w:szCs w:val="20"/>
          <w:lang w:val="pt-PT"/>
        </w:rPr>
        <w:t xml:space="preserve"> </w:t>
      </w:r>
      <w:r>
        <w:rPr>
          <w:rFonts w:ascii="Times New Roman" w:hAnsi="Times New Roman"/>
          <w:sz w:val="20"/>
          <w:szCs w:val="20"/>
        </w:rPr>
        <w:t>въпрос</w:t>
      </w:r>
      <w:r>
        <w:rPr>
          <w:rFonts w:ascii="Times New Roman" w:hAnsi="Times New Roman"/>
          <w:sz w:val="20"/>
          <w:szCs w:val="20"/>
          <w:lang w:val="pt-PT"/>
        </w:rPr>
        <w:t xml:space="preserve"> </w:t>
      </w:r>
      <w:r>
        <w:rPr>
          <w:rFonts w:ascii="Times New Roman" w:hAnsi="Times New Roman"/>
          <w:sz w:val="20"/>
          <w:szCs w:val="20"/>
        </w:rPr>
        <w:t>да</w:t>
      </w:r>
      <w:r>
        <w:rPr>
          <w:rFonts w:ascii="Times New Roman" w:hAnsi="Times New Roman"/>
          <w:sz w:val="20"/>
          <w:szCs w:val="20"/>
          <w:lang w:val="pt-PT"/>
        </w:rPr>
        <w:t xml:space="preserve"> </w:t>
      </w:r>
      <w:r>
        <w:rPr>
          <w:rFonts w:ascii="Times New Roman" w:hAnsi="Times New Roman"/>
          <w:sz w:val="20"/>
          <w:szCs w:val="20"/>
        </w:rPr>
        <w:t>бъде</w:t>
      </w:r>
      <w:r>
        <w:rPr>
          <w:rFonts w:ascii="Times New Roman" w:hAnsi="Times New Roman"/>
          <w:sz w:val="20"/>
          <w:szCs w:val="20"/>
          <w:lang w:val="pt-PT"/>
        </w:rPr>
        <w:t xml:space="preserve"> </w:t>
      </w:r>
      <w:r>
        <w:rPr>
          <w:rFonts w:ascii="Times New Roman" w:hAnsi="Times New Roman"/>
          <w:sz w:val="20"/>
          <w:szCs w:val="20"/>
        </w:rPr>
        <w:t>отнесен</w:t>
      </w:r>
      <w:r>
        <w:rPr>
          <w:rFonts w:ascii="Times New Roman" w:hAnsi="Times New Roman"/>
          <w:sz w:val="20"/>
          <w:szCs w:val="20"/>
          <w:lang w:val="pt-PT"/>
        </w:rPr>
        <w:t xml:space="preserve"> </w:t>
      </w:r>
      <w:r>
        <w:rPr>
          <w:rFonts w:ascii="Times New Roman" w:hAnsi="Times New Roman"/>
          <w:sz w:val="20"/>
          <w:szCs w:val="20"/>
        </w:rPr>
        <w:t>до</w:t>
      </w:r>
      <w:r>
        <w:rPr>
          <w:rFonts w:ascii="Times New Roman" w:hAnsi="Times New Roman"/>
          <w:sz w:val="20"/>
          <w:szCs w:val="20"/>
          <w:lang w:val="pt-PT"/>
        </w:rPr>
        <w:t xml:space="preserve"> </w:t>
      </w:r>
      <w:r>
        <w:rPr>
          <w:rFonts w:ascii="Times New Roman" w:hAnsi="Times New Roman"/>
          <w:sz w:val="20"/>
          <w:szCs w:val="20"/>
        </w:rPr>
        <w:t>Европейския</w:t>
      </w:r>
      <w:r>
        <w:rPr>
          <w:rFonts w:ascii="Times New Roman" w:hAnsi="Times New Roman"/>
          <w:sz w:val="20"/>
          <w:szCs w:val="20"/>
          <w:lang w:val="pt-PT"/>
        </w:rPr>
        <w:t xml:space="preserve"> </w:t>
      </w:r>
      <w:r>
        <w:rPr>
          <w:rFonts w:ascii="Times New Roman" w:hAnsi="Times New Roman"/>
          <w:sz w:val="20"/>
          <w:szCs w:val="20"/>
        </w:rPr>
        <w:t>съвет</w:t>
      </w:r>
      <w:r>
        <w:rPr>
          <w:rFonts w:ascii="Times New Roman" w:hAnsi="Times New Roman"/>
          <w:sz w:val="20"/>
          <w:szCs w:val="20"/>
          <w:lang w:val="pt-PT"/>
        </w:rPr>
        <w:t xml:space="preserve">; </w:t>
      </w:r>
      <w:r>
        <w:rPr>
          <w:rFonts w:ascii="Times New Roman" w:hAnsi="Times New Roman"/>
          <w:sz w:val="20"/>
          <w:szCs w:val="20"/>
        </w:rPr>
        <w:t>в</w:t>
      </w:r>
      <w:r>
        <w:rPr>
          <w:rFonts w:ascii="Times New Roman" w:hAnsi="Times New Roman"/>
          <w:sz w:val="20"/>
          <w:szCs w:val="20"/>
          <w:lang w:val="pt-PT"/>
        </w:rPr>
        <w:t xml:space="preserve"> </w:t>
      </w:r>
      <w:r>
        <w:rPr>
          <w:rFonts w:ascii="Times New Roman" w:hAnsi="Times New Roman"/>
          <w:sz w:val="20"/>
          <w:szCs w:val="20"/>
        </w:rPr>
        <w:t>такъв</w:t>
      </w:r>
      <w:r>
        <w:rPr>
          <w:rFonts w:ascii="Times New Roman" w:hAnsi="Times New Roman"/>
          <w:sz w:val="20"/>
          <w:szCs w:val="20"/>
          <w:lang w:val="pt-PT"/>
        </w:rPr>
        <w:t xml:space="preserve"> </w:t>
      </w:r>
      <w:r>
        <w:rPr>
          <w:rFonts w:ascii="Times New Roman" w:hAnsi="Times New Roman"/>
          <w:sz w:val="20"/>
          <w:szCs w:val="20"/>
        </w:rPr>
        <w:t>случай</w:t>
      </w:r>
      <w:r>
        <w:rPr>
          <w:rFonts w:ascii="Times New Roman" w:hAnsi="Times New Roman"/>
          <w:sz w:val="20"/>
          <w:szCs w:val="20"/>
          <w:lang w:val="pt-PT"/>
        </w:rPr>
        <w:t xml:space="preserve"> </w:t>
      </w:r>
      <w:r>
        <w:rPr>
          <w:rFonts w:ascii="Times New Roman" w:hAnsi="Times New Roman"/>
          <w:sz w:val="20"/>
          <w:szCs w:val="20"/>
        </w:rPr>
        <w:t>обикновената</w:t>
      </w:r>
      <w:r>
        <w:rPr>
          <w:rFonts w:ascii="Times New Roman" w:hAnsi="Times New Roman"/>
          <w:sz w:val="20"/>
          <w:szCs w:val="20"/>
          <w:lang w:val="pt-PT"/>
        </w:rPr>
        <w:t xml:space="preserve"> </w:t>
      </w:r>
      <w:r>
        <w:rPr>
          <w:rFonts w:ascii="Times New Roman" w:hAnsi="Times New Roman"/>
          <w:sz w:val="20"/>
          <w:szCs w:val="20"/>
        </w:rPr>
        <w:t>законодателна</w:t>
      </w:r>
      <w:r>
        <w:rPr>
          <w:rFonts w:ascii="Times New Roman" w:hAnsi="Times New Roman"/>
          <w:sz w:val="20"/>
          <w:szCs w:val="20"/>
          <w:lang w:val="pt-PT"/>
        </w:rPr>
        <w:t xml:space="preserve"> </w:t>
      </w:r>
      <w:r>
        <w:rPr>
          <w:rFonts w:ascii="Times New Roman" w:hAnsi="Times New Roman"/>
          <w:sz w:val="20"/>
          <w:szCs w:val="20"/>
        </w:rPr>
        <w:t>процедура</w:t>
      </w:r>
      <w:r>
        <w:rPr>
          <w:rFonts w:ascii="Times New Roman" w:hAnsi="Times New Roman"/>
          <w:sz w:val="20"/>
          <w:szCs w:val="20"/>
          <w:lang w:val="pt-PT"/>
        </w:rPr>
        <w:t xml:space="preserve"> </w:t>
      </w:r>
      <w:r>
        <w:rPr>
          <w:rFonts w:ascii="Times New Roman" w:hAnsi="Times New Roman"/>
          <w:sz w:val="20"/>
          <w:szCs w:val="20"/>
        </w:rPr>
        <w:t>се</w:t>
      </w:r>
      <w:r>
        <w:rPr>
          <w:rFonts w:ascii="Times New Roman" w:hAnsi="Times New Roman"/>
          <w:sz w:val="20"/>
          <w:szCs w:val="20"/>
          <w:lang w:val="pt-PT"/>
        </w:rPr>
        <w:t xml:space="preserve"> </w:t>
      </w:r>
      <w:r>
        <w:rPr>
          <w:rFonts w:ascii="Times New Roman" w:hAnsi="Times New Roman"/>
          <w:sz w:val="20"/>
          <w:szCs w:val="20"/>
        </w:rPr>
        <w:t>спира</w:t>
      </w:r>
      <w:r>
        <w:rPr>
          <w:rFonts w:ascii="Times New Roman" w:hAnsi="Times New Roman"/>
          <w:sz w:val="20"/>
          <w:szCs w:val="20"/>
          <w:lang w:val="pt-PT"/>
        </w:rPr>
        <w:t xml:space="preserve">. </w:t>
      </w:r>
      <w:r>
        <w:rPr>
          <w:rFonts w:ascii="Times New Roman" w:hAnsi="Times New Roman"/>
          <w:sz w:val="20"/>
          <w:szCs w:val="20"/>
        </w:rPr>
        <w:t>В</w:t>
      </w:r>
      <w:r>
        <w:rPr>
          <w:rFonts w:ascii="Times New Roman" w:hAnsi="Times New Roman"/>
          <w:sz w:val="20"/>
          <w:szCs w:val="20"/>
          <w:lang w:val="pt-PT"/>
        </w:rPr>
        <w:t xml:space="preserve"> </w:t>
      </w:r>
      <w:r>
        <w:rPr>
          <w:rFonts w:ascii="Times New Roman" w:hAnsi="Times New Roman"/>
          <w:sz w:val="20"/>
          <w:szCs w:val="20"/>
        </w:rPr>
        <w:t>срок</w:t>
      </w:r>
      <w:r>
        <w:rPr>
          <w:rFonts w:ascii="Times New Roman" w:hAnsi="Times New Roman"/>
          <w:sz w:val="20"/>
          <w:szCs w:val="20"/>
          <w:lang w:val="pt-PT"/>
        </w:rPr>
        <w:t xml:space="preserve"> </w:t>
      </w:r>
      <w:r>
        <w:rPr>
          <w:rFonts w:ascii="Times New Roman" w:hAnsi="Times New Roman"/>
          <w:sz w:val="20"/>
          <w:szCs w:val="20"/>
        </w:rPr>
        <w:t>от</w:t>
      </w:r>
      <w:r>
        <w:rPr>
          <w:rFonts w:ascii="Times New Roman" w:hAnsi="Times New Roman"/>
          <w:sz w:val="20"/>
          <w:szCs w:val="20"/>
          <w:lang w:val="pt-PT"/>
        </w:rPr>
        <w:t xml:space="preserve"> </w:t>
      </w:r>
      <w:r>
        <w:rPr>
          <w:rFonts w:ascii="Times New Roman" w:hAnsi="Times New Roman"/>
          <w:sz w:val="20"/>
          <w:szCs w:val="20"/>
        </w:rPr>
        <w:t>четири</w:t>
      </w:r>
      <w:r>
        <w:rPr>
          <w:rFonts w:ascii="Times New Roman" w:hAnsi="Times New Roman"/>
          <w:sz w:val="20"/>
          <w:szCs w:val="20"/>
          <w:lang w:val="pt-PT"/>
        </w:rPr>
        <w:t xml:space="preserve"> </w:t>
      </w:r>
      <w:r>
        <w:rPr>
          <w:rFonts w:ascii="Times New Roman" w:hAnsi="Times New Roman"/>
          <w:sz w:val="20"/>
          <w:szCs w:val="20"/>
        </w:rPr>
        <w:t>месеца</w:t>
      </w:r>
      <w:r>
        <w:rPr>
          <w:rFonts w:ascii="Times New Roman" w:hAnsi="Times New Roman"/>
          <w:sz w:val="20"/>
          <w:szCs w:val="20"/>
          <w:lang w:val="pt-PT"/>
        </w:rPr>
        <w:t xml:space="preserve">, </w:t>
      </w:r>
      <w:r>
        <w:rPr>
          <w:rFonts w:ascii="Times New Roman" w:hAnsi="Times New Roman"/>
          <w:sz w:val="20"/>
          <w:szCs w:val="20"/>
        </w:rPr>
        <w:t>след</w:t>
      </w:r>
      <w:r>
        <w:rPr>
          <w:rFonts w:ascii="Times New Roman" w:hAnsi="Times New Roman"/>
          <w:sz w:val="20"/>
          <w:szCs w:val="20"/>
          <w:lang w:val="pt-PT"/>
        </w:rPr>
        <w:t xml:space="preserve"> </w:t>
      </w:r>
      <w:r>
        <w:rPr>
          <w:rFonts w:ascii="Times New Roman" w:hAnsi="Times New Roman"/>
          <w:sz w:val="20"/>
          <w:szCs w:val="20"/>
        </w:rPr>
        <w:t>разискване</w:t>
      </w:r>
      <w:r>
        <w:rPr>
          <w:rFonts w:ascii="Times New Roman" w:hAnsi="Times New Roman"/>
          <w:sz w:val="20"/>
          <w:szCs w:val="20"/>
          <w:lang w:val="pt-PT"/>
        </w:rPr>
        <w:t xml:space="preserve">, </w:t>
      </w:r>
      <w:r>
        <w:rPr>
          <w:rFonts w:ascii="Times New Roman" w:hAnsi="Times New Roman"/>
          <w:sz w:val="20"/>
          <w:szCs w:val="20"/>
        </w:rPr>
        <w:t>Европейският</w:t>
      </w:r>
      <w:r>
        <w:rPr>
          <w:rFonts w:ascii="Times New Roman" w:hAnsi="Times New Roman"/>
          <w:sz w:val="20"/>
          <w:szCs w:val="20"/>
          <w:lang w:val="pt-PT"/>
        </w:rPr>
        <w:t xml:space="preserve"> </w:t>
      </w:r>
      <w:r>
        <w:rPr>
          <w:rFonts w:ascii="Times New Roman" w:hAnsi="Times New Roman"/>
          <w:sz w:val="20"/>
          <w:szCs w:val="20"/>
        </w:rPr>
        <w:t>съвет</w:t>
      </w:r>
      <w:r>
        <w:rPr>
          <w:rFonts w:ascii="Times New Roman" w:hAnsi="Times New Roman"/>
          <w:sz w:val="20"/>
          <w:szCs w:val="20"/>
          <w:lang w:val="pt-PT"/>
        </w:rPr>
        <w:t xml:space="preserve"> </w:t>
      </w:r>
      <w:r>
        <w:rPr>
          <w:rFonts w:ascii="Times New Roman" w:hAnsi="Times New Roman"/>
          <w:sz w:val="20"/>
          <w:szCs w:val="20"/>
        </w:rPr>
        <w:t>или</w:t>
      </w:r>
      <w:r>
        <w:rPr>
          <w:rFonts w:ascii="Times New Roman" w:hAnsi="Times New Roman"/>
          <w:sz w:val="20"/>
          <w:szCs w:val="20"/>
          <w:lang w:val="pt-PT"/>
        </w:rPr>
        <w:t xml:space="preserve"> </w:t>
      </w:r>
      <w:r>
        <w:rPr>
          <w:rFonts w:ascii="Times New Roman" w:hAnsi="Times New Roman"/>
          <w:sz w:val="20"/>
          <w:szCs w:val="20"/>
        </w:rPr>
        <w:t>отнася</w:t>
      </w:r>
      <w:r>
        <w:rPr>
          <w:rFonts w:ascii="Times New Roman" w:hAnsi="Times New Roman"/>
          <w:sz w:val="20"/>
          <w:szCs w:val="20"/>
          <w:lang w:val="pt-PT"/>
        </w:rPr>
        <w:t xml:space="preserve"> </w:t>
      </w:r>
      <w:r>
        <w:rPr>
          <w:rFonts w:ascii="Times New Roman" w:hAnsi="Times New Roman"/>
          <w:sz w:val="20"/>
          <w:szCs w:val="20"/>
        </w:rPr>
        <w:t>проекта</w:t>
      </w:r>
      <w:r>
        <w:rPr>
          <w:rFonts w:ascii="Times New Roman" w:hAnsi="Times New Roman"/>
          <w:sz w:val="20"/>
          <w:szCs w:val="20"/>
          <w:lang w:val="pt-PT"/>
        </w:rPr>
        <w:t xml:space="preserve"> </w:t>
      </w:r>
      <w:r>
        <w:rPr>
          <w:rFonts w:ascii="Times New Roman" w:hAnsi="Times New Roman"/>
          <w:sz w:val="20"/>
          <w:szCs w:val="20"/>
        </w:rPr>
        <w:t>обратно</w:t>
      </w:r>
      <w:r>
        <w:rPr>
          <w:rFonts w:ascii="Times New Roman" w:hAnsi="Times New Roman"/>
          <w:sz w:val="20"/>
          <w:szCs w:val="20"/>
          <w:lang w:val="pt-PT"/>
        </w:rPr>
        <w:t xml:space="preserve"> </w:t>
      </w:r>
      <w:r>
        <w:rPr>
          <w:rFonts w:ascii="Times New Roman" w:hAnsi="Times New Roman"/>
          <w:sz w:val="20"/>
          <w:szCs w:val="20"/>
        </w:rPr>
        <w:t>до</w:t>
      </w:r>
      <w:r>
        <w:rPr>
          <w:rFonts w:ascii="Times New Roman" w:hAnsi="Times New Roman"/>
          <w:sz w:val="20"/>
          <w:szCs w:val="20"/>
          <w:lang w:val="pt-PT"/>
        </w:rPr>
        <w:t xml:space="preserve"> </w:t>
      </w:r>
      <w:r>
        <w:rPr>
          <w:rFonts w:ascii="Times New Roman" w:hAnsi="Times New Roman"/>
          <w:sz w:val="20"/>
          <w:szCs w:val="20"/>
        </w:rPr>
        <w:t>Съвета</w:t>
      </w:r>
      <w:r>
        <w:rPr>
          <w:rFonts w:ascii="Times New Roman" w:hAnsi="Times New Roman"/>
          <w:sz w:val="20"/>
          <w:szCs w:val="20"/>
          <w:lang w:val="pt-PT"/>
        </w:rPr>
        <w:t xml:space="preserve">, </w:t>
      </w:r>
      <w:r>
        <w:rPr>
          <w:rFonts w:ascii="Times New Roman" w:hAnsi="Times New Roman"/>
          <w:sz w:val="20"/>
          <w:szCs w:val="20"/>
        </w:rPr>
        <w:t>с</w:t>
      </w:r>
      <w:r>
        <w:rPr>
          <w:rFonts w:ascii="Times New Roman" w:hAnsi="Times New Roman"/>
          <w:sz w:val="20"/>
          <w:szCs w:val="20"/>
          <w:lang w:val="pt-PT"/>
        </w:rPr>
        <w:t xml:space="preserve"> </w:t>
      </w:r>
      <w:r>
        <w:rPr>
          <w:rFonts w:ascii="Times New Roman" w:hAnsi="Times New Roman"/>
          <w:sz w:val="20"/>
          <w:szCs w:val="20"/>
        </w:rPr>
        <w:t>което</w:t>
      </w:r>
      <w:r>
        <w:rPr>
          <w:rFonts w:ascii="Times New Roman" w:hAnsi="Times New Roman"/>
          <w:sz w:val="20"/>
          <w:szCs w:val="20"/>
          <w:lang w:val="pt-PT"/>
        </w:rPr>
        <w:t xml:space="preserve"> </w:t>
      </w:r>
      <w:r>
        <w:rPr>
          <w:rFonts w:ascii="Times New Roman" w:hAnsi="Times New Roman"/>
          <w:sz w:val="20"/>
          <w:szCs w:val="20"/>
        </w:rPr>
        <w:t>се</w:t>
      </w:r>
      <w:r>
        <w:rPr>
          <w:rFonts w:ascii="Times New Roman" w:hAnsi="Times New Roman"/>
          <w:sz w:val="20"/>
          <w:szCs w:val="20"/>
          <w:lang w:val="pt-PT"/>
        </w:rPr>
        <w:t xml:space="preserve"> </w:t>
      </w:r>
      <w:r>
        <w:rPr>
          <w:rFonts w:ascii="Times New Roman" w:hAnsi="Times New Roman"/>
          <w:sz w:val="20"/>
          <w:szCs w:val="20"/>
        </w:rPr>
        <w:t>прекратява</w:t>
      </w:r>
      <w:r>
        <w:rPr>
          <w:rFonts w:ascii="Times New Roman" w:hAnsi="Times New Roman"/>
          <w:sz w:val="20"/>
          <w:szCs w:val="20"/>
          <w:lang w:val="pt-PT"/>
        </w:rPr>
        <w:t xml:space="preserve"> </w:t>
      </w:r>
      <w:r>
        <w:rPr>
          <w:rFonts w:ascii="Times New Roman" w:hAnsi="Times New Roman"/>
          <w:sz w:val="20"/>
          <w:szCs w:val="20"/>
        </w:rPr>
        <w:t>спирането</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обикновената</w:t>
      </w:r>
      <w:r>
        <w:rPr>
          <w:rFonts w:ascii="Times New Roman" w:hAnsi="Times New Roman"/>
          <w:sz w:val="20"/>
          <w:szCs w:val="20"/>
          <w:lang w:val="pt-PT"/>
        </w:rPr>
        <w:t xml:space="preserve"> </w:t>
      </w:r>
      <w:r>
        <w:rPr>
          <w:rFonts w:ascii="Times New Roman" w:hAnsi="Times New Roman"/>
          <w:sz w:val="20"/>
          <w:szCs w:val="20"/>
        </w:rPr>
        <w:t>законодателна</w:t>
      </w:r>
      <w:r>
        <w:rPr>
          <w:rFonts w:ascii="Times New Roman" w:hAnsi="Times New Roman"/>
          <w:sz w:val="20"/>
          <w:szCs w:val="20"/>
          <w:lang w:val="pt-PT"/>
        </w:rPr>
        <w:t xml:space="preserve"> </w:t>
      </w:r>
      <w:r>
        <w:rPr>
          <w:rFonts w:ascii="Times New Roman" w:hAnsi="Times New Roman"/>
          <w:sz w:val="20"/>
          <w:szCs w:val="20"/>
        </w:rPr>
        <w:t>процедура</w:t>
      </w:r>
      <w:r>
        <w:rPr>
          <w:rFonts w:ascii="Times New Roman" w:hAnsi="Times New Roman"/>
          <w:sz w:val="20"/>
          <w:szCs w:val="20"/>
          <w:lang w:val="pt-PT"/>
        </w:rPr>
        <w:t xml:space="preserve">, </w:t>
      </w:r>
      <w:r>
        <w:rPr>
          <w:rFonts w:ascii="Times New Roman" w:hAnsi="Times New Roman"/>
          <w:sz w:val="20"/>
          <w:szCs w:val="20"/>
        </w:rPr>
        <w:t>или</w:t>
      </w:r>
      <w:r>
        <w:rPr>
          <w:rFonts w:ascii="Times New Roman" w:hAnsi="Times New Roman"/>
          <w:sz w:val="20"/>
          <w:szCs w:val="20"/>
          <w:lang w:val="pt-PT"/>
        </w:rPr>
        <w:t xml:space="preserve"> </w:t>
      </w:r>
      <w:r>
        <w:rPr>
          <w:rFonts w:ascii="Times New Roman" w:hAnsi="Times New Roman"/>
          <w:sz w:val="20"/>
          <w:szCs w:val="20"/>
        </w:rPr>
        <w:t>не</w:t>
      </w:r>
      <w:r>
        <w:rPr>
          <w:rFonts w:ascii="Times New Roman" w:hAnsi="Times New Roman"/>
          <w:sz w:val="20"/>
          <w:szCs w:val="20"/>
          <w:lang w:val="pt-PT"/>
        </w:rPr>
        <w:t xml:space="preserve"> </w:t>
      </w:r>
      <w:r>
        <w:rPr>
          <w:rFonts w:ascii="Times New Roman" w:hAnsi="Times New Roman"/>
          <w:sz w:val="20"/>
          <w:szCs w:val="20"/>
        </w:rPr>
        <w:t>предприема</w:t>
      </w:r>
      <w:r>
        <w:rPr>
          <w:rFonts w:ascii="Times New Roman" w:hAnsi="Times New Roman"/>
          <w:sz w:val="20"/>
          <w:szCs w:val="20"/>
          <w:lang w:val="pt-PT"/>
        </w:rPr>
        <w:t xml:space="preserve"> </w:t>
      </w:r>
      <w:r>
        <w:rPr>
          <w:rFonts w:ascii="Times New Roman" w:hAnsi="Times New Roman"/>
          <w:sz w:val="20"/>
          <w:szCs w:val="20"/>
        </w:rPr>
        <w:t>никакви</w:t>
      </w:r>
      <w:r>
        <w:rPr>
          <w:rFonts w:ascii="Times New Roman" w:hAnsi="Times New Roman"/>
          <w:sz w:val="20"/>
          <w:szCs w:val="20"/>
          <w:lang w:val="pt-PT"/>
        </w:rPr>
        <w:t xml:space="preserve"> </w:t>
      </w:r>
      <w:r>
        <w:rPr>
          <w:rFonts w:ascii="Times New Roman" w:hAnsi="Times New Roman"/>
          <w:sz w:val="20"/>
          <w:szCs w:val="20"/>
        </w:rPr>
        <w:t>действия</w:t>
      </w:r>
      <w:r>
        <w:rPr>
          <w:rFonts w:ascii="Times New Roman" w:hAnsi="Times New Roman"/>
          <w:sz w:val="20"/>
          <w:szCs w:val="20"/>
          <w:lang w:val="pt-PT"/>
        </w:rPr>
        <w:t xml:space="preserve"> </w:t>
      </w:r>
      <w:r>
        <w:rPr>
          <w:rFonts w:ascii="Times New Roman" w:hAnsi="Times New Roman"/>
          <w:sz w:val="20"/>
          <w:szCs w:val="20"/>
        </w:rPr>
        <w:t>или</w:t>
      </w:r>
      <w:r>
        <w:rPr>
          <w:rFonts w:ascii="Times New Roman" w:hAnsi="Times New Roman"/>
          <w:sz w:val="20"/>
          <w:szCs w:val="20"/>
          <w:lang w:val="pt-PT"/>
        </w:rPr>
        <w:t xml:space="preserve"> </w:t>
      </w:r>
      <w:r>
        <w:rPr>
          <w:rFonts w:ascii="Times New Roman" w:hAnsi="Times New Roman"/>
          <w:sz w:val="20"/>
          <w:szCs w:val="20"/>
        </w:rPr>
        <w:t>отправя</w:t>
      </w:r>
      <w:r>
        <w:rPr>
          <w:rFonts w:ascii="Times New Roman" w:hAnsi="Times New Roman"/>
          <w:sz w:val="20"/>
          <w:szCs w:val="20"/>
          <w:lang w:val="pt-PT"/>
        </w:rPr>
        <w:t xml:space="preserve"> </w:t>
      </w:r>
      <w:r>
        <w:rPr>
          <w:rFonts w:ascii="Times New Roman" w:hAnsi="Times New Roman"/>
          <w:sz w:val="20"/>
          <w:szCs w:val="20"/>
        </w:rPr>
        <w:t>искане</w:t>
      </w:r>
      <w:r>
        <w:rPr>
          <w:rFonts w:ascii="Times New Roman" w:hAnsi="Times New Roman"/>
          <w:sz w:val="20"/>
          <w:szCs w:val="20"/>
          <w:lang w:val="pt-PT"/>
        </w:rPr>
        <w:t xml:space="preserve"> </w:t>
      </w:r>
      <w:r>
        <w:rPr>
          <w:rFonts w:ascii="Times New Roman" w:hAnsi="Times New Roman"/>
          <w:sz w:val="20"/>
          <w:szCs w:val="20"/>
        </w:rPr>
        <w:t>до</w:t>
      </w:r>
      <w:r>
        <w:rPr>
          <w:rFonts w:ascii="Times New Roman" w:hAnsi="Times New Roman"/>
          <w:sz w:val="20"/>
          <w:szCs w:val="20"/>
          <w:lang w:val="pt-PT"/>
        </w:rPr>
        <w:t xml:space="preserve"> </w:t>
      </w:r>
      <w:r>
        <w:rPr>
          <w:rFonts w:ascii="Times New Roman" w:hAnsi="Times New Roman"/>
          <w:sz w:val="20"/>
          <w:szCs w:val="20"/>
        </w:rPr>
        <w:t>Комисията</w:t>
      </w:r>
      <w:r>
        <w:rPr>
          <w:rFonts w:ascii="Times New Roman" w:hAnsi="Times New Roman"/>
          <w:sz w:val="20"/>
          <w:szCs w:val="20"/>
          <w:lang w:val="pt-PT"/>
        </w:rPr>
        <w:t xml:space="preserve"> </w:t>
      </w:r>
      <w:r>
        <w:rPr>
          <w:rFonts w:ascii="Times New Roman" w:hAnsi="Times New Roman"/>
          <w:sz w:val="20"/>
          <w:szCs w:val="20"/>
        </w:rPr>
        <w:t>да</w:t>
      </w:r>
      <w:r>
        <w:rPr>
          <w:rFonts w:ascii="Times New Roman" w:hAnsi="Times New Roman"/>
          <w:sz w:val="20"/>
          <w:szCs w:val="20"/>
          <w:lang w:val="pt-PT"/>
        </w:rPr>
        <w:t xml:space="preserve"> </w:t>
      </w:r>
      <w:r>
        <w:rPr>
          <w:rFonts w:ascii="Times New Roman" w:hAnsi="Times New Roman"/>
          <w:sz w:val="20"/>
          <w:szCs w:val="20"/>
        </w:rPr>
        <w:t>представи</w:t>
      </w:r>
      <w:r>
        <w:rPr>
          <w:rFonts w:ascii="Times New Roman" w:hAnsi="Times New Roman"/>
          <w:sz w:val="20"/>
          <w:szCs w:val="20"/>
          <w:lang w:val="pt-PT"/>
        </w:rPr>
        <w:t xml:space="preserve"> </w:t>
      </w:r>
      <w:r>
        <w:rPr>
          <w:rFonts w:ascii="Times New Roman" w:hAnsi="Times New Roman"/>
          <w:sz w:val="20"/>
          <w:szCs w:val="20"/>
        </w:rPr>
        <w:t>ново</w:t>
      </w:r>
      <w:r>
        <w:rPr>
          <w:rFonts w:ascii="Times New Roman" w:hAnsi="Times New Roman"/>
          <w:sz w:val="20"/>
          <w:szCs w:val="20"/>
          <w:lang w:val="pt-PT"/>
        </w:rPr>
        <w:t xml:space="preserve"> </w:t>
      </w:r>
      <w:r>
        <w:rPr>
          <w:rFonts w:ascii="Times New Roman" w:hAnsi="Times New Roman"/>
          <w:sz w:val="20"/>
          <w:szCs w:val="20"/>
        </w:rPr>
        <w:t>предложение</w:t>
      </w:r>
      <w:r>
        <w:rPr>
          <w:rFonts w:ascii="Times New Roman" w:hAnsi="Times New Roman"/>
          <w:sz w:val="20"/>
          <w:szCs w:val="20"/>
          <w:lang w:val="pt-PT"/>
        </w:rPr>
        <w:t xml:space="preserve"> (</w:t>
      </w:r>
      <w:r>
        <w:rPr>
          <w:rFonts w:ascii="Times New Roman" w:hAnsi="Times New Roman"/>
          <w:sz w:val="20"/>
          <w:szCs w:val="20"/>
        </w:rPr>
        <w:t>в</w:t>
      </w:r>
      <w:r>
        <w:rPr>
          <w:rFonts w:ascii="Times New Roman" w:hAnsi="Times New Roman"/>
          <w:sz w:val="20"/>
          <w:szCs w:val="20"/>
          <w:lang w:val="pt-PT"/>
        </w:rPr>
        <w:t xml:space="preserve"> </w:t>
      </w:r>
      <w:r>
        <w:rPr>
          <w:rFonts w:ascii="Times New Roman" w:hAnsi="Times New Roman"/>
          <w:sz w:val="20"/>
          <w:szCs w:val="20"/>
        </w:rPr>
        <w:t>този</w:t>
      </w:r>
      <w:r>
        <w:rPr>
          <w:rFonts w:ascii="Times New Roman" w:hAnsi="Times New Roman"/>
          <w:sz w:val="20"/>
          <w:szCs w:val="20"/>
          <w:lang w:val="pt-PT"/>
        </w:rPr>
        <w:t xml:space="preserve"> </w:t>
      </w:r>
      <w:r>
        <w:rPr>
          <w:rFonts w:ascii="Times New Roman" w:hAnsi="Times New Roman"/>
          <w:sz w:val="20"/>
          <w:szCs w:val="20"/>
        </w:rPr>
        <w:t>случай</w:t>
      </w:r>
      <w:r>
        <w:rPr>
          <w:rFonts w:ascii="Times New Roman" w:hAnsi="Times New Roman"/>
          <w:sz w:val="20"/>
          <w:szCs w:val="20"/>
          <w:lang w:val="pt-PT"/>
        </w:rPr>
        <w:t xml:space="preserve"> </w:t>
      </w:r>
      <w:r>
        <w:rPr>
          <w:rFonts w:ascii="Times New Roman" w:hAnsi="Times New Roman"/>
          <w:sz w:val="20"/>
          <w:szCs w:val="20"/>
        </w:rPr>
        <w:t>първоначално</w:t>
      </w:r>
      <w:r>
        <w:rPr>
          <w:rFonts w:ascii="Times New Roman" w:hAnsi="Times New Roman"/>
          <w:sz w:val="20"/>
          <w:szCs w:val="20"/>
          <w:lang w:val="pt-PT"/>
        </w:rPr>
        <w:t xml:space="preserve"> </w:t>
      </w:r>
      <w:r>
        <w:rPr>
          <w:rFonts w:ascii="Times New Roman" w:hAnsi="Times New Roman"/>
          <w:sz w:val="20"/>
          <w:szCs w:val="20"/>
        </w:rPr>
        <w:t>предложеният</w:t>
      </w:r>
      <w:r>
        <w:rPr>
          <w:rFonts w:ascii="Times New Roman" w:hAnsi="Times New Roman"/>
          <w:sz w:val="20"/>
          <w:szCs w:val="20"/>
          <w:lang w:val="pt-PT"/>
        </w:rPr>
        <w:t xml:space="preserve"> </w:t>
      </w:r>
      <w:r>
        <w:rPr>
          <w:rFonts w:ascii="Times New Roman" w:hAnsi="Times New Roman"/>
          <w:sz w:val="20"/>
          <w:szCs w:val="20"/>
        </w:rPr>
        <w:t>акт</w:t>
      </w:r>
      <w:r>
        <w:rPr>
          <w:rFonts w:ascii="Times New Roman" w:hAnsi="Times New Roman"/>
          <w:sz w:val="20"/>
          <w:szCs w:val="20"/>
          <w:lang w:val="pt-PT"/>
        </w:rPr>
        <w:t xml:space="preserve"> </w:t>
      </w:r>
      <w:r>
        <w:rPr>
          <w:rFonts w:ascii="Times New Roman" w:hAnsi="Times New Roman"/>
          <w:sz w:val="20"/>
          <w:szCs w:val="20"/>
        </w:rPr>
        <w:t>се</w:t>
      </w:r>
      <w:r>
        <w:rPr>
          <w:rFonts w:ascii="Times New Roman" w:hAnsi="Times New Roman"/>
          <w:sz w:val="20"/>
          <w:szCs w:val="20"/>
          <w:lang w:val="pt-PT"/>
        </w:rPr>
        <w:t xml:space="preserve"> </w:t>
      </w:r>
      <w:r>
        <w:rPr>
          <w:rFonts w:ascii="Times New Roman" w:hAnsi="Times New Roman"/>
          <w:sz w:val="20"/>
          <w:szCs w:val="20"/>
        </w:rPr>
        <w:t>счита</w:t>
      </w:r>
      <w:r>
        <w:rPr>
          <w:rFonts w:ascii="Times New Roman" w:hAnsi="Times New Roman"/>
          <w:sz w:val="20"/>
          <w:szCs w:val="20"/>
          <w:lang w:val="pt-PT"/>
        </w:rPr>
        <w:t xml:space="preserve"> </w:t>
      </w:r>
      <w:r>
        <w:rPr>
          <w:rFonts w:ascii="Times New Roman" w:hAnsi="Times New Roman"/>
          <w:sz w:val="20"/>
          <w:szCs w:val="20"/>
        </w:rPr>
        <w:t>за</w:t>
      </w:r>
      <w:r>
        <w:rPr>
          <w:rFonts w:ascii="Times New Roman" w:hAnsi="Times New Roman"/>
          <w:sz w:val="20"/>
          <w:szCs w:val="20"/>
          <w:lang w:val="pt-PT"/>
        </w:rPr>
        <w:t xml:space="preserve"> </w:t>
      </w:r>
      <w:r>
        <w:rPr>
          <w:rFonts w:ascii="Times New Roman" w:hAnsi="Times New Roman"/>
          <w:sz w:val="20"/>
          <w:szCs w:val="20"/>
        </w:rPr>
        <w:t>неприет</w:t>
      </w:r>
      <w:r>
        <w:rPr>
          <w:rFonts w:ascii="Times New Roman" w:hAnsi="Times New Roman"/>
          <w:sz w:val="20"/>
          <w:szCs w:val="20"/>
          <w:lang w:val="pt-PT"/>
        </w:rPr>
        <w:t>).</w:t>
      </w:r>
    </w:p>
  </w:footnote>
  <w:footnote w:id="13">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r>
      <w:r>
        <w:rPr>
          <w:rFonts w:ascii="Times New Roman" w:hAnsi="Times New Roman"/>
        </w:rPr>
        <w:t>Директива</w:t>
      </w:r>
      <w:r>
        <w:rPr>
          <w:rFonts w:ascii="Times New Roman" w:hAnsi="Times New Roman"/>
          <w:lang w:val="pt-PT"/>
        </w:rPr>
        <w:t xml:space="preserve"> 2001/86/</w:t>
      </w:r>
      <w:r>
        <w:rPr>
          <w:rFonts w:ascii="Times New Roman" w:hAnsi="Times New Roman"/>
        </w:rPr>
        <w:t>ЕО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Съвета</w:t>
      </w:r>
      <w:r>
        <w:rPr>
          <w:rFonts w:ascii="Times New Roman" w:hAnsi="Times New Roman"/>
          <w:lang w:val="pt-PT"/>
        </w:rPr>
        <w:t xml:space="preserve"> </w:t>
      </w:r>
      <w:r>
        <w:rPr>
          <w:rFonts w:ascii="Times New Roman" w:hAnsi="Times New Roman"/>
        </w:rPr>
        <w:t>от</w:t>
      </w:r>
      <w:r>
        <w:rPr>
          <w:rFonts w:ascii="Times New Roman" w:hAnsi="Times New Roman"/>
          <w:lang w:val="pt-PT"/>
        </w:rPr>
        <w:t xml:space="preserve"> 8 </w:t>
      </w:r>
      <w:r>
        <w:rPr>
          <w:rFonts w:ascii="Times New Roman" w:hAnsi="Times New Roman"/>
        </w:rPr>
        <w:t>октомври</w:t>
      </w:r>
      <w:r>
        <w:rPr>
          <w:rFonts w:ascii="Times New Roman" w:hAnsi="Times New Roman"/>
          <w:lang w:val="pt-PT"/>
        </w:rPr>
        <w:t xml:space="preserve"> 2001 </w:t>
      </w:r>
      <w:r>
        <w:rPr>
          <w:rFonts w:ascii="Times New Roman" w:hAnsi="Times New Roman"/>
        </w:rPr>
        <w:t>г</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допълнение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Устава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европейското</w:t>
      </w:r>
      <w:r>
        <w:rPr>
          <w:rFonts w:ascii="Times New Roman" w:hAnsi="Times New Roman"/>
          <w:lang w:val="pt-PT"/>
        </w:rPr>
        <w:t xml:space="preserve"> </w:t>
      </w:r>
      <w:r>
        <w:rPr>
          <w:rFonts w:ascii="Times New Roman" w:hAnsi="Times New Roman"/>
        </w:rPr>
        <w:t>дружество</w:t>
      </w:r>
      <w:r>
        <w:rPr>
          <w:rFonts w:ascii="Times New Roman" w:hAnsi="Times New Roman"/>
          <w:lang w:val="pt-PT"/>
        </w:rPr>
        <w:t xml:space="preserve"> </w:t>
      </w:r>
      <w:r>
        <w:rPr>
          <w:rFonts w:ascii="Times New Roman" w:hAnsi="Times New Roman"/>
        </w:rPr>
        <w:t>по</w:t>
      </w:r>
      <w:r>
        <w:rPr>
          <w:rFonts w:ascii="Times New Roman" w:hAnsi="Times New Roman"/>
          <w:lang w:val="pt-PT"/>
        </w:rPr>
        <w:t xml:space="preserve"> </w:t>
      </w:r>
      <w:r>
        <w:rPr>
          <w:rFonts w:ascii="Times New Roman" w:hAnsi="Times New Roman"/>
        </w:rPr>
        <w:t>отношение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участието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заетите</w:t>
      </w:r>
      <w:r>
        <w:rPr>
          <w:rFonts w:ascii="Times New Roman" w:hAnsi="Times New Roman"/>
          <w:lang w:val="pt-PT"/>
        </w:rPr>
        <w:t xml:space="preserve"> </w:t>
      </w:r>
      <w:r>
        <w:rPr>
          <w:rFonts w:ascii="Times New Roman" w:hAnsi="Times New Roman"/>
        </w:rPr>
        <w:t>лица</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xml:space="preserve"> 2003/72/</w:t>
      </w:r>
      <w:r>
        <w:rPr>
          <w:rFonts w:ascii="Times New Roman" w:hAnsi="Times New Roman"/>
        </w:rPr>
        <w:t>ЕО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Съвета</w:t>
      </w:r>
      <w:r>
        <w:rPr>
          <w:rFonts w:ascii="Times New Roman" w:hAnsi="Times New Roman"/>
          <w:lang w:val="pt-PT"/>
        </w:rPr>
        <w:t xml:space="preserve"> </w:t>
      </w:r>
      <w:r>
        <w:rPr>
          <w:rFonts w:ascii="Times New Roman" w:hAnsi="Times New Roman"/>
        </w:rPr>
        <w:t>от</w:t>
      </w:r>
      <w:r>
        <w:rPr>
          <w:rFonts w:ascii="Times New Roman" w:hAnsi="Times New Roman"/>
          <w:lang w:val="pt-PT"/>
        </w:rPr>
        <w:t xml:space="preserve"> 22 </w:t>
      </w:r>
      <w:r>
        <w:rPr>
          <w:rFonts w:ascii="Times New Roman" w:hAnsi="Times New Roman"/>
        </w:rPr>
        <w:t>юли</w:t>
      </w:r>
      <w:r>
        <w:rPr>
          <w:rFonts w:ascii="Times New Roman" w:hAnsi="Times New Roman"/>
          <w:lang w:val="pt-PT"/>
        </w:rPr>
        <w:t xml:space="preserve"> 2003 </w:t>
      </w:r>
      <w:r>
        <w:rPr>
          <w:rFonts w:ascii="Times New Roman" w:hAnsi="Times New Roman"/>
        </w:rPr>
        <w:t>г</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допълване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Устава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Европейското</w:t>
      </w:r>
      <w:r>
        <w:rPr>
          <w:rFonts w:ascii="Times New Roman" w:hAnsi="Times New Roman"/>
          <w:lang w:val="pt-PT"/>
        </w:rPr>
        <w:t xml:space="preserve"> </w:t>
      </w:r>
      <w:r>
        <w:rPr>
          <w:rFonts w:ascii="Times New Roman" w:hAnsi="Times New Roman"/>
        </w:rPr>
        <w:t>кооперативно</w:t>
      </w:r>
      <w:r>
        <w:rPr>
          <w:rFonts w:ascii="Times New Roman" w:hAnsi="Times New Roman"/>
          <w:lang w:val="pt-PT"/>
        </w:rPr>
        <w:t xml:space="preserve"> </w:t>
      </w:r>
      <w:r>
        <w:rPr>
          <w:rFonts w:ascii="Times New Roman" w:hAnsi="Times New Roman"/>
        </w:rPr>
        <w:t>дружество</w:t>
      </w:r>
      <w:r>
        <w:rPr>
          <w:rFonts w:ascii="Times New Roman" w:hAnsi="Times New Roman"/>
          <w:lang w:val="pt-PT"/>
        </w:rPr>
        <w:t xml:space="preserve"> </w:t>
      </w:r>
      <w:r>
        <w:rPr>
          <w:rFonts w:ascii="Times New Roman" w:hAnsi="Times New Roman"/>
        </w:rPr>
        <w:t>относно</w:t>
      </w:r>
      <w:r>
        <w:rPr>
          <w:rFonts w:ascii="Times New Roman" w:hAnsi="Times New Roman"/>
          <w:lang w:val="pt-PT"/>
        </w:rPr>
        <w:t xml:space="preserve"> </w:t>
      </w:r>
      <w:r>
        <w:rPr>
          <w:rFonts w:ascii="Times New Roman" w:hAnsi="Times New Roman"/>
        </w:rPr>
        <w:t>участието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работниците</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служителите</w:t>
      </w:r>
      <w:r>
        <w:rPr>
          <w:rFonts w:ascii="Times New Roman" w:hAnsi="Times New Roman"/>
          <w:lang w:val="pt-PT"/>
        </w:rPr>
        <w:t>.</w:t>
      </w:r>
    </w:p>
  </w:footnote>
  <w:footnote w:id="14">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r>
      <w:r>
        <w:rPr>
          <w:rFonts w:ascii="Times New Roman" w:hAnsi="Times New Roman"/>
        </w:rPr>
        <w:t>Директива</w:t>
      </w:r>
      <w:r>
        <w:rPr>
          <w:rFonts w:ascii="Times New Roman" w:hAnsi="Times New Roman"/>
          <w:lang w:val="pt-PT"/>
        </w:rPr>
        <w:t xml:space="preserve"> 2014/50/</w:t>
      </w:r>
      <w:r>
        <w:rPr>
          <w:rFonts w:ascii="Times New Roman" w:hAnsi="Times New Roman"/>
        </w:rPr>
        <w:t>ЕС</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Европейския</w:t>
      </w:r>
      <w:r>
        <w:rPr>
          <w:rFonts w:ascii="Times New Roman" w:hAnsi="Times New Roman"/>
          <w:lang w:val="pt-PT"/>
        </w:rPr>
        <w:t xml:space="preserve"> </w:t>
      </w:r>
      <w:r>
        <w:rPr>
          <w:rFonts w:ascii="Times New Roman" w:hAnsi="Times New Roman"/>
        </w:rPr>
        <w:t>парламент</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Съвета</w:t>
      </w:r>
      <w:r>
        <w:rPr>
          <w:rFonts w:ascii="Times New Roman" w:hAnsi="Times New Roman"/>
          <w:lang w:val="pt-PT"/>
        </w:rPr>
        <w:t xml:space="preserve"> </w:t>
      </w:r>
      <w:r>
        <w:rPr>
          <w:rFonts w:ascii="Times New Roman" w:hAnsi="Times New Roman"/>
        </w:rPr>
        <w:t>от</w:t>
      </w:r>
      <w:r>
        <w:rPr>
          <w:rFonts w:ascii="Times New Roman" w:hAnsi="Times New Roman"/>
          <w:lang w:val="pt-PT"/>
        </w:rPr>
        <w:t xml:space="preserve"> 16 </w:t>
      </w:r>
      <w:r>
        <w:rPr>
          <w:rFonts w:ascii="Times New Roman" w:hAnsi="Times New Roman"/>
        </w:rPr>
        <w:t>април</w:t>
      </w:r>
      <w:r>
        <w:rPr>
          <w:rFonts w:ascii="Times New Roman" w:hAnsi="Times New Roman"/>
          <w:lang w:val="pt-PT"/>
        </w:rPr>
        <w:t xml:space="preserve"> 2014 </w:t>
      </w:r>
      <w:r>
        <w:rPr>
          <w:rFonts w:ascii="Times New Roman" w:hAnsi="Times New Roman"/>
        </w:rPr>
        <w:t>г</w:t>
      </w:r>
      <w:r>
        <w:rPr>
          <w:rFonts w:ascii="Times New Roman" w:hAnsi="Times New Roman"/>
          <w:lang w:val="pt-PT"/>
        </w:rPr>
        <w:t xml:space="preserve">. </w:t>
      </w:r>
      <w:r>
        <w:rPr>
          <w:rFonts w:ascii="Times New Roman" w:hAnsi="Times New Roman"/>
        </w:rPr>
        <w:t>относно</w:t>
      </w:r>
      <w:r>
        <w:rPr>
          <w:rFonts w:ascii="Times New Roman" w:hAnsi="Times New Roman"/>
          <w:lang w:val="pt-PT"/>
        </w:rPr>
        <w:t xml:space="preserve"> </w:t>
      </w:r>
      <w:r>
        <w:rPr>
          <w:rFonts w:ascii="Times New Roman" w:hAnsi="Times New Roman"/>
        </w:rPr>
        <w:t>минималните</w:t>
      </w:r>
      <w:r>
        <w:rPr>
          <w:rFonts w:ascii="Times New Roman" w:hAnsi="Times New Roman"/>
          <w:lang w:val="pt-PT"/>
        </w:rPr>
        <w:t xml:space="preserve"> </w:t>
      </w:r>
      <w:r>
        <w:rPr>
          <w:rFonts w:ascii="Times New Roman" w:hAnsi="Times New Roman"/>
        </w:rPr>
        <w:t>изисквания</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повишаване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мобилността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работниците</w:t>
      </w:r>
      <w:r>
        <w:rPr>
          <w:rFonts w:ascii="Times New Roman" w:hAnsi="Times New Roman"/>
          <w:lang w:val="pt-PT"/>
        </w:rPr>
        <w:t xml:space="preserve"> </w:t>
      </w:r>
      <w:r>
        <w:rPr>
          <w:rFonts w:ascii="Times New Roman" w:hAnsi="Times New Roman"/>
        </w:rPr>
        <w:t>между</w:t>
      </w:r>
      <w:r>
        <w:rPr>
          <w:rFonts w:ascii="Times New Roman" w:hAnsi="Times New Roman"/>
          <w:lang w:val="pt-PT"/>
        </w:rPr>
        <w:t xml:space="preserve"> </w:t>
      </w:r>
      <w:r>
        <w:rPr>
          <w:rFonts w:ascii="Times New Roman" w:hAnsi="Times New Roman"/>
        </w:rPr>
        <w:t>държавите</w:t>
      </w:r>
      <w:r>
        <w:rPr>
          <w:rFonts w:ascii="Times New Roman" w:hAnsi="Times New Roman"/>
          <w:lang w:val="pt-PT"/>
        </w:rPr>
        <w:t xml:space="preserve"> </w:t>
      </w:r>
      <w:r>
        <w:rPr>
          <w:rFonts w:ascii="Times New Roman" w:hAnsi="Times New Roman"/>
        </w:rPr>
        <w:t>членки</w:t>
      </w:r>
      <w:r>
        <w:rPr>
          <w:rFonts w:ascii="Times New Roman" w:hAnsi="Times New Roman"/>
          <w:lang w:val="pt-PT"/>
        </w:rPr>
        <w:t xml:space="preserve"> </w:t>
      </w:r>
      <w:r>
        <w:rPr>
          <w:rFonts w:ascii="Times New Roman" w:hAnsi="Times New Roman"/>
        </w:rPr>
        <w:t>чрез</w:t>
      </w:r>
      <w:r>
        <w:rPr>
          <w:rFonts w:ascii="Times New Roman" w:hAnsi="Times New Roman"/>
          <w:lang w:val="pt-PT"/>
        </w:rPr>
        <w:t xml:space="preserve"> </w:t>
      </w:r>
      <w:r>
        <w:rPr>
          <w:rFonts w:ascii="Times New Roman" w:hAnsi="Times New Roman"/>
        </w:rPr>
        <w:t>подобряване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придобиването</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запазването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допълнителни</w:t>
      </w:r>
      <w:r>
        <w:rPr>
          <w:rFonts w:ascii="Times New Roman" w:hAnsi="Times New Roman"/>
          <w:lang w:val="pt-PT"/>
        </w:rPr>
        <w:t xml:space="preserve"> </w:t>
      </w:r>
      <w:r>
        <w:rPr>
          <w:rFonts w:ascii="Times New Roman" w:hAnsi="Times New Roman"/>
        </w:rPr>
        <w:t>пенсионни</w:t>
      </w:r>
      <w:r>
        <w:rPr>
          <w:rFonts w:ascii="Times New Roman" w:hAnsi="Times New Roman"/>
          <w:lang w:val="pt-PT"/>
        </w:rPr>
        <w:t xml:space="preserve"> </w:t>
      </w:r>
      <w:r>
        <w:rPr>
          <w:rFonts w:ascii="Times New Roman" w:hAnsi="Times New Roman"/>
        </w:rPr>
        <w:t>права</w:t>
      </w:r>
      <w:r>
        <w:rPr>
          <w:rFonts w:ascii="Times New Roman" w:hAnsi="Times New Roman"/>
          <w:lang w:val="pt-PT"/>
        </w:rPr>
        <w:t>.</w:t>
      </w:r>
    </w:p>
  </w:footnote>
  <w:footnote w:id="15">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r>
      <w:r>
        <w:rPr>
          <w:rFonts w:ascii="Times New Roman" w:hAnsi="Times New Roman"/>
        </w:rPr>
        <w:t>Член</w:t>
      </w:r>
      <w:r>
        <w:rPr>
          <w:rFonts w:ascii="Times New Roman" w:hAnsi="Times New Roman"/>
          <w:lang w:val="pt-PT"/>
        </w:rPr>
        <w:t xml:space="preserve"> 20 </w:t>
      </w:r>
      <w:r>
        <w:rPr>
          <w:rFonts w:ascii="Times New Roman" w:hAnsi="Times New Roman"/>
        </w:rPr>
        <w:t>от</w:t>
      </w:r>
      <w:r>
        <w:rPr>
          <w:rFonts w:ascii="Times New Roman" w:hAnsi="Times New Roman"/>
          <w:lang w:val="pt-PT"/>
        </w:rPr>
        <w:t xml:space="preserve"> </w:t>
      </w:r>
      <w:r>
        <w:rPr>
          <w:rFonts w:ascii="Times New Roman" w:hAnsi="Times New Roman"/>
        </w:rPr>
        <w:t>ДЕС</w:t>
      </w:r>
      <w:r>
        <w:rPr>
          <w:rFonts w:ascii="Times New Roman" w:hAnsi="Times New Roman"/>
          <w:lang w:val="pt-PT"/>
        </w:rPr>
        <w:t xml:space="preserve">, </w:t>
      </w:r>
      <w:r>
        <w:rPr>
          <w:rFonts w:ascii="Times New Roman" w:hAnsi="Times New Roman"/>
        </w:rPr>
        <w:t>членове</w:t>
      </w:r>
      <w:r>
        <w:rPr>
          <w:rFonts w:ascii="Times New Roman" w:hAnsi="Times New Roman"/>
          <w:lang w:val="pt-PT"/>
        </w:rPr>
        <w:t xml:space="preserve"> 326 -334 </w:t>
      </w:r>
      <w:r>
        <w:rPr>
          <w:rFonts w:ascii="Times New Roman" w:hAnsi="Times New Roman"/>
        </w:rPr>
        <w:t>от</w:t>
      </w:r>
      <w:r>
        <w:rPr>
          <w:rFonts w:ascii="Times New Roman" w:hAnsi="Times New Roman"/>
          <w:lang w:val="pt-PT"/>
        </w:rPr>
        <w:t xml:space="preserve"> </w:t>
      </w:r>
      <w:r>
        <w:rPr>
          <w:rFonts w:ascii="Times New Roman" w:hAnsi="Times New Roman"/>
        </w:rPr>
        <w:t>ДФЕС</w:t>
      </w:r>
      <w:r>
        <w:rPr>
          <w:rFonts w:ascii="Times New Roman" w:hAnsi="Times New Roman"/>
          <w:lang w:val="pt-PT"/>
        </w:rPr>
        <w:t>.</w:t>
      </w:r>
    </w:p>
  </w:footnote>
  <w:footnote w:id="16">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rPr>
        <w:t>Предложение</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Съвета</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прилагане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принципа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равно</w:t>
      </w:r>
      <w:r>
        <w:rPr>
          <w:rFonts w:ascii="Times New Roman" w:hAnsi="Times New Roman"/>
          <w:lang w:val="pt-PT"/>
        </w:rPr>
        <w:t xml:space="preserve"> </w:t>
      </w:r>
      <w:r>
        <w:rPr>
          <w:rFonts w:ascii="Times New Roman" w:hAnsi="Times New Roman"/>
        </w:rPr>
        <w:t>третиране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лицата</w:t>
      </w:r>
      <w:r>
        <w:rPr>
          <w:rFonts w:ascii="Times New Roman" w:hAnsi="Times New Roman"/>
          <w:lang w:val="pt-PT"/>
        </w:rPr>
        <w:t xml:space="preserve"> </w:t>
      </w:r>
      <w:r>
        <w:rPr>
          <w:rFonts w:ascii="Times New Roman" w:hAnsi="Times New Roman"/>
        </w:rPr>
        <w:t>без</w:t>
      </w:r>
      <w:r>
        <w:rPr>
          <w:rFonts w:ascii="Times New Roman" w:hAnsi="Times New Roman"/>
          <w:lang w:val="pt-PT"/>
        </w:rPr>
        <w:t xml:space="preserve"> </w:t>
      </w:r>
      <w:r>
        <w:rPr>
          <w:rFonts w:ascii="Times New Roman" w:hAnsi="Times New Roman"/>
        </w:rPr>
        <w:t>оглед</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религиозна</w:t>
      </w:r>
      <w:r>
        <w:rPr>
          <w:rFonts w:ascii="Times New Roman" w:hAnsi="Times New Roman"/>
          <w:lang w:val="pt-PT"/>
        </w:rPr>
        <w:t xml:space="preserve"> </w:t>
      </w:r>
      <w:r>
        <w:rPr>
          <w:rFonts w:ascii="Times New Roman" w:hAnsi="Times New Roman"/>
        </w:rPr>
        <w:t>принадлежност</w:t>
      </w:r>
      <w:r>
        <w:rPr>
          <w:rFonts w:ascii="Times New Roman" w:hAnsi="Times New Roman"/>
          <w:lang w:val="pt-PT"/>
        </w:rPr>
        <w:t xml:space="preserve"> </w:t>
      </w:r>
      <w:r>
        <w:rPr>
          <w:rFonts w:ascii="Times New Roman" w:hAnsi="Times New Roman"/>
        </w:rPr>
        <w:t>или</w:t>
      </w:r>
      <w:r>
        <w:rPr>
          <w:rFonts w:ascii="Times New Roman" w:hAnsi="Times New Roman"/>
          <w:lang w:val="pt-PT"/>
        </w:rPr>
        <w:t xml:space="preserve"> </w:t>
      </w:r>
      <w:r>
        <w:rPr>
          <w:rFonts w:ascii="Times New Roman" w:hAnsi="Times New Roman"/>
        </w:rPr>
        <w:t>убеждения</w:t>
      </w:r>
      <w:r>
        <w:rPr>
          <w:rFonts w:ascii="Times New Roman" w:hAnsi="Times New Roman"/>
          <w:lang w:val="pt-PT"/>
        </w:rPr>
        <w:t xml:space="preserve">, </w:t>
      </w:r>
      <w:r>
        <w:rPr>
          <w:rFonts w:ascii="Times New Roman" w:hAnsi="Times New Roman"/>
        </w:rPr>
        <w:t>увреждане</w:t>
      </w:r>
      <w:r>
        <w:rPr>
          <w:rFonts w:ascii="Times New Roman" w:hAnsi="Times New Roman"/>
          <w:lang w:val="pt-PT"/>
        </w:rPr>
        <w:t xml:space="preserve">, </w:t>
      </w:r>
      <w:r>
        <w:rPr>
          <w:rFonts w:ascii="Times New Roman" w:hAnsi="Times New Roman"/>
        </w:rPr>
        <w:t>възраст</w:t>
      </w:r>
      <w:r>
        <w:rPr>
          <w:rFonts w:ascii="Times New Roman" w:hAnsi="Times New Roman"/>
          <w:lang w:val="pt-PT"/>
        </w:rPr>
        <w:t xml:space="preserve"> </w:t>
      </w:r>
      <w:r>
        <w:rPr>
          <w:rFonts w:ascii="Times New Roman" w:hAnsi="Times New Roman"/>
        </w:rPr>
        <w:t>или</w:t>
      </w:r>
      <w:r>
        <w:rPr>
          <w:rFonts w:ascii="Times New Roman" w:hAnsi="Times New Roman"/>
          <w:lang w:val="pt-PT"/>
        </w:rPr>
        <w:t xml:space="preserve"> </w:t>
      </w:r>
      <w:r>
        <w:rPr>
          <w:rFonts w:ascii="Times New Roman" w:hAnsi="Times New Roman"/>
        </w:rPr>
        <w:t>сексуална</w:t>
      </w:r>
      <w:r>
        <w:rPr>
          <w:rFonts w:ascii="Times New Roman" w:hAnsi="Times New Roman"/>
          <w:lang w:val="pt-PT"/>
        </w:rPr>
        <w:t xml:space="preserve"> </w:t>
      </w:r>
      <w:r>
        <w:rPr>
          <w:rFonts w:ascii="Times New Roman" w:hAnsi="Times New Roman"/>
        </w:rPr>
        <w:t>ориентация</w:t>
      </w:r>
      <w:r>
        <w:rPr>
          <w:rFonts w:ascii="Times New Roman" w:hAnsi="Times New Roman"/>
          <w:lang w:val="pt-PT"/>
        </w:rPr>
        <w:t xml:space="preserve">, COM(2008) 426 </w:t>
      </w:r>
      <w:r>
        <w:rPr>
          <w:rFonts w:ascii="Times New Roman" w:hAnsi="Times New Roman"/>
        </w:rPr>
        <w:t>окончателен</w:t>
      </w:r>
      <w:r>
        <w:rPr>
          <w:rFonts w:ascii="Times New Roman" w:hAnsi="Times New Roman"/>
          <w:lang w:val="pt-PT"/>
        </w:rPr>
        <w:t>, 2.7.2008 </w:t>
      </w:r>
      <w:r>
        <w:rPr>
          <w:rFonts w:ascii="Times New Roman" w:hAnsi="Times New Roman"/>
        </w:rPr>
        <w:t>г</w:t>
      </w:r>
      <w:r>
        <w:rPr>
          <w:rFonts w:ascii="Times New Roman" w:hAnsi="Times New Roman"/>
          <w:lang w:val="pt-PT"/>
        </w:rPr>
        <w:t>.</w:t>
      </w:r>
    </w:p>
  </w:footnote>
  <w:footnote w:id="17">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r>
      <w:r>
        <w:rPr>
          <w:rFonts w:ascii="Times New Roman" w:hAnsi="Times New Roman"/>
        </w:rPr>
        <w:t>Член</w:t>
      </w:r>
      <w:r>
        <w:rPr>
          <w:rFonts w:ascii="Times New Roman" w:hAnsi="Times New Roman"/>
          <w:lang w:val="pt-PT"/>
        </w:rPr>
        <w:t xml:space="preserve"> 19, </w:t>
      </w:r>
      <w:r>
        <w:rPr>
          <w:rFonts w:ascii="Times New Roman" w:hAnsi="Times New Roman"/>
        </w:rPr>
        <w:t>параграф</w:t>
      </w:r>
      <w:r>
        <w:rPr>
          <w:rFonts w:ascii="Times New Roman" w:hAnsi="Times New Roman"/>
          <w:lang w:val="pt-PT"/>
        </w:rPr>
        <w:t xml:space="preserve"> 2 </w:t>
      </w:r>
      <w:r>
        <w:rPr>
          <w:rFonts w:ascii="Times New Roman" w:hAnsi="Times New Roman"/>
        </w:rPr>
        <w:t>от</w:t>
      </w:r>
      <w:r>
        <w:rPr>
          <w:rFonts w:ascii="Times New Roman" w:hAnsi="Times New Roman"/>
          <w:lang w:val="pt-PT"/>
        </w:rPr>
        <w:t xml:space="preserve"> </w:t>
      </w:r>
      <w:r>
        <w:rPr>
          <w:rFonts w:ascii="Times New Roman" w:hAnsi="Times New Roman"/>
        </w:rPr>
        <w:t>ДФЕС</w:t>
      </w:r>
      <w:r>
        <w:rPr>
          <w:rFonts w:ascii="Times New Roman" w:hAnsi="Times New Roman"/>
          <w:lang w:val="pt-PT"/>
        </w:rPr>
        <w:t>.</w:t>
      </w:r>
    </w:p>
  </w:footnote>
  <w:footnote w:id="18">
    <w:p>
      <w:pPr>
        <w:pStyle w:val="footnotetext1"/>
        <w:spacing w:after="0" w:line="240" w:lineRule="auto"/>
        <w:ind w:left="284" w:hanging="284"/>
        <w:jc w:val="both"/>
        <w:rPr>
          <w:rFonts w:ascii="Times New Roman" w:eastAsia="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r>
      <w:r>
        <w:rPr>
          <w:rFonts w:ascii="Times New Roman" w:hAnsi="Times New Roman"/>
        </w:rPr>
        <w:t>Директива</w:t>
      </w:r>
      <w:r>
        <w:rPr>
          <w:rFonts w:ascii="Times New Roman" w:hAnsi="Times New Roman"/>
          <w:lang w:val="pt-PT"/>
        </w:rPr>
        <w:t xml:space="preserve"> 2004/113/</w:t>
      </w:r>
      <w:r>
        <w:rPr>
          <w:rFonts w:ascii="Times New Roman" w:hAnsi="Times New Roman"/>
        </w:rPr>
        <w:t>ЕО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Съвета</w:t>
      </w:r>
      <w:r>
        <w:rPr>
          <w:rFonts w:ascii="Times New Roman" w:hAnsi="Times New Roman"/>
          <w:lang w:val="pt-PT"/>
        </w:rPr>
        <w:t xml:space="preserve"> </w:t>
      </w:r>
      <w:r>
        <w:rPr>
          <w:rFonts w:ascii="Times New Roman" w:hAnsi="Times New Roman"/>
        </w:rPr>
        <w:t>относно</w:t>
      </w:r>
      <w:r>
        <w:rPr>
          <w:rFonts w:ascii="Times New Roman" w:hAnsi="Times New Roman"/>
          <w:lang w:val="pt-PT"/>
        </w:rPr>
        <w:t xml:space="preserve"> </w:t>
      </w:r>
      <w:r>
        <w:rPr>
          <w:rFonts w:ascii="Times New Roman" w:hAnsi="Times New Roman"/>
        </w:rPr>
        <w:t>прилагане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принципа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равното</w:t>
      </w:r>
      <w:r>
        <w:rPr>
          <w:rFonts w:ascii="Times New Roman" w:hAnsi="Times New Roman"/>
          <w:lang w:val="pt-PT"/>
        </w:rPr>
        <w:t xml:space="preserve"> </w:t>
      </w:r>
      <w:r>
        <w:rPr>
          <w:rFonts w:ascii="Times New Roman" w:hAnsi="Times New Roman"/>
        </w:rPr>
        <w:t>третиране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мъжете</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жените</w:t>
      </w:r>
      <w:r>
        <w:rPr>
          <w:rFonts w:ascii="Times New Roman" w:hAnsi="Times New Roman"/>
          <w:lang w:val="pt-PT"/>
        </w:rPr>
        <w:t xml:space="preserve"> </w:t>
      </w:r>
      <w:r>
        <w:rPr>
          <w:rFonts w:ascii="Times New Roman" w:hAnsi="Times New Roman"/>
        </w:rPr>
        <w:t>по</w:t>
      </w:r>
      <w:r>
        <w:rPr>
          <w:rFonts w:ascii="Times New Roman" w:hAnsi="Times New Roman"/>
          <w:lang w:val="pt-PT"/>
        </w:rPr>
        <w:t xml:space="preserve"> </w:t>
      </w:r>
      <w:r>
        <w:rPr>
          <w:rFonts w:ascii="Times New Roman" w:hAnsi="Times New Roman"/>
        </w:rPr>
        <w:t>отношение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достъпа</w:t>
      </w:r>
      <w:r>
        <w:rPr>
          <w:rFonts w:ascii="Times New Roman" w:hAnsi="Times New Roman"/>
          <w:lang w:val="pt-PT"/>
        </w:rPr>
        <w:t xml:space="preserve"> </w:t>
      </w:r>
      <w:r>
        <w:rPr>
          <w:rFonts w:ascii="Times New Roman" w:hAnsi="Times New Roman"/>
        </w:rPr>
        <w:t>до</w:t>
      </w:r>
      <w:r>
        <w:rPr>
          <w:rFonts w:ascii="Times New Roman" w:hAnsi="Times New Roman"/>
          <w:lang w:val="pt-PT"/>
        </w:rPr>
        <w:t xml:space="preserve"> </w:t>
      </w:r>
      <w:r>
        <w:rPr>
          <w:rFonts w:ascii="Times New Roman" w:hAnsi="Times New Roman"/>
        </w:rPr>
        <w:t>стоки</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услуги</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предоставянето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стоки</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услуги</w:t>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xml:space="preserve"> 2000/43/</w:t>
      </w:r>
      <w:r>
        <w:rPr>
          <w:rFonts w:ascii="Times New Roman" w:hAnsi="Times New Roman"/>
        </w:rPr>
        <w:t>ЕО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Съвета</w:t>
      </w:r>
      <w:r>
        <w:rPr>
          <w:rFonts w:ascii="Times New Roman" w:hAnsi="Times New Roman"/>
          <w:lang w:val="pt-PT"/>
        </w:rPr>
        <w:t xml:space="preserve"> </w:t>
      </w:r>
      <w:r>
        <w:rPr>
          <w:rFonts w:ascii="Times New Roman" w:hAnsi="Times New Roman"/>
        </w:rPr>
        <w:t>относно</w:t>
      </w:r>
      <w:r>
        <w:rPr>
          <w:rFonts w:ascii="Times New Roman" w:hAnsi="Times New Roman"/>
          <w:lang w:val="pt-PT"/>
        </w:rPr>
        <w:t xml:space="preserve"> </w:t>
      </w:r>
      <w:r>
        <w:rPr>
          <w:rFonts w:ascii="Times New Roman" w:hAnsi="Times New Roman"/>
        </w:rPr>
        <w:t>прилагане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принципа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равно</w:t>
      </w:r>
      <w:r>
        <w:rPr>
          <w:rFonts w:ascii="Times New Roman" w:hAnsi="Times New Roman"/>
          <w:lang w:val="pt-PT"/>
        </w:rPr>
        <w:t xml:space="preserve"> </w:t>
      </w:r>
      <w:r>
        <w:rPr>
          <w:rFonts w:ascii="Times New Roman" w:hAnsi="Times New Roman"/>
        </w:rPr>
        <w:t>третиране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лица</w:t>
      </w:r>
      <w:r>
        <w:rPr>
          <w:rFonts w:ascii="Times New Roman" w:hAnsi="Times New Roman"/>
          <w:lang w:val="pt-PT"/>
        </w:rPr>
        <w:t xml:space="preserve"> </w:t>
      </w:r>
      <w:r>
        <w:rPr>
          <w:rFonts w:ascii="Times New Roman" w:hAnsi="Times New Roman"/>
        </w:rPr>
        <w:t>без</w:t>
      </w:r>
      <w:r>
        <w:rPr>
          <w:rFonts w:ascii="Times New Roman" w:hAnsi="Times New Roman"/>
          <w:lang w:val="pt-PT"/>
        </w:rPr>
        <w:t xml:space="preserve"> </w:t>
      </w:r>
      <w:r>
        <w:rPr>
          <w:rFonts w:ascii="Times New Roman" w:hAnsi="Times New Roman"/>
        </w:rPr>
        <w:t>разлика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расата</w:t>
      </w:r>
      <w:r>
        <w:rPr>
          <w:rFonts w:ascii="Times New Roman" w:hAnsi="Times New Roman"/>
          <w:lang w:val="pt-PT"/>
        </w:rPr>
        <w:t xml:space="preserve"> </w:t>
      </w:r>
      <w:r>
        <w:rPr>
          <w:rFonts w:ascii="Times New Roman" w:hAnsi="Times New Roman"/>
        </w:rPr>
        <w:t>или</w:t>
      </w:r>
      <w:r>
        <w:rPr>
          <w:rFonts w:ascii="Times New Roman" w:hAnsi="Times New Roman"/>
          <w:lang w:val="pt-PT"/>
        </w:rPr>
        <w:t xml:space="preserve"> </w:t>
      </w:r>
      <w:r>
        <w:rPr>
          <w:rFonts w:ascii="Times New Roman" w:hAnsi="Times New Roman"/>
        </w:rPr>
        <w:t>етническия</w:t>
      </w:r>
      <w:r>
        <w:rPr>
          <w:rFonts w:ascii="Times New Roman" w:hAnsi="Times New Roman"/>
          <w:lang w:val="pt-PT"/>
        </w:rPr>
        <w:t xml:space="preserve"> </w:t>
      </w:r>
      <w:r>
        <w:rPr>
          <w:rFonts w:ascii="Times New Roman" w:hAnsi="Times New Roman"/>
        </w:rPr>
        <w:t>произход</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2000/78/</w:t>
      </w:r>
      <w:r>
        <w:rPr>
          <w:rFonts w:ascii="Times New Roman" w:hAnsi="Times New Roman"/>
        </w:rPr>
        <w:t>ЕО</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създаване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основна</w:t>
      </w:r>
      <w:r>
        <w:rPr>
          <w:rFonts w:ascii="Times New Roman" w:hAnsi="Times New Roman"/>
          <w:lang w:val="pt-PT"/>
        </w:rPr>
        <w:t xml:space="preserve"> </w:t>
      </w:r>
      <w:r>
        <w:rPr>
          <w:rFonts w:ascii="Times New Roman" w:hAnsi="Times New Roman"/>
        </w:rPr>
        <w:t>рамка</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равно</w:t>
      </w:r>
      <w:r>
        <w:rPr>
          <w:rFonts w:ascii="Times New Roman" w:hAnsi="Times New Roman"/>
          <w:lang w:val="pt-PT"/>
        </w:rPr>
        <w:t xml:space="preserve"> </w:t>
      </w:r>
      <w:r>
        <w:rPr>
          <w:rFonts w:ascii="Times New Roman" w:hAnsi="Times New Roman"/>
        </w:rPr>
        <w:t>третиране</w:t>
      </w:r>
      <w:r>
        <w:rPr>
          <w:rFonts w:ascii="Times New Roman" w:hAnsi="Times New Roman"/>
          <w:lang w:val="pt-PT"/>
        </w:rPr>
        <w:t xml:space="preserve"> </w:t>
      </w:r>
      <w:r>
        <w:rPr>
          <w:rFonts w:ascii="Times New Roman" w:hAnsi="Times New Roman"/>
        </w:rPr>
        <w:t>в</w:t>
      </w:r>
      <w:r>
        <w:rPr>
          <w:rFonts w:ascii="Times New Roman" w:hAnsi="Times New Roman"/>
          <w:lang w:val="pt-PT"/>
        </w:rPr>
        <w:t xml:space="preserve"> </w:t>
      </w:r>
      <w:r>
        <w:rPr>
          <w:rFonts w:ascii="Times New Roman" w:hAnsi="Times New Roman"/>
        </w:rPr>
        <w:t>областта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заетостта</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професиите</w:t>
      </w:r>
      <w:r>
        <w:rPr>
          <w:rFonts w:ascii="Times New Roman" w:hAnsi="Times New Roman"/>
          <w:lang w:val="pt-PT"/>
        </w:rPr>
        <w:t>.</w:t>
      </w:r>
    </w:p>
    <w:p>
      <w:pPr>
        <w:pStyle w:val="footnotetext1"/>
        <w:spacing w:after="0" w:line="240" w:lineRule="auto"/>
        <w:ind w:left="284" w:firstLine="0"/>
        <w:jc w:val="both"/>
        <w:rPr>
          <w:rFonts w:ascii="Times New Roman" w:hAnsi="Times New Roman" w:cs="Times New Roman"/>
          <w:lang w:val="pt-PT"/>
        </w:rPr>
      </w:pPr>
      <w:r>
        <w:rPr>
          <w:rFonts w:ascii="Times New Roman" w:hAnsi="Times New Roman"/>
        </w:rPr>
        <w:t>Други</w:t>
      </w:r>
      <w:r>
        <w:rPr>
          <w:rFonts w:ascii="Times New Roman" w:hAnsi="Times New Roman"/>
          <w:lang w:val="pt-PT"/>
        </w:rPr>
        <w:t xml:space="preserve"> </w:t>
      </w:r>
      <w:r>
        <w:rPr>
          <w:rFonts w:ascii="Times New Roman" w:hAnsi="Times New Roman"/>
        </w:rPr>
        <w:t>инструменти</w:t>
      </w:r>
      <w:r>
        <w:rPr>
          <w:rFonts w:ascii="Times New Roman" w:hAnsi="Times New Roman"/>
          <w:lang w:val="pt-PT"/>
        </w:rPr>
        <w:t xml:space="preserve"> </w:t>
      </w:r>
      <w:r>
        <w:rPr>
          <w:rFonts w:ascii="Times New Roman" w:hAnsi="Times New Roman"/>
        </w:rPr>
        <w:t>бяха</w:t>
      </w:r>
      <w:r>
        <w:rPr>
          <w:rFonts w:ascii="Times New Roman" w:hAnsi="Times New Roman"/>
          <w:lang w:val="pt-PT"/>
        </w:rPr>
        <w:t xml:space="preserve"> </w:t>
      </w:r>
      <w:r>
        <w:rPr>
          <w:rFonts w:ascii="Times New Roman" w:hAnsi="Times New Roman"/>
        </w:rPr>
        <w:t>приети</w:t>
      </w:r>
      <w:r>
        <w:rPr>
          <w:rFonts w:ascii="Times New Roman" w:hAnsi="Times New Roman"/>
          <w:lang w:val="pt-PT"/>
        </w:rPr>
        <w:t xml:space="preserve"> </w:t>
      </w:r>
      <w:r>
        <w:rPr>
          <w:rFonts w:ascii="Times New Roman" w:hAnsi="Times New Roman"/>
        </w:rPr>
        <w:t>чрез</w:t>
      </w:r>
      <w:r>
        <w:rPr>
          <w:rFonts w:ascii="Times New Roman" w:hAnsi="Times New Roman"/>
          <w:lang w:val="pt-PT"/>
        </w:rPr>
        <w:t xml:space="preserve"> </w:t>
      </w:r>
      <w:r>
        <w:rPr>
          <w:rFonts w:ascii="Times New Roman" w:hAnsi="Times New Roman"/>
        </w:rPr>
        <w:t>гласуване</w:t>
      </w:r>
      <w:r>
        <w:rPr>
          <w:rFonts w:ascii="Times New Roman" w:hAnsi="Times New Roman"/>
          <w:lang w:val="pt-PT"/>
        </w:rPr>
        <w:t xml:space="preserve"> </w:t>
      </w:r>
      <w:r>
        <w:rPr>
          <w:rFonts w:ascii="Times New Roman" w:hAnsi="Times New Roman"/>
        </w:rPr>
        <w:t>с</w:t>
      </w:r>
      <w:r>
        <w:rPr>
          <w:rFonts w:ascii="Times New Roman" w:hAnsi="Times New Roman"/>
          <w:lang w:val="pt-PT"/>
        </w:rPr>
        <w:t xml:space="preserve"> </w:t>
      </w:r>
      <w:r>
        <w:rPr>
          <w:rFonts w:ascii="Times New Roman" w:hAnsi="Times New Roman"/>
        </w:rPr>
        <w:t>квалифицирано</w:t>
      </w:r>
      <w:r>
        <w:rPr>
          <w:rFonts w:ascii="Times New Roman" w:hAnsi="Times New Roman"/>
          <w:lang w:val="pt-PT"/>
        </w:rPr>
        <w:t xml:space="preserve"> </w:t>
      </w:r>
      <w:r>
        <w:rPr>
          <w:rFonts w:ascii="Times New Roman" w:hAnsi="Times New Roman"/>
        </w:rPr>
        <w:t>мнозинство</w:t>
      </w:r>
      <w:r>
        <w:rPr>
          <w:rFonts w:ascii="Times New Roman" w:hAnsi="Times New Roman"/>
          <w:lang w:val="pt-PT"/>
        </w:rPr>
        <w:t xml:space="preserve">, </w:t>
      </w:r>
      <w:r>
        <w:rPr>
          <w:rFonts w:ascii="Times New Roman" w:hAnsi="Times New Roman"/>
        </w:rPr>
        <w:t>тъй</w:t>
      </w:r>
      <w:r>
        <w:rPr>
          <w:rFonts w:ascii="Times New Roman" w:hAnsi="Times New Roman"/>
          <w:lang w:val="pt-PT"/>
        </w:rPr>
        <w:t xml:space="preserve"> </w:t>
      </w:r>
      <w:r>
        <w:rPr>
          <w:rFonts w:ascii="Times New Roman" w:hAnsi="Times New Roman"/>
        </w:rPr>
        <w:t>като</w:t>
      </w:r>
      <w:r>
        <w:rPr>
          <w:rFonts w:ascii="Times New Roman" w:hAnsi="Times New Roman"/>
          <w:lang w:val="pt-PT"/>
        </w:rPr>
        <w:t xml:space="preserve"> </w:t>
      </w:r>
      <w:r>
        <w:rPr>
          <w:rFonts w:ascii="Times New Roman" w:hAnsi="Times New Roman"/>
        </w:rPr>
        <w:t>те</w:t>
      </w:r>
      <w:r>
        <w:rPr>
          <w:rFonts w:ascii="Times New Roman" w:hAnsi="Times New Roman"/>
          <w:lang w:val="pt-PT"/>
        </w:rPr>
        <w:t xml:space="preserve"> </w:t>
      </w:r>
      <w:r>
        <w:rPr>
          <w:rFonts w:ascii="Times New Roman" w:hAnsi="Times New Roman"/>
        </w:rPr>
        <w:t>се</w:t>
      </w:r>
      <w:r>
        <w:rPr>
          <w:rFonts w:ascii="Times New Roman" w:hAnsi="Times New Roman"/>
          <w:lang w:val="pt-PT"/>
        </w:rPr>
        <w:t xml:space="preserve"> </w:t>
      </w:r>
      <w:r>
        <w:rPr>
          <w:rFonts w:ascii="Times New Roman" w:hAnsi="Times New Roman"/>
        </w:rPr>
        <w:t>основават</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различна</w:t>
      </w:r>
      <w:r>
        <w:rPr>
          <w:rFonts w:ascii="Times New Roman" w:hAnsi="Times New Roman"/>
          <w:lang w:val="pt-PT"/>
        </w:rPr>
        <w:t xml:space="preserve"> </w:t>
      </w:r>
      <w:r>
        <w:rPr>
          <w:rFonts w:ascii="Times New Roman" w:hAnsi="Times New Roman"/>
        </w:rPr>
        <w:t>разпоредба</w:t>
      </w:r>
      <w:r>
        <w:rPr>
          <w:rFonts w:ascii="Times New Roman" w:hAnsi="Times New Roman"/>
          <w:lang w:val="pt-PT"/>
        </w:rPr>
        <w:t xml:space="preserve"> </w:t>
      </w:r>
      <w:r>
        <w:rPr>
          <w:rFonts w:ascii="Times New Roman" w:hAnsi="Times New Roman"/>
        </w:rPr>
        <w:t>в</w:t>
      </w:r>
      <w:r>
        <w:rPr>
          <w:rFonts w:ascii="Times New Roman" w:hAnsi="Times New Roman"/>
          <w:lang w:val="pt-PT"/>
        </w:rPr>
        <w:t xml:space="preserve"> </w:t>
      </w:r>
      <w:r>
        <w:rPr>
          <w:rFonts w:ascii="Times New Roman" w:hAnsi="Times New Roman"/>
        </w:rPr>
        <w:t>Договора</w:t>
      </w:r>
      <w:r>
        <w:rPr>
          <w:rFonts w:ascii="Times New Roman" w:hAnsi="Times New Roman"/>
          <w:lang w:val="pt-PT"/>
        </w:rPr>
        <w:t xml:space="preserve">, </w:t>
      </w:r>
      <w:r>
        <w:rPr>
          <w:rFonts w:ascii="Times New Roman" w:hAnsi="Times New Roman"/>
        </w:rPr>
        <w:t>но</w:t>
      </w:r>
      <w:r>
        <w:rPr>
          <w:rFonts w:ascii="Times New Roman" w:hAnsi="Times New Roman"/>
          <w:lang w:val="pt-PT"/>
        </w:rPr>
        <w:t xml:space="preserve"> </w:t>
      </w:r>
      <w:r>
        <w:rPr>
          <w:rFonts w:ascii="Times New Roman" w:hAnsi="Times New Roman"/>
        </w:rPr>
        <w:t>се</w:t>
      </w:r>
      <w:r>
        <w:rPr>
          <w:rFonts w:ascii="Times New Roman" w:hAnsi="Times New Roman"/>
          <w:lang w:val="pt-PT"/>
        </w:rPr>
        <w:t xml:space="preserve"> </w:t>
      </w:r>
      <w:r>
        <w:rPr>
          <w:rFonts w:ascii="Times New Roman" w:hAnsi="Times New Roman"/>
        </w:rPr>
        <w:t>отнасят</w:t>
      </w:r>
      <w:r>
        <w:rPr>
          <w:rFonts w:ascii="Times New Roman" w:hAnsi="Times New Roman"/>
          <w:lang w:val="pt-PT"/>
        </w:rPr>
        <w:t xml:space="preserve"> </w:t>
      </w:r>
      <w:r>
        <w:rPr>
          <w:rFonts w:ascii="Times New Roman" w:hAnsi="Times New Roman"/>
        </w:rPr>
        <w:t>до</w:t>
      </w:r>
      <w:r>
        <w:rPr>
          <w:rFonts w:ascii="Times New Roman" w:hAnsi="Times New Roman"/>
          <w:lang w:val="pt-PT"/>
        </w:rPr>
        <w:t xml:space="preserve"> </w:t>
      </w:r>
      <w:r>
        <w:rPr>
          <w:rFonts w:ascii="Times New Roman" w:hAnsi="Times New Roman"/>
        </w:rPr>
        <w:t>сходни</w:t>
      </w:r>
      <w:r>
        <w:rPr>
          <w:rFonts w:ascii="Times New Roman" w:hAnsi="Times New Roman"/>
          <w:lang w:val="pt-PT"/>
        </w:rPr>
        <w:t xml:space="preserve"> </w:t>
      </w:r>
      <w:r>
        <w:rPr>
          <w:rFonts w:ascii="Times New Roman" w:hAnsi="Times New Roman"/>
        </w:rPr>
        <w:t>области</w:t>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xml:space="preserve"> 2006/54/</w:t>
      </w:r>
      <w:r>
        <w:rPr>
          <w:rFonts w:ascii="Times New Roman" w:hAnsi="Times New Roman"/>
        </w:rPr>
        <w:t>ЕО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Европейския</w:t>
      </w:r>
      <w:r>
        <w:rPr>
          <w:rFonts w:ascii="Times New Roman" w:hAnsi="Times New Roman"/>
          <w:lang w:val="pt-PT"/>
        </w:rPr>
        <w:t xml:space="preserve"> </w:t>
      </w:r>
      <w:r>
        <w:rPr>
          <w:rFonts w:ascii="Times New Roman" w:hAnsi="Times New Roman"/>
        </w:rPr>
        <w:t>парламент</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Съвета</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прилагането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принципа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равните</w:t>
      </w:r>
      <w:r>
        <w:rPr>
          <w:rFonts w:ascii="Times New Roman" w:hAnsi="Times New Roman"/>
          <w:lang w:val="pt-PT"/>
        </w:rPr>
        <w:t xml:space="preserve"> </w:t>
      </w:r>
      <w:r>
        <w:rPr>
          <w:rFonts w:ascii="Times New Roman" w:hAnsi="Times New Roman"/>
        </w:rPr>
        <w:t>възможности</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равното</w:t>
      </w:r>
      <w:r>
        <w:rPr>
          <w:rFonts w:ascii="Times New Roman" w:hAnsi="Times New Roman"/>
          <w:lang w:val="pt-PT"/>
        </w:rPr>
        <w:t xml:space="preserve"> </w:t>
      </w:r>
      <w:r>
        <w:rPr>
          <w:rFonts w:ascii="Times New Roman" w:hAnsi="Times New Roman"/>
        </w:rPr>
        <w:t>третиране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мъжете</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жените</w:t>
      </w:r>
      <w:r>
        <w:rPr>
          <w:rFonts w:ascii="Times New Roman" w:hAnsi="Times New Roman"/>
          <w:lang w:val="pt-PT"/>
        </w:rPr>
        <w:t xml:space="preserve"> </w:t>
      </w:r>
      <w:r>
        <w:rPr>
          <w:rFonts w:ascii="Times New Roman" w:hAnsi="Times New Roman"/>
        </w:rPr>
        <w:t>в</w:t>
      </w:r>
      <w:r>
        <w:rPr>
          <w:rFonts w:ascii="Times New Roman" w:hAnsi="Times New Roman"/>
          <w:lang w:val="pt-PT"/>
        </w:rPr>
        <w:t xml:space="preserve"> </w:t>
      </w:r>
      <w:r>
        <w:rPr>
          <w:rFonts w:ascii="Times New Roman" w:hAnsi="Times New Roman"/>
        </w:rPr>
        <w:t>областта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заетостта</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професиите</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xml:space="preserve"> 2010/41/</w:t>
      </w:r>
      <w:r>
        <w:rPr>
          <w:rFonts w:ascii="Times New Roman" w:hAnsi="Times New Roman"/>
        </w:rPr>
        <w:t>Е</w:t>
      </w:r>
      <w:r>
        <w:rPr>
          <w:rFonts w:ascii="Times New Roman" w:hAnsi="Times New Roman"/>
          <w:lang w:val="pt-PT"/>
        </w:rPr>
        <w:t xml:space="preserve">C </w:t>
      </w:r>
      <w:r>
        <w:rPr>
          <w:rFonts w:ascii="Times New Roman" w:hAnsi="Times New Roman"/>
        </w:rPr>
        <w:t>на</w:t>
      </w:r>
      <w:r>
        <w:rPr>
          <w:rFonts w:ascii="Times New Roman" w:hAnsi="Times New Roman"/>
          <w:lang w:val="pt-PT"/>
        </w:rPr>
        <w:t xml:space="preserve"> </w:t>
      </w:r>
      <w:r>
        <w:rPr>
          <w:rFonts w:ascii="Times New Roman" w:hAnsi="Times New Roman"/>
        </w:rPr>
        <w:t>Европейския</w:t>
      </w:r>
      <w:r>
        <w:rPr>
          <w:rFonts w:ascii="Times New Roman" w:hAnsi="Times New Roman"/>
          <w:lang w:val="pt-PT"/>
        </w:rPr>
        <w:t xml:space="preserve"> </w:t>
      </w:r>
      <w:r>
        <w:rPr>
          <w:rFonts w:ascii="Times New Roman" w:hAnsi="Times New Roman"/>
        </w:rPr>
        <w:t>парламент</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Съвета</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прилагане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принципа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равно</w:t>
      </w:r>
      <w:r>
        <w:rPr>
          <w:rFonts w:ascii="Times New Roman" w:hAnsi="Times New Roman"/>
          <w:lang w:val="pt-PT"/>
        </w:rPr>
        <w:t xml:space="preserve"> </w:t>
      </w:r>
      <w:r>
        <w:rPr>
          <w:rFonts w:ascii="Times New Roman" w:hAnsi="Times New Roman"/>
        </w:rPr>
        <w:t>третиране</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мъжете</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жените</w:t>
      </w:r>
      <w:r>
        <w:rPr>
          <w:rFonts w:ascii="Times New Roman" w:hAnsi="Times New Roman"/>
          <w:lang w:val="pt-PT"/>
        </w:rPr>
        <w:t xml:space="preserve">, </w:t>
      </w:r>
      <w:r>
        <w:rPr>
          <w:rFonts w:ascii="Times New Roman" w:hAnsi="Times New Roman"/>
        </w:rPr>
        <w:t>които</w:t>
      </w:r>
      <w:r>
        <w:rPr>
          <w:rFonts w:ascii="Times New Roman" w:hAnsi="Times New Roman"/>
          <w:lang w:val="pt-PT"/>
        </w:rPr>
        <w:t xml:space="preserve"> </w:t>
      </w:r>
      <w:r>
        <w:rPr>
          <w:rFonts w:ascii="Times New Roman" w:hAnsi="Times New Roman"/>
        </w:rPr>
        <w:t>извършват</w:t>
      </w:r>
      <w:r>
        <w:rPr>
          <w:rFonts w:ascii="Times New Roman" w:hAnsi="Times New Roman"/>
          <w:lang w:val="pt-PT"/>
        </w:rPr>
        <w:t xml:space="preserve"> </w:t>
      </w:r>
      <w:r>
        <w:rPr>
          <w:rFonts w:ascii="Times New Roman" w:hAnsi="Times New Roman"/>
        </w:rPr>
        <w:t>дейности</w:t>
      </w:r>
      <w:r>
        <w:rPr>
          <w:rFonts w:ascii="Times New Roman" w:hAnsi="Times New Roman"/>
          <w:lang w:val="pt-PT"/>
        </w:rPr>
        <w:t xml:space="preserve"> </w:t>
      </w:r>
      <w:r>
        <w:rPr>
          <w:rFonts w:ascii="Times New Roman" w:hAnsi="Times New Roman"/>
        </w:rPr>
        <w:t>в</w:t>
      </w:r>
      <w:r>
        <w:rPr>
          <w:rFonts w:ascii="Times New Roman" w:hAnsi="Times New Roman"/>
          <w:lang w:val="pt-PT"/>
        </w:rPr>
        <w:t xml:space="preserve"> </w:t>
      </w:r>
      <w:r>
        <w:rPr>
          <w:rFonts w:ascii="Times New Roman" w:hAnsi="Times New Roman"/>
        </w:rPr>
        <w:t>качеството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самостоятелно</w:t>
      </w:r>
      <w:r>
        <w:rPr>
          <w:rFonts w:ascii="Times New Roman" w:hAnsi="Times New Roman"/>
          <w:lang w:val="pt-PT"/>
        </w:rPr>
        <w:t xml:space="preserve"> </w:t>
      </w:r>
      <w:r>
        <w:rPr>
          <w:rFonts w:ascii="Times New Roman" w:hAnsi="Times New Roman"/>
        </w:rPr>
        <w:t>заети</w:t>
      </w:r>
      <w:r>
        <w:rPr>
          <w:rFonts w:ascii="Times New Roman" w:hAnsi="Times New Roman"/>
          <w:lang w:val="pt-PT"/>
        </w:rPr>
        <w:t xml:space="preserve"> </w:t>
      </w:r>
      <w:r>
        <w:rPr>
          <w:rFonts w:ascii="Times New Roman" w:hAnsi="Times New Roman"/>
        </w:rPr>
        <w:t>лица</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отмяна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xml:space="preserve"> 86/613/</w:t>
      </w:r>
      <w:r>
        <w:rPr>
          <w:rFonts w:ascii="Times New Roman" w:hAnsi="Times New Roman"/>
        </w:rPr>
        <w:t>ЕИО</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Съвета</w:t>
      </w:r>
      <w:r>
        <w:rPr>
          <w:rFonts w:ascii="Times New Roman" w:hAnsi="Times New Roman"/>
          <w:lang w:val="pt-PT"/>
        </w:rPr>
        <w:t>.</w:t>
      </w:r>
    </w:p>
  </w:footnote>
  <w:footnote w:id="19">
    <w:p>
      <w:pPr>
        <w:spacing w:after="0" w:line="240" w:lineRule="auto"/>
        <w:ind w:left="284" w:hanging="284"/>
        <w:jc w:val="both"/>
        <w:rPr>
          <w:rFonts w:ascii="Times New Roman" w:hAnsi="Times New Roman" w:cs="Times New Roman"/>
          <w:sz w:val="20"/>
          <w:szCs w:val="20"/>
          <w:lang w:val="pt-PT"/>
        </w:rPr>
      </w:pPr>
      <w:r>
        <w:rPr>
          <w:rStyle w:val="FootnoteReference"/>
          <w:rFonts w:ascii="Times New Roman" w:hAnsi="Times New Roman" w:cs="Times New Roman"/>
          <w:sz w:val="20"/>
          <w:szCs w:val="20"/>
        </w:rPr>
        <w:footnoteRef/>
      </w:r>
      <w:r>
        <w:rPr>
          <w:rFonts w:ascii="Times New Roman" w:hAnsi="Times New Roman"/>
          <w:sz w:val="20"/>
          <w:szCs w:val="20"/>
          <w:lang w:val="pt-PT"/>
        </w:rPr>
        <w:t xml:space="preserve"> </w:t>
      </w:r>
      <w:r>
        <w:rPr>
          <w:rFonts w:ascii="Times New Roman" w:hAnsi="Times New Roman"/>
          <w:sz w:val="20"/>
          <w:szCs w:val="20"/>
          <w:lang w:val="pt-PT"/>
        </w:rPr>
        <w:tab/>
      </w:r>
      <w:r>
        <w:rPr>
          <w:rFonts w:ascii="Times New Roman" w:hAnsi="Times New Roman"/>
          <w:sz w:val="20"/>
          <w:szCs w:val="20"/>
        </w:rPr>
        <w:t>Предложението</w:t>
      </w:r>
      <w:r>
        <w:rPr>
          <w:rFonts w:ascii="Times New Roman" w:hAnsi="Times New Roman"/>
          <w:sz w:val="20"/>
          <w:szCs w:val="20"/>
          <w:lang w:val="pt-PT"/>
        </w:rPr>
        <w:t xml:space="preserve"> </w:t>
      </w:r>
      <w:r>
        <w:rPr>
          <w:rFonts w:ascii="Times New Roman" w:hAnsi="Times New Roman"/>
          <w:sz w:val="20"/>
          <w:szCs w:val="20"/>
        </w:rPr>
        <w:t>от</w:t>
      </w:r>
      <w:r>
        <w:rPr>
          <w:rFonts w:ascii="Times New Roman" w:hAnsi="Times New Roman"/>
          <w:sz w:val="20"/>
          <w:szCs w:val="20"/>
          <w:lang w:val="pt-PT"/>
        </w:rPr>
        <w:t xml:space="preserve"> 2008 </w:t>
      </w:r>
      <w:r>
        <w:rPr>
          <w:rFonts w:ascii="Times New Roman" w:hAnsi="Times New Roman"/>
          <w:sz w:val="20"/>
          <w:szCs w:val="20"/>
        </w:rPr>
        <w:t>г</w:t>
      </w:r>
      <w:r>
        <w:rPr>
          <w:rFonts w:ascii="Times New Roman" w:hAnsi="Times New Roman"/>
          <w:sz w:val="20"/>
          <w:szCs w:val="20"/>
          <w:lang w:val="pt-PT"/>
        </w:rPr>
        <w:t xml:space="preserve">. </w:t>
      </w:r>
      <w:r>
        <w:rPr>
          <w:rFonts w:ascii="Times New Roman" w:hAnsi="Times New Roman"/>
          <w:sz w:val="20"/>
          <w:szCs w:val="20"/>
        </w:rPr>
        <w:t>за</w:t>
      </w:r>
      <w:r>
        <w:rPr>
          <w:rFonts w:ascii="Times New Roman" w:hAnsi="Times New Roman"/>
          <w:sz w:val="20"/>
          <w:szCs w:val="20"/>
          <w:lang w:val="pt-PT"/>
        </w:rPr>
        <w:t xml:space="preserve"> </w:t>
      </w:r>
      <w:r>
        <w:rPr>
          <w:rFonts w:ascii="Times New Roman" w:hAnsi="Times New Roman"/>
          <w:sz w:val="20"/>
          <w:szCs w:val="20"/>
        </w:rPr>
        <w:t>Директива</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Съвета</w:t>
      </w:r>
      <w:r>
        <w:rPr>
          <w:rFonts w:ascii="Times New Roman" w:hAnsi="Times New Roman"/>
          <w:sz w:val="20"/>
          <w:szCs w:val="20"/>
          <w:lang w:val="pt-PT"/>
        </w:rPr>
        <w:t xml:space="preserve"> </w:t>
      </w:r>
      <w:r>
        <w:rPr>
          <w:rFonts w:ascii="Times New Roman" w:hAnsi="Times New Roman"/>
          <w:sz w:val="20"/>
          <w:szCs w:val="20"/>
        </w:rPr>
        <w:t>за</w:t>
      </w:r>
      <w:r>
        <w:rPr>
          <w:rFonts w:ascii="Times New Roman" w:hAnsi="Times New Roman"/>
          <w:sz w:val="20"/>
          <w:szCs w:val="20"/>
          <w:lang w:val="pt-PT"/>
        </w:rPr>
        <w:t xml:space="preserve"> </w:t>
      </w:r>
      <w:r>
        <w:rPr>
          <w:rFonts w:ascii="Times New Roman" w:hAnsi="Times New Roman"/>
          <w:sz w:val="20"/>
          <w:szCs w:val="20"/>
        </w:rPr>
        <w:t>прилагане</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принципа</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равно</w:t>
      </w:r>
      <w:r>
        <w:rPr>
          <w:rFonts w:ascii="Times New Roman" w:hAnsi="Times New Roman"/>
          <w:sz w:val="20"/>
          <w:szCs w:val="20"/>
          <w:lang w:val="pt-PT"/>
        </w:rPr>
        <w:t xml:space="preserve"> </w:t>
      </w:r>
      <w:r>
        <w:rPr>
          <w:rFonts w:ascii="Times New Roman" w:hAnsi="Times New Roman"/>
          <w:sz w:val="20"/>
          <w:szCs w:val="20"/>
        </w:rPr>
        <w:t>третиране</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лицата</w:t>
      </w:r>
      <w:r>
        <w:rPr>
          <w:rFonts w:ascii="Times New Roman" w:hAnsi="Times New Roman"/>
          <w:sz w:val="20"/>
          <w:szCs w:val="20"/>
          <w:lang w:val="pt-PT"/>
        </w:rPr>
        <w:t xml:space="preserve"> </w:t>
      </w:r>
      <w:r>
        <w:rPr>
          <w:rFonts w:ascii="Times New Roman" w:hAnsi="Times New Roman"/>
          <w:sz w:val="20"/>
          <w:szCs w:val="20"/>
        </w:rPr>
        <w:t>без</w:t>
      </w:r>
      <w:r>
        <w:rPr>
          <w:rFonts w:ascii="Times New Roman" w:hAnsi="Times New Roman"/>
          <w:sz w:val="20"/>
          <w:szCs w:val="20"/>
          <w:lang w:val="pt-PT"/>
        </w:rPr>
        <w:t xml:space="preserve"> </w:t>
      </w:r>
      <w:r>
        <w:rPr>
          <w:rFonts w:ascii="Times New Roman" w:hAnsi="Times New Roman"/>
          <w:sz w:val="20"/>
          <w:szCs w:val="20"/>
        </w:rPr>
        <w:t>оглед</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религиозна</w:t>
      </w:r>
      <w:r>
        <w:rPr>
          <w:rFonts w:ascii="Times New Roman" w:hAnsi="Times New Roman"/>
          <w:sz w:val="20"/>
          <w:szCs w:val="20"/>
          <w:lang w:val="pt-PT"/>
        </w:rPr>
        <w:t xml:space="preserve"> </w:t>
      </w:r>
      <w:r>
        <w:rPr>
          <w:rFonts w:ascii="Times New Roman" w:hAnsi="Times New Roman"/>
          <w:sz w:val="20"/>
          <w:szCs w:val="20"/>
        </w:rPr>
        <w:t>принадлежност</w:t>
      </w:r>
      <w:r>
        <w:rPr>
          <w:rFonts w:ascii="Times New Roman" w:hAnsi="Times New Roman"/>
          <w:sz w:val="20"/>
          <w:szCs w:val="20"/>
          <w:lang w:val="pt-PT"/>
        </w:rPr>
        <w:t xml:space="preserve"> </w:t>
      </w:r>
      <w:r>
        <w:rPr>
          <w:rFonts w:ascii="Times New Roman" w:hAnsi="Times New Roman"/>
          <w:sz w:val="20"/>
          <w:szCs w:val="20"/>
        </w:rPr>
        <w:t>или</w:t>
      </w:r>
      <w:r>
        <w:rPr>
          <w:rFonts w:ascii="Times New Roman" w:hAnsi="Times New Roman"/>
          <w:sz w:val="20"/>
          <w:szCs w:val="20"/>
          <w:lang w:val="pt-PT"/>
        </w:rPr>
        <w:t xml:space="preserve"> </w:t>
      </w:r>
      <w:r>
        <w:rPr>
          <w:rFonts w:ascii="Times New Roman" w:hAnsi="Times New Roman"/>
          <w:sz w:val="20"/>
          <w:szCs w:val="20"/>
        </w:rPr>
        <w:t>убеждения</w:t>
      </w:r>
      <w:r>
        <w:rPr>
          <w:rFonts w:ascii="Times New Roman" w:hAnsi="Times New Roman"/>
          <w:sz w:val="20"/>
          <w:szCs w:val="20"/>
          <w:lang w:val="pt-PT"/>
        </w:rPr>
        <w:t xml:space="preserve">, </w:t>
      </w:r>
      <w:r>
        <w:rPr>
          <w:rFonts w:ascii="Times New Roman" w:hAnsi="Times New Roman"/>
          <w:sz w:val="20"/>
          <w:szCs w:val="20"/>
        </w:rPr>
        <w:t>увреждане</w:t>
      </w:r>
      <w:r>
        <w:rPr>
          <w:rFonts w:ascii="Times New Roman" w:hAnsi="Times New Roman"/>
          <w:sz w:val="20"/>
          <w:szCs w:val="20"/>
          <w:lang w:val="pt-PT"/>
        </w:rPr>
        <w:t xml:space="preserve">, </w:t>
      </w:r>
      <w:r>
        <w:rPr>
          <w:rFonts w:ascii="Times New Roman" w:hAnsi="Times New Roman"/>
          <w:sz w:val="20"/>
          <w:szCs w:val="20"/>
        </w:rPr>
        <w:t>възраст</w:t>
      </w:r>
      <w:r>
        <w:rPr>
          <w:rFonts w:ascii="Times New Roman" w:hAnsi="Times New Roman"/>
          <w:sz w:val="20"/>
          <w:szCs w:val="20"/>
          <w:lang w:val="pt-PT"/>
        </w:rPr>
        <w:t xml:space="preserve"> </w:t>
      </w:r>
      <w:r>
        <w:rPr>
          <w:rFonts w:ascii="Times New Roman" w:hAnsi="Times New Roman"/>
          <w:sz w:val="20"/>
          <w:szCs w:val="20"/>
        </w:rPr>
        <w:t>или</w:t>
      </w:r>
      <w:r>
        <w:rPr>
          <w:rFonts w:ascii="Times New Roman" w:hAnsi="Times New Roman"/>
          <w:sz w:val="20"/>
          <w:szCs w:val="20"/>
          <w:lang w:val="pt-PT"/>
        </w:rPr>
        <w:t xml:space="preserve"> </w:t>
      </w:r>
      <w:r>
        <w:rPr>
          <w:rFonts w:ascii="Times New Roman" w:hAnsi="Times New Roman"/>
          <w:sz w:val="20"/>
          <w:szCs w:val="20"/>
        </w:rPr>
        <w:t>сексуална</w:t>
      </w:r>
      <w:r>
        <w:rPr>
          <w:rFonts w:ascii="Times New Roman" w:hAnsi="Times New Roman"/>
          <w:sz w:val="20"/>
          <w:szCs w:val="20"/>
          <w:lang w:val="pt-PT"/>
        </w:rPr>
        <w:t xml:space="preserve"> </w:t>
      </w:r>
      <w:r>
        <w:rPr>
          <w:rFonts w:ascii="Times New Roman" w:hAnsi="Times New Roman"/>
          <w:sz w:val="20"/>
          <w:szCs w:val="20"/>
        </w:rPr>
        <w:t>ориентация</w:t>
      </w:r>
      <w:r>
        <w:rPr>
          <w:rFonts w:ascii="Times New Roman" w:hAnsi="Times New Roman"/>
          <w:sz w:val="20"/>
          <w:szCs w:val="20"/>
          <w:lang w:val="pt-PT"/>
        </w:rPr>
        <w:t xml:space="preserve">, COM (2008) 426 final </w:t>
      </w:r>
      <w:r>
        <w:rPr>
          <w:rFonts w:ascii="Times New Roman" w:hAnsi="Times New Roman"/>
          <w:sz w:val="20"/>
          <w:szCs w:val="20"/>
        </w:rPr>
        <w:t>окончателен</w:t>
      </w:r>
      <w:r>
        <w:rPr>
          <w:rFonts w:ascii="Times New Roman" w:hAnsi="Times New Roman"/>
          <w:sz w:val="20"/>
          <w:szCs w:val="20"/>
          <w:lang w:val="pt-PT"/>
        </w:rPr>
        <w:t xml:space="preserve">, </w:t>
      </w:r>
      <w:r>
        <w:rPr>
          <w:rFonts w:ascii="Times New Roman" w:hAnsi="Times New Roman"/>
          <w:sz w:val="20"/>
          <w:szCs w:val="20"/>
        </w:rPr>
        <w:t>в</w:t>
      </w:r>
      <w:r>
        <w:rPr>
          <w:rFonts w:ascii="Times New Roman" w:hAnsi="Times New Roman"/>
          <w:sz w:val="20"/>
          <w:szCs w:val="20"/>
          <w:lang w:val="pt-PT"/>
        </w:rPr>
        <w:t xml:space="preserve"> </w:t>
      </w:r>
      <w:r>
        <w:rPr>
          <w:rFonts w:ascii="Times New Roman" w:hAnsi="Times New Roman"/>
          <w:sz w:val="20"/>
          <w:szCs w:val="20"/>
        </w:rPr>
        <w:t>което</w:t>
      </w:r>
      <w:r>
        <w:rPr>
          <w:rFonts w:ascii="Times New Roman" w:hAnsi="Times New Roman"/>
          <w:sz w:val="20"/>
          <w:szCs w:val="20"/>
          <w:lang w:val="pt-PT"/>
        </w:rPr>
        <w:t xml:space="preserve"> </w:t>
      </w:r>
      <w:r>
        <w:rPr>
          <w:rFonts w:ascii="Times New Roman" w:hAnsi="Times New Roman"/>
          <w:sz w:val="20"/>
          <w:szCs w:val="20"/>
        </w:rPr>
        <w:t>се</w:t>
      </w:r>
      <w:r>
        <w:rPr>
          <w:rFonts w:ascii="Times New Roman" w:hAnsi="Times New Roman"/>
          <w:sz w:val="20"/>
          <w:szCs w:val="20"/>
          <w:lang w:val="pt-PT"/>
        </w:rPr>
        <w:t xml:space="preserve"> </w:t>
      </w:r>
      <w:r>
        <w:rPr>
          <w:rFonts w:ascii="Times New Roman" w:hAnsi="Times New Roman"/>
          <w:sz w:val="20"/>
          <w:szCs w:val="20"/>
        </w:rPr>
        <w:t>предоставят</w:t>
      </w:r>
      <w:r>
        <w:rPr>
          <w:rFonts w:ascii="Times New Roman" w:hAnsi="Times New Roman"/>
          <w:sz w:val="20"/>
          <w:szCs w:val="20"/>
          <w:lang w:val="pt-PT"/>
        </w:rPr>
        <w:t xml:space="preserve"> </w:t>
      </w:r>
      <w:r>
        <w:rPr>
          <w:rFonts w:ascii="Times New Roman" w:hAnsi="Times New Roman"/>
          <w:sz w:val="20"/>
          <w:szCs w:val="20"/>
        </w:rPr>
        <w:t>разрешения</w:t>
      </w:r>
      <w:r>
        <w:rPr>
          <w:rFonts w:ascii="Times New Roman" w:hAnsi="Times New Roman"/>
          <w:sz w:val="20"/>
          <w:szCs w:val="20"/>
          <w:lang w:val="pt-PT"/>
        </w:rPr>
        <w:t xml:space="preserve"> </w:t>
      </w:r>
      <w:r>
        <w:rPr>
          <w:rFonts w:ascii="Times New Roman" w:hAnsi="Times New Roman"/>
          <w:sz w:val="20"/>
          <w:szCs w:val="20"/>
        </w:rPr>
        <w:t>в</w:t>
      </w:r>
      <w:r>
        <w:rPr>
          <w:rFonts w:ascii="Times New Roman" w:hAnsi="Times New Roman"/>
          <w:sz w:val="20"/>
          <w:szCs w:val="20"/>
          <w:lang w:val="pt-PT"/>
        </w:rPr>
        <w:t xml:space="preserve"> </w:t>
      </w:r>
      <w:r>
        <w:rPr>
          <w:rFonts w:ascii="Times New Roman" w:hAnsi="Times New Roman"/>
          <w:sz w:val="20"/>
          <w:szCs w:val="20"/>
        </w:rPr>
        <w:t>отговор</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тези</w:t>
      </w:r>
      <w:r>
        <w:rPr>
          <w:rFonts w:ascii="Times New Roman" w:hAnsi="Times New Roman"/>
          <w:sz w:val="20"/>
          <w:szCs w:val="20"/>
          <w:lang w:val="pt-PT"/>
        </w:rPr>
        <w:t xml:space="preserve"> </w:t>
      </w:r>
      <w:r>
        <w:rPr>
          <w:rFonts w:ascii="Times New Roman" w:hAnsi="Times New Roman"/>
          <w:sz w:val="20"/>
          <w:szCs w:val="20"/>
        </w:rPr>
        <w:t>опасения</w:t>
      </w:r>
      <w:r>
        <w:rPr>
          <w:rFonts w:ascii="Times New Roman" w:hAnsi="Times New Roman"/>
          <w:sz w:val="20"/>
          <w:szCs w:val="20"/>
          <w:lang w:val="pt-PT"/>
        </w:rPr>
        <w:t xml:space="preserve"> </w:t>
      </w:r>
      <w:r>
        <w:rPr>
          <w:rFonts w:ascii="Times New Roman" w:hAnsi="Times New Roman"/>
          <w:sz w:val="20"/>
          <w:szCs w:val="20"/>
        </w:rPr>
        <w:t>и</w:t>
      </w:r>
      <w:r>
        <w:rPr>
          <w:rFonts w:ascii="Times New Roman" w:hAnsi="Times New Roman"/>
          <w:sz w:val="20"/>
          <w:szCs w:val="20"/>
          <w:lang w:val="pt-PT"/>
        </w:rPr>
        <w:t xml:space="preserve"> </w:t>
      </w:r>
      <w:r>
        <w:rPr>
          <w:rFonts w:ascii="Times New Roman" w:hAnsi="Times New Roman"/>
          <w:sz w:val="20"/>
          <w:szCs w:val="20"/>
        </w:rPr>
        <w:t>се</w:t>
      </w:r>
      <w:r>
        <w:rPr>
          <w:rFonts w:ascii="Times New Roman" w:hAnsi="Times New Roman"/>
          <w:sz w:val="20"/>
          <w:szCs w:val="20"/>
          <w:lang w:val="pt-PT"/>
        </w:rPr>
        <w:t xml:space="preserve"> </w:t>
      </w:r>
      <w:r>
        <w:rPr>
          <w:rFonts w:ascii="Times New Roman" w:hAnsi="Times New Roman"/>
          <w:sz w:val="20"/>
          <w:szCs w:val="20"/>
        </w:rPr>
        <w:t>разширява</w:t>
      </w:r>
      <w:r>
        <w:rPr>
          <w:rFonts w:ascii="Times New Roman" w:hAnsi="Times New Roman"/>
          <w:sz w:val="20"/>
          <w:szCs w:val="20"/>
          <w:lang w:val="pt-PT"/>
        </w:rPr>
        <w:t xml:space="preserve"> </w:t>
      </w:r>
      <w:r>
        <w:rPr>
          <w:rFonts w:ascii="Times New Roman" w:hAnsi="Times New Roman"/>
          <w:sz w:val="20"/>
          <w:szCs w:val="20"/>
        </w:rPr>
        <w:t>обхвата</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защитата</w:t>
      </w:r>
      <w:r>
        <w:rPr>
          <w:rFonts w:ascii="Times New Roman" w:hAnsi="Times New Roman"/>
          <w:sz w:val="20"/>
          <w:szCs w:val="20"/>
          <w:lang w:val="pt-PT"/>
        </w:rPr>
        <w:t xml:space="preserve"> </w:t>
      </w:r>
      <w:r>
        <w:rPr>
          <w:rFonts w:ascii="Times New Roman" w:hAnsi="Times New Roman"/>
          <w:sz w:val="20"/>
          <w:szCs w:val="20"/>
        </w:rPr>
        <w:t>срещу</w:t>
      </w:r>
      <w:r>
        <w:rPr>
          <w:rFonts w:ascii="Times New Roman" w:hAnsi="Times New Roman"/>
          <w:sz w:val="20"/>
          <w:szCs w:val="20"/>
          <w:lang w:val="pt-PT"/>
        </w:rPr>
        <w:t xml:space="preserve"> </w:t>
      </w:r>
      <w:r>
        <w:rPr>
          <w:rFonts w:ascii="Times New Roman" w:hAnsi="Times New Roman"/>
          <w:sz w:val="20"/>
          <w:szCs w:val="20"/>
        </w:rPr>
        <w:t>дискриминация</w:t>
      </w:r>
      <w:r>
        <w:rPr>
          <w:rFonts w:ascii="Times New Roman" w:hAnsi="Times New Roman"/>
          <w:sz w:val="20"/>
          <w:szCs w:val="20"/>
          <w:lang w:val="pt-PT"/>
        </w:rPr>
        <w:t xml:space="preserve">, </w:t>
      </w:r>
      <w:r>
        <w:rPr>
          <w:rFonts w:ascii="Times New Roman" w:hAnsi="Times New Roman"/>
          <w:sz w:val="20"/>
          <w:szCs w:val="20"/>
        </w:rPr>
        <w:t>основана</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религиозна</w:t>
      </w:r>
      <w:r>
        <w:rPr>
          <w:rFonts w:ascii="Times New Roman" w:hAnsi="Times New Roman"/>
          <w:sz w:val="20"/>
          <w:szCs w:val="20"/>
          <w:lang w:val="pt-PT"/>
        </w:rPr>
        <w:t xml:space="preserve"> </w:t>
      </w:r>
      <w:r>
        <w:rPr>
          <w:rFonts w:ascii="Times New Roman" w:hAnsi="Times New Roman"/>
          <w:sz w:val="20"/>
          <w:szCs w:val="20"/>
        </w:rPr>
        <w:t>принадлежност</w:t>
      </w:r>
      <w:r>
        <w:rPr>
          <w:rFonts w:ascii="Times New Roman" w:hAnsi="Times New Roman"/>
          <w:sz w:val="20"/>
          <w:szCs w:val="20"/>
          <w:lang w:val="pt-PT"/>
        </w:rPr>
        <w:t xml:space="preserve"> </w:t>
      </w:r>
      <w:r>
        <w:rPr>
          <w:rFonts w:ascii="Times New Roman" w:hAnsi="Times New Roman"/>
          <w:sz w:val="20"/>
          <w:szCs w:val="20"/>
        </w:rPr>
        <w:t>или</w:t>
      </w:r>
      <w:r>
        <w:rPr>
          <w:rFonts w:ascii="Times New Roman" w:hAnsi="Times New Roman"/>
          <w:sz w:val="20"/>
          <w:szCs w:val="20"/>
          <w:lang w:val="pt-PT"/>
        </w:rPr>
        <w:t xml:space="preserve"> </w:t>
      </w:r>
      <w:r>
        <w:rPr>
          <w:rFonts w:ascii="Times New Roman" w:hAnsi="Times New Roman"/>
          <w:sz w:val="20"/>
          <w:szCs w:val="20"/>
        </w:rPr>
        <w:t>убеждения</w:t>
      </w:r>
      <w:r>
        <w:rPr>
          <w:rFonts w:ascii="Times New Roman" w:hAnsi="Times New Roman"/>
          <w:sz w:val="20"/>
          <w:szCs w:val="20"/>
          <w:lang w:val="pt-PT"/>
        </w:rPr>
        <w:t xml:space="preserve">, </w:t>
      </w:r>
      <w:r>
        <w:rPr>
          <w:rFonts w:ascii="Times New Roman" w:hAnsi="Times New Roman"/>
          <w:sz w:val="20"/>
          <w:szCs w:val="20"/>
        </w:rPr>
        <w:t>възраст</w:t>
      </w:r>
      <w:r>
        <w:rPr>
          <w:rFonts w:ascii="Times New Roman" w:hAnsi="Times New Roman"/>
          <w:sz w:val="20"/>
          <w:szCs w:val="20"/>
          <w:lang w:val="pt-PT"/>
        </w:rPr>
        <w:t xml:space="preserve">, </w:t>
      </w:r>
      <w:r>
        <w:rPr>
          <w:rFonts w:ascii="Times New Roman" w:hAnsi="Times New Roman"/>
          <w:sz w:val="20"/>
          <w:szCs w:val="20"/>
        </w:rPr>
        <w:t>увреждане</w:t>
      </w:r>
      <w:r>
        <w:rPr>
          <w:rFonts w:ascii="Times New Roman" w:hAnsi="Times New Roman"/>
          <w:sz w:val="20"/>
          <w:szCs w:val="20"/>
          <w:lang w:val="pt-PT"/>
        </w:rPr>
        <w:t xml:space="preserve"> </w:t>
      </w:r>
      <w:r>
        <w:rPr>
          <w:rFonts w:ascii="Times New Roman" w:hAnsi="Times New Roman"/>
          <w:sz w:val="20"/>
          <w:szCs w:val="20"/>
        </w:rPr>
        <w:t>и</w:t>
      </w:r>
      <w:r>
        <w:rPr>
          <w:rFonts w:ascii="Times New Roman" w:hAnsi="Times New Roman"/>
          <w:sz w:val="20"/>
          <w:szCs w:val="20"/>
          <w:lang w:val="pt-PT"/>
        </w:rPr>
        <w:t xml:space="preserve"> </w:t>
      </w:r>
      <w:r>
        <w:rPr>
          <w:rFonts w:ascii="Times New Roman" w:hAnsi="Times New Roman"/>
          <w:sz w:val="20"/>
          <w:szCs w:val="20"/>
        </w:rPr>
        <w:t>сексуална</w:t>
      </w:r>
      <w:r>
        <w:rPr>
          <w:rFonts w:ascii="Times New Roman" w:hAnsi="Times New Roman"/>
          <w:sz w:val="20"/>
          <w:szCs w:val="20"/>
          <w:lang w:val="pt-PT"/>
        </w:rPr>
        <w:t xml:space="preserve"> </w:t>
      </w:r>
      <w:r>
        <w:rPr>
          <w:rFonts w:ascii="Times New Roman" w:hAnsi="Times New Roman"/>
          <w:sz w:val="20"/>
          <w:szCs w:val="20"/>
        </w:rPr>
        <w:t>ориентация</w:t>
      </w:r>
      <w:r>
        <w:rPr>
          <w:rFonts w:ascii="Times New Roman" w:hAnsi="Times New Roman"/>
          <w:sz w:val="20"/>
          <w:szCs w:val="20"/>
          <w:lang w:val="pt-PT"/>
        </w:rPr>
        <w:t xml:space="preserve">, </w:t>
      </w:r>
      <w:r>
        <w:rPr>
          <w:rFonts w:ascii="Times New Roman" w:hAnsi="Times New Roman"/>
          <w:sz w:val="20"/>
          <w:szCs w:val="20"/>
        </w:rPr>
        <w:t>до</w:t>
      </w:r>
      <w:r>
        <w:rPr>
          <w:rFonts w:ascii="Times New Roman" w:hAnsi="Times New Roman"/>
          <w:sz w:val="20"/>
          <w:szCs w:val="20"/>
          <w:lang w:val="pt-PT"/>
        </w:rPr>
        <w:t xml:space="preserve"> </w:t>
      </w:r>
      <w:r>
        <w:rPr>
          <w:rFonts w:ascii="Times New Roman" w:hAnsi="Times New Roman"/>
          <w:sz w:val="20"/>
          <w:szCs w:val="20"/>
        </w:rPr>
        <w:t>области</w:t>
      </w:r>
      <w:r>
        <w:rPr>
          <w:rFonts w:ascii="Times New Roman" w:hAnsi="Times New Roman"/>
          <w:sz w:val="20"/>
          <w:szCs w:val="20"/>
          <w:lang w:val="pt-PT"/>
        </w:rPr>
        <w:t xml:space="preserve">, </w:t>
      </w:r>
      <w:r>
        <w:rPr>
          <w:rFonts w:ascii="Times New Roman" w:hAnsi="Times New Roman"/>
          <w:sz w:val="20"/>
          <w:szCs w:val="20"/>
        </w:rPr>
        <w:t>различни</w:t>
      </w:r>
      <w:r>
        <w:rPr>
          <w:rFonts w:ascii="Times New Roman" w:hAnsi="Times New Roman"/>
          <w:sz w:val="20"/>
          <w:szCs w:val="20"/>
          <w:lang w:val="pt-PT"/>
        </w:rPr>
        <w:t xml:space="preserve"> </w:t>
      </w:r>
      <w:r>
        <w:rPr>
          <w:rFonts w:ascii="Times New Roman" w:hAnsi="Times New Roman"/>
          <w:sz w:val="20"/>
          <w:szCs w:val="20"/>
        </w:rPr>
        <w:t>от</w:t>
      </w:r>
      <w:r>
        <w:rPr>
          <w:rFonts w:ascii="Times New Roman" w:hAnsi="Times New Roman"/>
          <w:sz w:val="20"/>
          <w:szCs w:val="20"/>
          <w:lang w:val="pt-PT"/>
        </w:rPr>
        <w:t xml:space="preserve"> </w:t>
      </w:r>
      <w:r>
        <w:rPr>
          <w:rFonts w:ascii="Times New Roman" w:hAnsi="Times New Roman"/>
          <w:sz w:val="20"/>
          <w:szCs w:val="20"/>
        </w:rPr>
        <w:t>заетостта</w:t>
      </w:r>
      <w:r>
        <w:rPr>
          <w:rFonts w:ascii="Times New Roman" w:hAnsi="Times New Roman"/>
          <w:sz w:val="20"/>
          <w:szCs w:val="20"/>
          <w:lang w:val="pt-PT"/>
        </w:rPr>
        <w:t xml:space="preserve">, </w:t>
      </w:r>
      <w:r>
        <w:rPr>
          <w:rFonts w:ascii="Times New Roman" w:hAnsi="Times New Roman"/>
          <w:sz w:val="20"/>
          <w:szCs w:val="20"/>
        </w:rPr>
        <w:t>е</w:t>
      </w:r>
      <w:r>
        <w:rPr>
          <w:rFonts w:ascii="Times New Roman" w:hAnsi="Times New Roman"/>
          <w:sz w:val="20"/>
          <w:szCs w:val="20"/>
          <w:lang w:val="pt-PT"/>
        </w:rPr>
        <w:t xml:space="preserve"> </w:t>
      </w:r>
      <w:r>
        <w:rPr>
          <w:rFonts w:ascii="Times New Roman" w:hAnsi="Times New Roman"/>
          <w:sz w:val="20"/>
          <w:szCs w:val="20"/>
        </w:rPr>
        <w:t>блокирано</w:t>
      </w:r>
      <w:r>
        <w:rPr>
          <w:rFonts w:ascii="Times New Roman" w:hAnsi="Times New Roman"/>
          <w:sz w:val="20"/>
          <w:szCs w:val="20"/>
          <w:lang w:val="pt-PT"/>
        </w:rPr>
        <w:t xml:space="preserve"> </w:t>
      </w:r>
      <w:r>
        <w:rPr>
          <w:rFonts w:ascii="Times New Roman" w:hAnsi="Times New Roman"/>
          <w:sz w:val="20"/>
          <w:szCs w:val="20"/>
        </w:rPr>
        <w:t>в</w:t>
      </w:r>
      <w:r>
        <w:rPr>
          <w:rFonts w:ascii="Times New Roman" w:hAnsi="Times New Roman"/>
          <w:sz w:val="20"/>
          <w:szCs w:val="20"/>
          <w:lang w:val="pt-PT"/>
        </w:rPr>
        <w:t xml:space="preserve"> </w:t>
      </w:r>
      <w:r>
        <w:rPr>
          <w:rFonts w:ascii="Times New Roman" w:hAnsi="Times New Roman"/>
          <w:sz w:val="20"/>
          <w:szCs w:val="20"/>
        </w:rPr>
        <w:t>Съвета</w:t>
      </w:r>
      <w:r>
        <w:rPr>
          <w:rFonts w:ascii="Times New Roman" w:hAnsi="Times New Roman"/>
          <w:sz w:val="20"/>
          <w:szCs w:val="20"/>
          <w:lang w:val="pt-PT"/>
        </w:rPr>
        <w:t>.</w:t>
      </w:r>
    </w:p>
  </w:footnote>
  <w:footnote w:id="20">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rPr>
        <w:t>Вж</w:t>
      </w:r>
      <w:r>
        <w:rPr>
          <w:rFonts w:ascii="Times New Roman" w:hAnsi="Times New Roman"/>
          <w:lang w:val="pt-PT"/>
        </w:rPr>
        <w:t xml:space="preserve">. </w:t>
      </w:r>
      <w:r>
        <w:rPr>
          <w:rFonts w:ascii="Times New Roman" w:hAnsi="Times New Roman"/>
        </w:rPr>
        <w:t>по</w:t>
      </w:r>
      <w:r>
        <w:rPr>
          <w:rFonts w:ascii="Times New Roman" w:hAnsi="Times New Roman"/>
          <w:lang w:val="pt-PT"/>
        </w:rPr>
        <w:t>-</w:t>
      </w:r>
      <w:r>
        <w:rPr>
          <w:rFonts w:ascii="Times New Roman" w:hAnsi="Times New Roman"/>
        </w:rPr>
        <w:t>специално</w:t>
      </w:r>
      <w:r>
        <w:rPr>
          <w:rFonts w:ascii="Times New Roman" w:hAnsi="Times New Roman"/>
          <w:lang w:val="pt-PT"/>
        </w:rPr>
        <w:t xml:space="preserve"> </w:t>
      </w:r>
      <w:r>
        <w:rPr>
          <w:rFonts w:ascii="Times New Roman" w:hAnsi="Times New Roman"/>
        </w:rPr>
        <w:t>член</w:t>
      </w:r>
      <w:r>
        <w:rPr>
          <w:rFonts w:ascii="Times New Roman" w:hAnsi="Times New Roman"/>
          <w:lang w:val="pt-PT"/>
        </w:rPr>
        <w:t xml:space="preserve"> 2 </w:t>
      </w:r>
      <w:r>
        <w:rPr>
          <w:rFonts w:ascii="Times New Roman" w:hAnsi="Times New Roman"/>
        </w:rPr>
        <w:t>от</w:t>
      </w:r>
      <w:r>
        <w:rPr>
          <w:rFonts w:ascii="Times New Roman" w:hAnsi="Times New Roman"/>
          <w:lang w:val="pt-PT"/>
        </w:rPr>
        <w:t xml:space="preserve"> </w:t>
      </w:r>
      <w:r>
        <w:rPr>
          <w:rFonts w:ascii="Times New Roman" w:hAnsi="Times New Roman"/>
        </w:rPr>
        <w:t>ДЕС</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член</w:t>
      </w:r>
      <w:r>
        <w:rPr>
          <w:rFonts w:ascii="Times New Roman" w:hAnsi="Times New Roman"/>
          <w:lang w:val="pt-PT"/>
        </w:rPr>
        <w:t xml:space="preserve"> 8 </w:t>
      </w:r>
      <w:r>
        <w:rPr>
          <w:rFonts w:ascii="Times New Roman" w:hAnsi="Times New Roman"/>
        </w:rPr>
        <w:t>от</w:t>
      </w:r>
      <w:r>
        <w:rPr>
          <w:rFonts w:ascii="Times New Roman" w:hAnsi="Times New Roman"/>
          <w:lang w:val="pt-PT"/>
        </w:rPr>
        <w:t xml:space="preserve"> </w:t>
      </w:r>
      <w:r>
        <w:rPr>
          <w:rFonts w:ascii="Times New Roman" w:hAnsi="Times New Roman"/>
        </w:rPr>
        <w:t>ДФЕС</w:t>
      </w:r>
      <w:r>
        <w:rPr>
          <w:rFonts w:ascii="Times New Roman" w:hAnsi="Times New Roman"/>
          <w:lang w:val="pt-PT"/>
        </w:rPr>
        <w:t>.</w:t>
      </w:r>
    </w:p>
  </w:footnote>
  <w:footnote w:id="21">
    <w:p>
      <w:pPr>
        <w:spacing w:after="0" w:line="240" w:lineRule="auto"/>
        <w:ind w:left="284" w:hanging="284"/>
        <w:jc w:val="both"/>
        <w:rPr>
          <w:rFonts w:ascii="Times New Roman" w:hAnsi="Times New Roman" w:cs="Times New Roman"/>
          <w:sz w:val="20"/>
          <w:szCs w:val="20"/>
          <w:lang w:val="pt-PT"/>
        </w:rPr>
      </w:pPr>
      <w:r>
        <w:rPr>
          <w:rStyle w:val="FootnoteReference"/>
          <w:rFonts w:ascii="Times New Roman" w:hAnsi="Times New Roman" w:cs="Times New Roman"/>
          <w:sz w:val="20"/>
          <w:szCs w:val="20"/>
        </w:rPr>
        <w:footnoteRef/>
      </w:r>
      <w:r>
        <w:rPr>
          <w:rFonts w:ascii="Times New Roman" w:hAnsi="Times New Roman"/>
          <w:sz w:val="20"/>
          <w:szCs w:val="20"/>
          <w:lang w:val="pt-PT"/>
        </w:rPr>
        <w:t xml:space="preserve"> </w:t>
      </w:r>
      <w:r>
        <w:rPr>
          <w:rFonts w:ascii="Times New Roman" w:hAnsi="Times New Roman"/>
          <w:sz w:val="20"/>
          <w:szCs w:val="20"/>
          <w:lang w:val="pt-PT"/>
        </w:rPr>
        <w:tab/>
      </w:r>
      <w:r>
        <w:rPr>
          <w:rFonts w:ascii="Times New Roman" w:hAnsi="Times New Roman"/>
          <w:sz w:val="20"/>
          <w:szCs w:val="20"/>
        </w:rPr>
        <w:t>Една</w:t>
      </w:r>
      <w:r>
        <w:rPr>
          <w:rFonts w:ascii="Times New Roman" w:hAnsi="Times New Roman"/>
          <w:sz w:val="20"/>
          <w:szCs w:val="20"/>
          <w:lang w:val="pt-PT"/>
        </w:rPr>
        <w:t xml:space="preserve"> </w:t>
      </w:r>
      <w:r>
        <w:rPr>
          <w:rFonts w:ascii="Times New Roman" w:hAnsi="Times New Roman"/>
          <w:sz w:val="20"/>
          <w:szCs w:val="20"/>
        </w:rPr>
        <w:t>от</w:t>
      </w:r>
      <w:r>
        <w:rPr>
          <w:rFonts w:ascii="Times New Roman" w:hAnsi="Times New Roman"/>
          <w:sz w:val="20"/>
          <w:szCs w:val="20"/>
          <w:lang w:val="pt-PT"/>
        </w:rPr>
        <w:t xml:space="preserve"> </w:t>
      </w:r>
      <w:r>
        <w:rPr>
          <w:rFonts w:ascii="Times New Roman" w:hAnsi="Times New Roman"/>
          <w:sz w:val="20"/>
          <w:szCs w:val="20"/>
        </w:rPr>
        <w:t>подцелите</w:t>
      </w:r>
      <w:r>
        <w:rPr>
          <w:rFonts w:ascii="Times New Roman" w:hAnsi="Times New Roman"/>
          <w:sz w:val="20"/>
          <w:szCs w:val="20"/>
          <w:lang w:val="pt-PT"/>
        </w:rPr>
        <w:t xml:space="preserve"> </w:t>
      </w:r>
      <w:r>
        <w:rPr>
          <w:rFonts w:ascii="Times New Roman" w:hAnsi="Times New Roman"/>
          <w:sz w:val="20"/>
          <w:szCs w:val="20"/>
        </w:rPr>
        <w:t>по</w:t>
      </w:r>
      <w:r>
        <w:rPr>
          <w:rFonts w:ascii="Times New Roman" w:hAnsi="Times New Roman"/>
          <w:sz w:val="20"/>
          <w:szCs w:val="20"/>
          <w:lang w:val="pt-PT"/>
        </w:rPr>
        <w:t xml:space="preserve"> </w:t>
      </w:r>
      <w:r>
        <w:rPr>
          <w:rFonts w:ascii="Times New Roman" w:hAnsi="Times New Roman"/>
          <w:sz w:val="20"/>
          <w:szCs w:val="20"/>
        </w:rPr>
        <w:t>цел</w:t>
      </w:r>
      <w:r>
        <w:rPr>
          <w:rFonts w:ascii="Times New Roman" w:hAnsi="Times New Roman"/>
          <w:sz w:val="20"/>
          <w:szCs w:val="20"/>
          <w:lang w:val="pt-PT"/>
        </w:rPr>
        <w:t xml:space="preserve"> 10 (</w:t>
      </w:r>
      <w:r>
        <w:rPr>
          <w:rFonts w:ascii="Times New Roman" w:hAnsi="Times New Roman"/>
          <w:sz w:val="20"/>
          <w:szCs w:val="20"/>
        </w:rPr>
        <w:t>намаляване</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неравенството</w:t>
      </w:r>
      <w:r>
        <w:rPr>
          <w:rFonts w:ascii="Times New Roman" w:hAnsi="Times New Roman"/>
          <w:sz w:val="20"/>
          <w:szCs w:val="20"/>
          <w:lang w:val="pt-PT"/>
        </w:rPr>
        <w:t xml:space="preserve"> </w:t>
      </w:r>
      <w:r>
        <w:rPr>
          <w:rFonts w:ascii="Times New Roman" w:hAnsi="Times New Roman"/>
          <w:sz w:val="20"/>
          <w:szCs w:val="20"/>
        </w:rPr>
        <w:t>във</w:t>
      </w:r>
      <w:r>
        <w:rPr>
          <w:rFonts w:ascii="Times New Roman" w:hAnsi="Times New Roman"/>
          <w:sz w:val="20"/>
          <w:szCs w:val="20"/>
          <w:lang w:val="pt-PT"/>
        </w:rPr>
        <w:t xml:space="preserve"> </w:t>
      </w:r>
      <w:r>
        <w:rPr>
          <w:rFonts w:ascii="Times New Roman" w:hAnsi="Times New Roman"/>
          <w:sz w:val="20"/>
          <w:szCs w:val="20"/>
        </w:rPr>
        <w:t>и</w:t>
      </w:r>
      <w:r>
        <w:rPr>
          <w:rFonts w:ascii="Times New Roman" w:hAnsi="Times New Roman"/>
          <w:sz w:val="20"/>
          <w:szCs w:val="20"/>
          <w:lang w:val="pt-PT"/>
        </w:rPr>
        <w:t xml:space="preserve"> </w:t>
      </w:r>
      <w:r>
        <w:rPr>
          <w:rFonts w:ascii="Times New Roman" w:hAnsi="Times New Roman"/>
          <w:sz w:val="20"/>
          <w:szCs w:val="20"/>
        </w:rPr>
        <w:t>между</w:t>
      </w:r>
      <w:r>
        <w:rPr>
          <w:rFonts w:ascii="Times New Roman" w:hAnsi="Times New Roman"/>
          <w:sz w:val="20"/>
          <w:szCs w:val="20"/>
          <w:lang w:val="pt-PT"/>
        </w:rPr>
        <w:t xml:space="preserve"> </w:t>
      </w:r>
      <w:r>
        <w:rPr>
          <w:rFonts w:ascii="Times New Roman" w:hAnsi="Times New Roman"/>
          <w:sz w:val="20"/>
          <w:szCs w:val="20"/>
        </w:rPr>
        <w:t>страните</w:t>
      </w:r>
      <w:r>
        <w:rPr>
          <w:rFonts w:ascii="Times New Roman" w:hAnsi="Times New Roman"/>
          <w:sz w:val="20"/>
          <w:szCs w:val="20"/>
          <w:lang w:val="pt-PT"/>
        </w:rPr>
        <w:t xml:space="preserve">) </w:t>
      </w:r>
      <w:r>
        <w:rPr>
          <w:rFonts w:ascii="Times New Roman" w:hAnsi="Times New Roman"/>
          <w:sz w:val="20"/>
          <w:szCs w:val="20"/>
        </w:rPr>
        <w:t>е</w:t>
      </w:r>
      <w:r>
        <w:rPr>
          <w:rFonts w:ascii="Times New Roman" w:hAnsi="Times New Roman"/>
          <w:sz w:val="20"/>
          <w:szCs w:val="20"/>
          <w:lang w:val="pt-PT"/>
        </w:rPr>
        <w:t xml:space="preserve"> </w:t>
      </w:r>
      <w:r>
        <w:rPr>
          <w:rFonts w:ascii="Times New Roman" w:hAnsi="Times New Roman"/>
          <w:sz w:val="20"/>
          <w:szCs w:val="20"/>
        </w:rPr>
        <w:t>гарантиране</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равни</w:t>
      </w:r>
      <w:r>
        <w:rPr>
          <w:rFonts w:ascii="Times New Roman" w:hAnsi="Times New Roman"/>
          <w:sz w:val="20"/>
          <w:szCs w:val="20"/>
          <w:lang w:val="pt-PT"/>
        </w:rPr>
        <w:t xml:space="preserve"> </w:t>
      </w:r>
      <w:r>
        <w:rPr>
          <w:rFonts w:ascii="Times New Roman" w:hAnsi="Times New Roman"/>
          <w:sz w:val="20"/>
          <w:szCs w:val="20"/>
        </w:rPr>
        <w:t>възможности</w:t>
      </w:r>
      <w:r>
        <w:rPr>
          <w:rFonts w:ascii="Times New Roman" w:hAnsi="Times New Roman"/>
          <w:sz w:val="20"/>
          <w:szCs w:val="20"/>
          <w:lang w:val="pt-PT"/>
        </w:rPr>
        <w:t xml:space="preserve"> </w:t>
      </w:r>
      <w:r>
        <w:rPr>
          <w:rFonts w:ascii="Times New Roman" w:hAnsi="Times New Roman"/>
          <w:sz w:val="20"/>
          <w:szCs w:val="20"/>
        </w:rPr>
        <w:t>и</w:t>
      </w:r>
      <w:r>
        <w:rPr>
          <w:rFonts w:ascii="Times New Roman" w:hAnsi="Times New Roman"/>
          <w:sz w:val="20"/>
          <w:szCs w:val="20"/>
          <w:lang w:val="pt-PT"/>
        </w:rPr>
        <w:t xml:space="preserve"> </w:t>
      </w:r>
      <w:r>
        <w:rPr>
          <w:rFonts w:ascii="Times New Roman" w:hAnsi="Times New Roman"/>
          <w:sz w:val="20"/>
          <w:szCs w:val="20"/>
        </w:rPr>
        <w:t>намаляване</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социалното</w:t>
      </w:r>
      <w:r>
        <w:rPr>
          <w:rFonts w:ascii="Times New Roman" w:hAnsi="Times New Roman"/>
          <w:sz w:val="20"/>
          <w:szCs w:val="20"/>
          <w:lang w:val="pt-PT"/>
        </w:rPr>
        <w:t xml:space="preserve"> </w:t>
      </w:r>
      <w:r>
        <w:rPr>
          <w:rFonts w:ascii="Times New Roman" w:hAnsi="Times New Roman"/>
          <w:sz w:val="20"/>
          <w:szCs w:val="20"/>
        </w:rPr>
        <w:t>неравенство</w:t>
      </w:r>
      <w:r>
        <w:rPr>
          <w:rFonts w:ascii="Times New Roman" w:hAnsi="Times New Roman"/>
          <w:sz w:val="20"/>
          <w:szCs w:val="20"/>
          <w:lang w:val="pt-PT"/>
        </w:rPr>
        <w:t xml:space="preserve">. </w:t>
      </w:r>
      <w:r>
        <w:rPr>
          <w:rFonts w:ascii="Times New Roman" w:hAnsi="Times New Roman"/>
          <w:sz w:val="20"/>
          <w:szCs w:val="20"/>
          <w:lang w:val="pt-PT"/>
        </w:rPr>
        <w:tab/>
      </w:r>
      <w:r>
        <w:rPr>
          <w:rFonts w:ascii="Times New Roman" w:hAnsi="Times New Roman"/>
          <w:sz w:val="20"/>
          <w:szCs w:val="20"/>
          <w:lang w:val="pt-PT"/>
        </w:rPr>
        <w:br/>
      </w:r>
      <w:r>
        <w:rPr>
          <w:rFonts w:ascii="Times New Roman" w:hAnsi="Times New Roman"/>
          <w:sz w:val="20"/>
          <w:szCs w:val="20"/>
        </w:rPr>
        <w:t>Подцел</w:t>
      </w:r>
      <w:r>
        <w:rPr>
          <w:rFonts w:ascii="Times New Roman" w:hAnsi="Times New Roman"/>
          <w:sz w:val="20"/>
          <w:szCs w:val="20"/>
          <w:lang w:val="pt-PT"/>
        </w:rPr>
        <w:t xml:space="preserve"> 10.2: </w:t>
      </w:r>
      <w:r>
        <w:rPr>
          <w:rFonts w:ascii="Times New Roman" w:hAnsi="Times New Roman"/>
          <w:sz w:val="20"/>
          <w:szCs w:val="20"/>
        </w:rPr>
        <w:t>До</w:t>
      </w:r>
      <w:r>
        <w:rPr>
          <w:rFonts w:ascii="Times New Roman" w:hAnsi="Times New Roman"/>
          <w:sz w:val="20"/>
          <w:szCs w:val="20"/>
          <w:lang w:val="pt-PT"/>
        </w:rPr>
        <w:t xml:space="preserve"> 2030 </w:t>
      </w:r>
      <w:r>
        <w:rPr>
          <w:rFonts w:ascii="Times New Roman" w:hAnsi="Times New Roman"/>
          <w:sz w:val="20"/>
          <w:szCs w:val="20"/>
        </w:rPr>
        <w:t>г</w:t>
      </w:r>
      <w:r>
        <w:rPr>
          <w:rFonts w:ascii="Times New Roman" w:hAnsi="Times New Roman"/>
          <w:sz w:val="20"/>
          <w:szCs w:val="20"/>
          <w:lang w:val="pt-PT"/>
        </w:rPr>
        <w:t xml:space="preserve">. </w:t>
      </w:r>
      <w:r>
        <w:rPr>
          <w:rFonts w:ascii="Times New Roman" w:hAnsi="Times New Roman"/>
          <w:sz w:val="20"/>
          <w:szCs w:val="20"/>
        </w:rPr>
        <w:t>да</w:t>
      </w:r>
      <w:r>
        <w:rPr>
          <w:rFonts w:ascii="Times New Roman" w:hAnsi="Times New Roman"/>
          <w:sz w:val="20"/>
          <w:szCs w:val="20"/>
          <w:lang w:val="pt-PT"/>
        </w:rPr>
        <w:t xml:space="preserve"> </w:t>
      </w:r>
      <w:r>
        <w:rPr>
          <w:rFonts w:ascii="Times New Roman" w:hAnsi="Times New Roman"/>
          <w:sz w:val="20"/>
          <w:szCs w:val="20"/>
        </w:rPr>
        <w:t>се</w:t>
      </w:r>
      <w:r>
        <w:rPr>
          <w:rFonts w:ascii="Times New Roman" w:hAnsi="Times New Roman"/>
          <w:sz w:val="20"/>
          <w:szCs w:val="20"/>
          <w:lang w:val="pt-PT"/>
        </w:rPr>
        <w:t xml:space="preserve"> </w:t>
      </w:r>
      <w:r>
        <w:rPr>
          <w:rFonts w:ascii="Times New Roman" w:hAnsi="Times New Roman"/>
          <w:sz w:val="20"/>
          <w:szCs w:val="20"/>
        </w:rPr>
        <w:t>даде</w:t>
      </w:r>
      <w:r>
        <w:rPr>
          <w:rFonts w:ascii="Times New Roman" w:hAnsi="Times New Roman"/>
          <w:sz w:val="20"/>
          <w:szCs w:val="20"/>
          <w:lang w:val="pt-PT"/>
        </w:rPr>
        <w:t xml:space="preserve"> </w:t>
      </w:r>
      <w:r>
        <w:rPr>
          <w:rFonts w:ascii="Times New Roman" w:hAnsi="Times New Roman"/>
          <w:sz w:val="20"/>
          <w:szCs w:val="20"/>
        </w:rPr>
        <w:t>възможност</w:t>
      </w:r>
      <w:r>
        <w:rPr>
          <w:rFonts w:ascii="Times New Roman" w:hAnsi="Times New Roman"/>
          <w:sz w:val="20"/>
          <w:szCs w:val="20"/>
          <w:lang w:val="pt-PT"/>
        </w:rPr>
        <w:t xml:space="preserve"> </w:t>
      </w:r>
      <w:r>
        <w:rPr>
          <w:rFonts w:ascii="Times New Roman" w:hAnsi="Times New Roman"/>
          <w:sz w:val="20"/>
          <w:szCs w:val="20"/>
        </w:rPr>
        <w:t>и</w:t>
      </w:r>
      <w:r>
        <w:rPr>
          <w:rFonts w:ascii="Times New Roman" w:hAnsi="Times New Roman"/>
          <w:sz w:val="20"/>
          <w:szCs w:val="20"/>
          <w:lang w:val="pt-PT"/>
        </w:rPr>
        <w:t xml:space="preserve"> </w:t>
      </w:r>
      <w:r>
        <w:rPr>
          <w:rFonts w:ascii="Times New Roman" w:hAnsi="Times New Roman"/>
          <w:sz w:val="20"/>
          <w:szCs w:val="20"/>
        </w:rPr>
        <w:t>да</w:t>
      </w:r>
      <w:r>
        <w:rPr>
          <w:rFonts w:ascii="Times New Roman" w:hAnsi="Times New Roman"/>
          <w:sz w:val="20"/>
          <w:szCs w:val="20"/>
          <w:lang w:val="pt-PT"/>
        </w:rPr>
        <w:t xml:space="preserve"> </w:t>
      </w:r>
      <w:r>
        <w:rPr>
          <w:rFonts w:ascii="Times New Roman" w:hAnsi="Times New Roman"/>
          <w:sz w:val="20"/>
          <w:szCs w:val="20"/>
        </w:rPr>
        <w:t>се</w:t>
      </w:r>
      <w:r>
        <w:rPr>
          <w:rFonts w:ascii="Times New Roman" w:hAnsi="Times New Roman"/>
          <w:sz w:val="20"/>
          <w:szCs w:val="20"/>
          <w:lang w:val="pt-PT"/>
        </w:rPr>
        <w:t xml:space="preserve"> </w:t>
      </w:r>
      <w:r>
        <w:rPr>
          <w:rFonts w:ascii="Times New Roman" w:hAnsi="Times New Roman"/>
          <w:sz w:val="20"/>
          <w:szCs w:val="20"/>
        </w:rPr>
        <w:t>насърчи</w:t>
      </w:r>
      <w:r>
        <w:rPr>
          <w:rFonts w:ascii="Times New Roman" w:hAnsi="Times New Roman"/>
          <w:sz w:val="20"/>
          <w:szCs w:val="20"/>
          <w:lang w:val="pt-PT"/>
        </w:rPr>
        <w:t xml:space="preserve"> </w:t>
      </w:r>
      <w:r>
        <w:rPr>
          <w:rFonts w:ascii="Times New Roman" w:hAnsi="Times New Roman"/>
          <w:sz w:val="20"/>
          <w:szCs w:val="20"/>
        </w:rPr>
        <w:t>социалното</w:t>
      </w:r>
      <w:r>
        <w:rPr>
          <w:rFonts w:ascii="Times New Roman" w:hAnsi="Times New Roman"/>
          <w:sz w:val="20"/>
          <w:szCs w:val="20"/>
          <w:lang w:val="pt-PT"/>
        </w:rPr>
        <w:t xml:space="preserve">, </w:t>
      </w:r>
      <w:r>
        <w:rPr>
          <w:rFonts w:ascii="Times New Roman" w:hAnsi="Times New Roman"/>
          <w:sz w:val="20"/>
          <w:szCs w:val="20"/>
        </w:rPr>
        <w:t>икономическо</w:t>
      </w:r>
      <w:r>
        <w:rPr>
          <w:rFonts w:ascii="Times New Roman" w:hAnsi="Times New Roman"/>
          <w:sz w:val="20"/>
          <w:szCs w:val="20"/>
          <w:lang w:val="pt-PT"/>
        </w:rPr>
        <w:t xml:space="preserve"> </w:t>
      </w:r>
      <w:r>
        <w:rPr>
          <w:rFonts w:ascii="Times New Roman" w:hAnsi="Times New Roman"/>
          <w:sz w:val="20"/>
          <w:szCs w:val="20"/>
        </w:rPr>
        <w:t>и</w:t>
      </w:r>
      <w:r>
        <w:rPr>
          <w:rFonts w:ascii="Times New Roman" w:hAnsi="Times New Roman"/>
          <w:sz w:val="20"/>
          <w:szCs w:val="20"/>
          <w:lang w:val="pt-PT"/>
        </w:rPr>
        <w:t xml:space="preserve"> </w:t>
      </w:r>
      <w:r>
        <w:rPr>
          <w:rFonts w:ascii="Times New Roman" w:hAnsi="Times New Roman"/>
          <w:sz w:val="20"/>
          <w:szCs w:val="20"/>
        </w:rPr>
        <w:t>политическо</w:t>
      </w:r>
      <w:r>
        <w:rPr>
          <w:rFonts w:ascii="Times New Roman" w:hAnsi="Times New Roman"/>
          <w:sz w:val="20"/>
          <w:szCs w:val="20"/>
          <w:lang w:val="pt-PT"/>
        </w:rPr>
        <w:t xml:space="preserve"> </w:t>
      </w:r>
      <w:r>
        <w:rPr>
          <w:rFonts w:ascii="Times New Roman" w:hAnsi="Times New Roman"/>
          <w:sz w:val="20"/>
          <w:szCs w:val="20"/>
        </w:rPr>
        <w:t>приобщаване</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всички</w:t>
      </w:r>
      <w:r>
        <w:rPr>
          <w:rFonts w:ascii="Times New Roman" w:hAnsi="Times New Roman"/>
          <w:sz w:val="20"/>
          <w:szCs w:val="20"/>
          <w:lang w:val="pt-PT"/>
        </w:rPr>
        <w:t xml:space="preserve">, </w:t>
      </w:r>
      <w:r>
        <w:rPr>
          <w:rFonts w:ascii="Times New Roman" w:hAnsi="Times New Roman"/>
          <w:sz w:val="20"/>
          <w:szCs w:val="20"/>
        </w:rPr>
        <w:t>независимо</w:t>
      </w:r>
      <w:r>
        <w:rPr>
          <w:rFonts w:ascii="Times New Roman" w:hAnsi="Times New Roman"/>
          <w:sz w:val="20"/>
          <w:szCs w:val="20"/>
          <w:lang w:val="pt-PT"/>
        </w:rPr>
        <w:t xml:space="preserve"> </w:t>
      </w:r>
      <w:r>
        <w:rPr>
          <w:rFonts w:ascii="Times New Roman" w:hAnsi="Times New Roman"/>
          <w:sz w:val="20"/>
          <w:szCs w:val="20"/>
        </w:rPr>
        <w:t>от</w:t>
      </w:r>
      <w:r>
        <w:rPr>
          <w:rFonts w:ascii="Times New Roman" w:hAnsi="Times New Roman"/>
          <w:sz w:val="20"/>
          <w:szCs w:val="20"/>
          <w:lang w:val="pt-PT"/>
        </w:rPr>
        <w:t xml:space="preserve"> </w:t>
      </w:r>
      <w:r>
        <w:rPr>
          <w:rFonts w:ascii="Times New Roman" w:hAnsi="Times New Roman"/>
          <w:sz w:val="20"/>
          <w:szCs w:val="20"/>
        </w:rPr>
        <w:t>възраст</w:t>
      </w:r>
      <w:r>
        <w:rPr>
          <w:rFonts w:ascii="Times New Roman" w:hAnsi="Times New Roman"/>
          <w:sz w:val="20"/>
          <w:szCs w:val="20"/>
          <w:lang w:val="pt-PT"/>
        </w:rPr>
        <w:t xml:space="preserve">, </w:t>
      </w:r>
      <w:r>
        <w:rPr>
          <w:rFonts w:ascii="Times New Roman" w:hAnsi="Times New Roman"/>
          <w:sz w:val="20"/>
          <w:szCs w:val="20"/>
        </w:rPr>
        <w:t>пол</w:t>
      </w:r>
      <w:r>
        <w:rPr>
          <w:rFonts w:ascii="Times New Roman" w:hAnsi="Times New Roman"/>
          <w:sz w:val="20"/>
          <w:szCs w:val="20"/>
          <w:lang w:val="pt-PT"/>
        </w:rPr>
        <w:t xml:space="preserve">, </w:t>
      </w:r>
      <w:r>
        <w:rPr>
          <w:rFonts w:ascii="Times New Roman" w:hAnsi="Times New Roman"/>
          <w:sz w:val="20"/>
          <w:szCs w:val="20"/>
        </w:rPr>
        <w:t>увреждания</w:t>
      </w:r>
      <w:r>
        <w:rPr>
          <w:rFonts w:ascii="Times New Roman" w:hAnsi="Times New Roman"/>
          <w:sz w:val="20"/>
          <w:szCs w:val="20"/>
          <w:lang w:val="pt-PT"/>
        </w:rPr>
        <w:t xml:space="preserve">, </w:t>
      </w:r>
      <w:r>
        <w:rPr>
          <w:rFonts w:ascii="Times New Roman" w:hAnsi="Times New Roman"/>
          <w:sz w:val="20"/>
          <w:szCs w:val="20"/>
        </w:rPr>
        <w:t>раса</w:t>
      </w:r>
      <w:r>
        <w:rPr>
          <w:rFonts w:ascii="Times New Roman" w:hAnsi="Times New Roman"/>
          <w:sz w:val="20"/>
          <w:szCs w:val="20"/>
          <w:lang w:val="pt-PT"/>
        </w:rPr>
        <w:t xml:space="preserve">, </w:t>
      </w:r>
      <w:r>
        <w:rPr>
          <w:rFonts w:ascii="Times New Roman" w:hAnsi="Times New Roman"/>
          <w:sz w:val="20"/>
          <w:szCs w:val="20"/>
        </w:rPr>
        <w:t>етническа</w:t>
      </w:r>
      <w:r>
        <w:rPr>
          <w:rFonts w:ascii="Times New Roman" w:hAnsi="Times New Roman"/>
          <w:sz w:val="20"/>
          <w:szCs w:val="20"/>
          <w:lang w:val="pt-PT"/>
        </w:rPr>
        <w:t xml:space="preserve"> </w:t>
      </w:r>
      <w:r>
        <w:rPr>
          <w:rFonts w:ascii="Times New Roman" w:hAnsi="Times New Roman"/>
          <w:sz w:val="20"/>
          <w:szCs w:val="20"/>
        </w:rPr>
        <w:t>принадлежност</w:t>
      </w:r>
      <w:r>
        <w:rPr>
          <w:rFonts w:ascii="Times New Roman" w:hAnsi="Times New Roman"/>
          <w:sz w:val="20"/>
          <w:szCs w:val="20"/>
          <w:lang w:val="pt-PT"/>
        </w:rPr>
        <w:t xml:space="preserve">, </w:t>
      </w:r>
      <w:r>
        <w:rPr>
          <w:rFonts w:ascii="Times New Roman" w:hAnsi="Times New Roman"/>
          <w:sz w:val="20"/>
          <w:szCs w:val="20"/>
        </w:rPr>
        <w:t>произход</w:t>
      </w:r>
      <w:r>
        <w:rPr>
          <w:rFonts w:ascii="Times New Roman" w:hAnsi="Times New Roman"/>
          <w:sz w:val="20"/>
          <w:szCs w:val="20"/>
          <w:lang w:val="pt-PT"/>
        </w:rPr>
        <w:t xml:space="preserve">, </w:t>
      </w:r>
      <w:r>
        <w:rPr>
          <w:rFonts w:ascii="Times New Roman" w:hAnsi="Times New Roman"/>
          <w:sz w:val="20"/>
          <w:szCs w:val="20"/>
        </w:rPr>
        <w:t>религия</w:t>
      </w:r>
      <w:r>
        <w:rPr>
          <w:rFonts w:ascii="Times New Roman" w:hAnsi="Times New Roman"/>
          <w:sz w:val="20"/>
          <w:szCs w:val="20"/>
          <w:lang w:val="pt-PT"/>
        </w:rPr>
        <w:t xml:space="preserve"> </w:t>
      </w:r>
      <w:r>
        <w:rPr>
          <w:rFonts w:ascii="Times New Roman" w:hAnsi="Times New Roman"/>
          <w:sz w:val="20"/>
          <w:szCs w:val="20"/>
        </w:rPr>
        <w:t>или</w:t>
      </w:r>
      <w:r>
        <w:rPr>
          <w:rFonts w:ascii="Times New Roman" w:hAnsi="Times New Roman"/>
          <w:sz w:val="20"/>
          <w:szCs w:val="20"/>
          <w:lang w:val="pt-PT"/>
        </w:rPr>
        <w:t xml:space="preserve"> </w:t>
      </w:r>
      <w:r>
        <w:rPr>
          <w:rFonts w:ascii="Times New Roman" w:hAnsi="Times New Roman"/>
          <w:sz w:val="20"/>
          <w:szCs w:val="20"/>
        </w:rPr>
        <w:t>икономическо</w:t>
      </w:r>
      <w:r>
        <w:rPr>
          <w:rFonts w:ascii="Times New Roman" w:hAnsi="Times New Roman"/>
          <w:sz w:val="20"/>
          <w:szCs w:val="20"/>
          <w:lang w:val="pt-PT"/>
        </w:rPr>
        <w:t xml:space="preserve"> </w:t>
      </w:r>
      <w:r>
        <w:rPr>
          <w:rFonts w:ascii="Times New Roman" w:hAnsi="Times New Roman"/>
          <w:sz w:val="20"/>
          <w:szCs w:val="20"/>
        </w:rPr>
        <w:t>или</w:t>
      </w:r>
      <w:r>
        <w:rPr>
          <w:rFonts w:ascii="Times New Roman" w:hAnsi="Times New Roman"/>
          <w:sz w:val="20"/>
          <w:szCs w:val="20"/>
          <w:lang w:val="pt-PT"/>
        </w:rPr>
        <w:t xml:space="preserve"> </w:t>
      </w:r>
      <w:r>
        <w:rPr>
          <w:rFonts w:ascii="Times New Roman" w:hAnsi="Times New Roman"/>
          <w:sz w:val="20"/>
          <w:szCs w:val="20"/>
        </w:rPr>
        <w:t>друго</w:t>
      </w:r>
      <w:r>
        <w:rPr>
          <w:rFonts w:ascii="Times New Roman" w:hAnsi="Times New Roman"/>
          <w:sz w:val="20"/>
          <w:szCs w:val="20"/>
          <w:lang w:val="pt-PT"/>
        </w:rPr>
        <w:t xml:space="preserve"> </w:t>
      </w:r>
      <w:r>
        <w:rPr>
          <w:rFonts w:ascii="Times New Roman" w:hAnsi="Times New Roman"/>
          <w:sz w:val="20"/>
          <w:szCs w:val="20"/>
        </w:rPr>
        <w:t>положение</w:t>
      </w:r>
      <w:r>
        <w:rPr>
          <w:rFonts w:ascii="Times New Roman" w:hAnsi="Times New Roman"/>
          <w:sz w:val="20"/>
          <w:szCs w:val="20"/>
          <w:lang w:val="pt-PT"/>
        </w:rPr>
        <w:t xml:space="preserve">; </w:t>
      </w:r>
      <w:r>
        <w:rPr>
          <w:rFonts w:ascii="Times New Roman" w:hAnsi="Times New Roman"/>
          <w:sz w:val="20"/>
          <w:szCs w:val="20"/>
        </w:rPr>
        <w:t>и</w:t>
      </w:r>
      <w:r>
        <w:rPr>
          <w:rFonts w:ascii="Times New Roman" w:hAnsi="Times New Roman"/>
          <w:sz w:val="20"/>
          <w:szCs w:val="20"/>
          <w:lang w:val="pt-PT"/>
        </w:rPr>
        <w:t xml:space="preserve"> </w:t>
      </w:r>
      <w:r>
        <w:rPr>
          <w:rFonts w:ascii="Times New Roman" w:hAnsi="Times New Roman"/>
          <w:sz w:val="20"/>
          <w:szCs w:val="20"/>
          <w:lang w:val="pt-PT"/>
        </w:rPr>
        <w:tab/>
      </w:r>
      <w:r>
        <w:rPr>
          <w:rFonts w:ascii="Times New Roman" w:hAnsi="Times New Roman"/>
          <w:sz w:val="20"/>
          <w:szCs w:val="20"/>
          <w:lang w:val="pt-PT"/>
        </w:rPr>
        <w:br/>
      </w:r>
      <w:r>
        <w:rPr>
          <w:rFonts w:ascii="Times New Roman" w:hAnsi="Times New Roman"/>
          <w:sz w:val="20"/>
          <w:szCs w:val="20"/>
        </w:rPr>
        <w:t>Подцел</w:t>
      </w:r>
      <w:r>
        <w:rPr>
          <w:rFonts w:ascii="Times New Roman" w:hAnsi="Times New Roman"/>
          <w:sz w:val="20"/>
          <w:szCs w:val="20"/>
          <w:lang w:val="pt-PT"/>
        </w:rPr>
        <w:t xml:space="preserve"> 10.3: </w:t>
      </w:r>
      <w:r>
        <w:rPr>
          <w:rFonts w:ascii="Times New Roman" w:hAnsi="Times New Roman"/>
          <w:sz w:val="20"/>
          <w:szCs w:val="20"/>
        </w:rPr>
        <w:t>Гарантиране</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равни</w:t>
      </w:r>
      <w:r>
        <w:rPr>
          <w:rFonts w:ascii="Times New Roman" w:hAnsi="Times New Roman"/>
          <w:sz w:val="20"/>
          <w:szCs w:val="20"/>
          <w:lang w:val="pt-PT"/>
        </w:rPr>
        <w:t xml:space="preserve"> </w:t>
      </w:r>
      <w:r>
        <w:rPr>
          <w:rFonts w:ascii="Times New Roman" w:hAnsi="Times New Roman"/>
          <w:sz w:val="20"/>
          <w:szCs w:val="20"/>
        </w:rPr>
        <w:t>възможности</w:t>
      </w:r>
      <w:r>
        <w:rPr>
          <w:rFonts w:ascii="Times New Roman" w:hAnsi="Times New Roman"/>
          <w:sz w:val="20"/>
          <w:szCs w:val="20"/>
          <w:lang w:val="pt-PT"/>
        </w:rPr>
        <w:t xml:space="preserve"> </w:t>
      </w:r>
      <w:r>
        <w:rPr>
          <w:rFonts w:ascii="Times New Roman" w:hAnsi="Times New Roman"/>
          <w:sz w:val="20"/>
          <w:szCs w:val="20"/>
        </w:rPr>
        <w:t>и</w:t>
      </w:r>
      <w:r>
        <w:rPr>
          <w:rFonts w:ascii="Times New Roman" w:hAnsi="Times New Roman"/>
          <w:sz w:val="20"/>
          <w:szCs w:val="20"/>
          <w:lang w:val="pt-PT"/>
        </w:rPr>
        <w:t xml:space="preserve"> </w:t>
      </w:r>
      <w:r>
        <w:rPr>
          <w:rFonts w:ascii="Times New Roman" w:hAnsi="Times New Roman"/>
          <w:sz w:val="20"/>
          <w:szCs w:val="20"/>
        </w:rPr>
        <w:t>намаляване</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социалното</w:t>
      </w:r>
      <w:r>
        <w:rPr>
          <w:rFonts w:ascii="Times New Roman" w:hAnsi="Times New Roman"/>
          <w:sz w:val="20"/>
          <w:szCs w:val="20"/>
          <w:lang w:val="pt-PT"/>
        </w:rPr>
        <w:t xml:space="preserve"> </w:t>
      </w:r>
      <w:r>
        <w:rPr>
          <w:rFonts w:ascii="Times New Roman" w:hAnsi="Times New Roman"/>
          <w:sz w:val="20"/>
          <w:szCs w:val="20"/>
        </w:rPr>
        <w:t>неравенство</w:t>
      </w:r>
      <w:r>
        <w:rPr>
          <w:rFonts w:ascii="Times New Roman" w:hAnsi="Times New Roman"/>
          <w:sz w:val="20"/>
          <w:szCs w:val="20"/>
          <w:lang w:val="pt-PT"/>
        </w:rPr>
        <w:t xml:space="preserve">, </w:t>
      </w:r>
      <w:r>
        <w:rPr>
          <w:rFonts w:ascii="Times New Roman" w:hAnsi="Times New Roman"/>
          <w:sz w:val="20"/>
          <w:szCs w:val="20"/>
        </w:rPr>
        <w:t>включително</w:t>
      </w:r>
      <w:r>
        <w:rPr>
          <w:rFonts w:ascii="Times New Roman" w:hAnsi="Times New Roman"/>
          <w:sz w:val="20"/>
          <w:szCs w:val="20"/>
          <w:lang w:val="pt-PT"/>
        </w:rPr>
        <w:t xml:space="preserve"> </w:t>
      </w:r>
      <w:r>
        <w:rPr>
          <w:rFonts w:ascii="Times New Roman" w:hAnsi="Times New Roman"/>
          <w:sz w:val="20"/>
          <w:szCs w:val="20"/>
        </w:rPr>
        <w:t>чрез</w:t>
      </w:r>
      <w:r>
        <w:rPr>
          <w:rFonts w:ascii="Times New Roman" w:hAnsi="Times New Roman"/>
          <w:sz w:val="20"/>
          <w:szCs w:val="20"/>
          <w:lang w:val="pt-PT"/>
        </w:rPr>
        <w:t xml:space="preserve"> </w:t>
      </w:r>
      <w:r>
        <w:rPr>
          <w:rFonts w:ascii="Times New Roman" w:hAnsi="Times New Roman"/>
          <w:sz w:val="20"/>
          <w:szCs w:val="20"/>
        </w:rPr>
        <w:t>премахване</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дискриминационни</w:t>
      </w:r>
      <w:r>
        <w:rPr>
          <w:rFonts w:ascii="Times New Roman" w:hAnsi="Times New Roman"/>
          <w:sz w:val="20"/>
          <w:szCs w:val="20"/>
          <w:lang w:val="pt-PT"/>
        </w:rPr>
        <w:t xml:space="preserve"> </w:t>
      </w:r>
      <w:r>
        <w:rPr>
          <w:rFonts w:ascii="Times New Roman" w:hAnsi="Times New Roman"/>
          <w:sz w:val="20"/>
          <w:szCs w:val="20"/>
        </w:rPr>
        <w:t>закони</w:t>
      </w:r>
      <w:r>
        <w:rPr>
          <w:rFonts w:ascii="Times New Roman" w:hAnsi="Times New Roman"/>
          <w:sz w:val="20"/>
          <w:szCs w:val="20"/>
          <w:lang w:val="pt-PT"/>
        </w:rPr>
        <w:t xml:space="preserve">, </w:t>
      </w:r>
      <w:r>
        <w:rPr>
          <w:rFonts w:ascii="Times New Roman" w:hAnsi="Times New Roman"/>
          <w:sz w:val="20"/>
          <w:szCs w:val="20"/>
        </w:rPr>
        <w:t>политики</w:t>
      </w:r>
      <w:r>
        <w:rPr>
          <w:rFonts w:ascii="Times New Roman" w:hAnsi="Times New Roman"/>
          <w:sz w:val="20"/>
          <w:szCs w:val="20"/>
          <w:lang w:val="pt-PT"/>
        </w:rPr>
        <w:t xml:space="preserve"> </w:t>
      </w:r>
      <w:r>
        <w:rPr>
          <w:rFonts w:ascii="Times New Roman" w:hAnsi="Times New Roman"/>
          <w:sz w:val="20"/>
          <w:szCs w:val="20"/>
        </w:rPr>
        <w:t>и</w:t>
      </w:r>
      <w:r>
        <w:rPr>
          <w:rFonts w:ascii="Times New Roman" w:hAnsi="Times New Roman"/>
          <w:sz w:val="20"/>
          <w:szCs w:val="20"/>
          <w:lang w:val="pt-PT"/>
        </w:rPr>
        <w:t xml:space="preserve"> </w:t>
      </w:r>
      <w:r>
        <w:rPr>
          <w:rFonts w:ascii="Times New Roman" w:hAnsi="Times New Roman"/>
          <w:sz w:val="20"/>
          <w:szCs w:val="20"/>
        </w:rPr>
        <w:t>практики</w:t>
      </w:r>
      <w:r>
        <w:rPr>
          <w:rFonts w:ascii="Times New Roman" w:hAnsi="Times New Roman"/>
          <w:sz w:val="20"/>
          <w:szCs w:val="20"/>
          <w:lang w:val="pt-PT"/>
        </w:rPr>
        <w:t xml:space="preserve"> </w:t>
      </w:r>
      <w:r>
        <w:rPr>
          <w:rFonts w:ascii="Times New Roman" w:hAnsi="Times New Roman"/>
          <w:sz w:val="20"/>
          <w:szCs w:val="20"/>
        </w:rPr>
        <w:t>и</w:t>
      </w:r>
      <w:r>
        <w:rPr>
          <w:rFonts w:ascii="Times New Roman" w:hAnsi="Times New Roman"/>
          <w:sz w:val="20"/>
          <w:szCs w:val="20"/>
          <w:lang w:val="pt-PT"/>
        </w:rPr>
        <w:t xml:space="preserve"> </w:t>
      </w:r>
      <w:r>
        <w:rPr>
          <w:rFonts w:ascii="Times New Roman" w:hAnsi="Times New Roman"/>
          <w:sz w:val="20"/>
          <w:szCs w:val="20"/>
        </w:rPr>
        <w:t>насърчаване</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подходящо</w:t>
      </w:r>
      <w:r>
        <w:rPr>
          <w:rFonts w:ascii="Times New Roman" w:hAnsi="Times New Roman"/>
          <w:sz w:val="20"/>
          <w:szCs w:val="20"/>
          <w:lang w:val="pt-PT"/>
        </w:rPr>
        <w:t xml:space="preserve"> </w:t>
      </w:r>
      <w:r>
        <w:rPr>
          <w:rFonts w:ascii="Times New Roman" w:hAnsi="Times New Roman"/>
          <w:sz w:val="20"/>
          <w:szCs w:val="20"/>
        </w:rPr>
        <w:t>законодателство</w:t>
      </w:r>
      <w:r>
        <w:rPr>
          <w:rFonts w:ascii="Times New Roman" w:hAnsi="Times New Roman"/>
          <w:sz w:val="20"/>
          <w:szCs w:val="20"/>
          <w:lang w:val="pt-PT"/>
        </w:rPr>
        <w:t xml:space="preserve"> </w:t>
      </w:r>
      <w:r>
        <w:rPr>
          <w:rFonts w:ascii="Times New Roman" w:hAnsi="Times New Roman"/>
          <w:sz w:val="20"/>
          <w:szCs w:val="20"/>
        </w:rPr>
        <w:t>и</w:t>
      </w:r>
      <w:r>
        <w:rPr>
          <w:rFonts w:ascii="Times New Roman" w:hAnsi="Times New Roman"/>
          <w:sz w:val="20"/>
          <w:szCs w:val="20"/>
          <w:lang w:val="pt-PT"/>
        </w:rPr>
        <w:t xml:space="preserve"> </w:t>
      </w:r>
      <w:r>
        <w:rPr>
          <w:rFonts w:ascii="Times New Roman" w:hAnsi="Times New Roman"/>
          <w:sz w:val="20"/>
          <w:szCs w:val="20"/>
        </w:rPr>
        <w:t>подходящи</w:t>
      </w:r>
      <w:r>
        <w:rPr>
          <w:rFonts w:ascii="Times New Roman" w:hAnsi="Times New Roman"/>
          <w:sz w:val="20"/>
          <w:szCs w:val="20"/>
          <w:lang w:val="pt-PT"/>
        </w:rPr>
        <w:t xml:space="preserve"> </w:t>
      </w:r>
      <w:r>
        <w:rPr>
          <w:rFonts w:ascii="Times New Roman" w:hAnsi="Times New Roman"/>
          <w:sz w:val="20"/>
          <w:szCs w:val="20"/>
        </w:rPr>
        <w:t>политики</w:t>
      </w:r>
      <w:r>
        <w:rPr>
          <w:rFonts w:ascii="Times New Roman" w:hAnsi="Times New Roman"/>
          <w:sz w:val="20"/>
          <w:szCs w:val="20"/>
          <w:lang w:val="pt-PT"/>
        </w:rPr>
        <w:t xml:space="preserve"> </w:t>
      </w:r>
      <w:r>
        <w:rPr>
          <w:rFonts w:ascii="Times New Roman" w:hAnsi="Times New Roman"/>
          <w:sz w:val="20"/>
          <w:szCs w:val="20"/>
        </w:rPr>
        <w:t>и</w:t>
      </w:r>
      <w:r>
        <w:rPr>
          <w:rFonts w:ascii="Times New Roman" w:hAnsi="Times New Roman"/>
          <w:sz w:val="20"/>
          <w:szCs w:val="20"/>
          <w:lang w:val="pt-PT"/>
        </w:rPr>
        <w:t xml:space="preserve"> </w:t>
      </w:r>
      <w:r>
        <w:rPr>
          <w:rFonts w:ascii="Times New Roman" w:hAnsi="Times New Roman"/>
          <w:sz w:val="20"/>
          <w:szCs w:val="20"/>
        </w:rPr>
        <w:t>действия</w:t>
      </w:r>
      <w:r>
        <w:rPr>
          <w:rFonts w:ascii="Times New Roman" w:hAnsi="Times New Roman"/>
          <w:sz w:val="20"/>
          <w:szCs w:val="20"/>
          <w:lang w:val="pt-PT"/>
        </w:rPr>
        <w:t xml:space="preserve"> </w:t>
      </w:r>
      <w:r>
        <w:rPr>
          <w:rFonts w:ascii="Times New Roman" w:hAnsi="Times New Roman"/>
          <w:sz w:val="20"/>
          <w:szCs w:val="20"/>
        </w:rPr>
        <w:t>в</w:t>
      </w:r>
      <w:r>
        <w:rPr>
          <w:rFonts w:ascii="Times New Roman" w:hAnsi="Times New Roman"/>
          <w:sz w:val="20"/>
          <w:szCs w:val="20"/>
          <w:lang w:val="pt-PT"/>
        </w:rPr>
        <w:t xml:space="preserve"> </w:t>
      </w:r>
      <w:r>
        <w:rPr>
          <w:rFonts w:ascii="Times New Roman" w:hAnsi="Times New Roman"/>
          <w:sz w:val="20"/>
          <w:szCs w:val="20"/>
        </w:rPr>
        <w:t>тази</w:t>
      </w:r>
      <w:r>
        <w:rPr>
          <w:rFonts w:ascii="Times New Roman" w:hAnsi="Times New Roman"/>
          <w:sz w:val="20"/>
          <w:szCs w:val="20"/>
          <w:lang w:val="pt-PT"/>
        </w:rPr>
        <w:t xml:space="preserve"> </w:t>
      </w:r>
      <w:r>
        <w:rPr>
          <w:rFonts w:ascii="Times New Roman" w:hAnsi="Times New Roman"/>
          <w:sz w:val="20"/>
          <w:szCs w:val="20"/>
        </w:rPr>
        <w:t>връзка</w:t>
      </w:r>
      <w:r>
        <w:rPr>
          <w:rFonts w:ascii="Times New Roman" w:hAnsi="Times New Roman"/>
          <w:sz w:val="20"/>
          <w:szCs w:val="20"/>
          <w:lang w:val="pt-PT"/>
        </w:rPr>
        <w:t>.</w:t>
      </w:r>
    </w:p>
  </w:footnote>
  <w:footnote w:id="22">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r>
      <w:r>
        <w:rPr>
          <w:rFonts w:ascii="Times New Roman" w:hAnsi="Times New Roman"/>
        </w:rPr>
        <w:t>Служба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ЕП</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парламентарни</w:t>
      </w:r>
      <w:r>
        <w:rPr>
          <w:rFonts w:ascii="Times New Roman" w:hAnsi="Times New Roman"/>
          <w:lang w:val="pt-PT"/>
        </w:rPr>
        <w:t xml:space="preserve"> </w:t>
      </w:r>
      <w:r>
        <w:rPr>
          <w:rFonts w:ascii="Times New Roman" w:hAnsi="Times New Roman"/>
        </w:rPr>
        <w:t>изследвания</w:t>
      </w:r>
      <w:r>
        <w:rPr>
          <w:rFonts w:ascii="Times New Roman" w:hAnsi="Times New Roman"/>
          <w:lang w:val="pt-PT"/>
        </w:rPr>
        <w:t xml:space="preserve">, </w:t>
      </w:r>
      <w:r>
        <w:rPr>
          <w:rFonts w:ascii="Times New Roman" w:hAnsi="Times New Roman"/>
          <w:i/>
          <w:lang w:val="pt-PT"/>
        </w:rPr>
        <w:t>Equality and the fight against racism and xenophobia (Cost of non</w:t>
      </w:r>
      <w:r>
        <w:rPr>
          <w:rFonts w:ascii="Times New Roman" w:hAnsi="Times New Roman"/>
          <w:i/>
          <w:lang w:val="pt-PT"/>
        </w:rPr>
        <w:noBreakHyphen/>
        <w:t>Europe report</w:t>
      </w:r>
      <w:r>
        <w:rPr>
          <w:rFonts w:ascii="Times New Roman" w:hAnsi="Times New Roman"/>
          <w:lang w:val="pt-PT"/>
        </w:rPr>
        <w:t xml:space="preserve"> [</w:t>
      </w:r>
      <w:r>
        <w:rPr>
          <w:rFonts w:ascii="Times New Roman" w:hAnsi="Times New Roman"/>
        </w:rPr>
        <w:t>Равенството</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борбата</w:t>
      </w:r>
      <w:r>
        <w:rPr>
          <w:rFonts w:ascii="Times New Roman" w:hAnsi="Times New Roman"/>
          <w:lang w:val="pt-PT"/>
        </w:rPr>
        <w:t xml:space="preserve"> </w:t>
      </w:r>
      <w:r>
        <w:rPr>
          <w:rFonts w:ascii="Times New Roman" w:hAnsi="Times New Roman"/>
        </w:rPr>
        <w:t>срещу</w:t>
      </w:r>
      <w:r>
        <w:rPr>
          <w:rFonts w:ascii="Times New Roman" w:hAnsi="Times New Roman"/>
          <w:lang w:val="pt-PT"/>
        </w:rPr>
        <w:t xml:space="preserve"> </w:t>
      </w:r>
      <w:r>
        <w:rPr>
          <w:rFonts w:ascii="Times New Roman" w:hAnsi="Times New Roman"/>
        </w:rPr>
        <w:t>расизма</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ксенофобията</w:t>
      </w:r>
      <w:r>
        <w:rPr>
          <w:rFonts w:ascii="Times New Roman" w:hAnsi="Times New Roman"/>
          <w:lang w:val="pt-PT"/>
        </w:rPr>
        <w:t xml:space="preserve"> (</w:t>
      </w:r>
      <w:r>
        <w:rPr>
          <w:rFonts w:ascii="Times New Roman" w:hAnsi="Times New Roman"/>
        </w:rPr>
        <w:t>доклад</w:t>
      </w:r>
      <w:r>
        <w:rPr>
          <w:rFonts w:ascii="Times New Roman" w:hAnsi="Times New Roman"/>
          <w:lang w:val="pt-PT"/>
        </w:rPr>
        <w:t xml:space="preserve"> </w:t>
      </w:r>
      <w:r>
        <w:rPr>
          <w:rFonts w:ascii="Times New Roman" w:hAnsi="Times New Roman"/>
        </w:rPr>
        <w:t>за</w:t>
      </w:r>
      <w:r>
        <w:rPr>
          <w:rFonts w:ascii="Times New Roman" w:hAnsi="Times New Roman"/>
          <w:lang w:val="pt-PT"/>
        </w:rPr>
        <w:t xml:space="preserve"> </w:t>
      </w:r>
      <w:r>
        <w:rPr>
          <w:rFonts w:ascii="Times New Roman" w:hAnsi="Times New Roman"/>
        </w:rPr>
        <w:t>цената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липсата</w:t>
      </w:r>
      <w:r>
        <w:rPr>
          <w:rFonts w:ascii="Times New Roman" w:hAnsi="Times New Roman"/>
          <w:lang w:val="pt-PT"/>
        </w:rPr>
        <w:t xml:space="preserve"> </w:t>
      </w:r>
      <w:r>
        <w:rPr>
          <w:rFonts w:ascii="Times New Roman" w:hAnsi="Times New Roman"/>
        </w:rPr>
        <w:t>на</w:t>
      </w:r>
      <w:r>
        <w:rPr>
          <w:rFonts w:ascii="Times New Roman" w:hAnsi="Times New Roman"/>
          <w:lang w:val="pt-PT"/>
        </w:rPr>
        <w:t xml:space="preserve"> </w:t>
      </w:r>
      <w:r>
        <w:rPr>
          <w:rFonts w:ascii="Times New Roman" w:hAnsi="Times New Roman"/>
        </w:rPr>
        <w:t>европейски</w:t>
      </w:r>
      <w:r>
        <w:rPr>
          <w:rFonts w:ascii="Times New Roman" w:hAnsi="Times New Roman"/>
          <w:lang w:val="pt-PT"/>
        </w:rPr>
        <w:t xml:space="preserve"> </w:t>
      </w:r>
      <w:r>
        <w:rPr>
          <w:rFonts w:ascii="Times New Roman" w:hAnsi="Times New Roman"/>
        </w:rPr>
        <w:t>подход</w:t>
      </w:r>
      <w:r>
        <w:rPr>
          <w:rFonts w:ascii="Times New Roman" w:hAnsi="Times New Roman"/>
          <w:lang w:val="pt-PT"/>
        </w:rPr>
        <w:t xml:space="preserve">](PE 615.660, </w:t>
      </w:r>
      <w:r>
        <w:rPr>
          <w:rFonts w:ascii="Times New Roman" w:hAnsi="Times New Roman"/>
        </w:rPr>
        <w:t>март</w:t>
      </w:r>
      <w:r>
        <w:rPr>
          <w:rFonts w:ascii="Times New Roman" w:hAnsi="Times New Roman"/>
          <w:lang w:val="pt-PT"/>
        </w:rPr>
        <w:t xml:space="preserve"> 2018 </w:t>
      </w:r>
      <w:r>
        <w:rPr>
          <w:rFonts w:ascii="Times New Roman" w:hAnsi="Times New Roman"/>
        </w:rPr>
        <w:t>г</w:t>
      </w:r>
      <w:r>
        <w:rPr>
          <w:rFonts w:ascii="Times New Roman" w:hAnsi="Times New Roman"/>
          <w:lang w:val="pt-PT"/>
        </w:rPr>
        <w:t>.);</w:t>
      </w:r>
      <w:r>
        <w:rPr>
          <w:rFonts w:ascii="Times New Roman" w:hAnsi="Times New Roman"/>
          <w:lang w:val="pt-PT"/>
        </w:rPr>
        <w:tab/>
      </w:r>
      <w:r>
        <w:rPr>
          <w:rFonts w:ascii="Times New Roman" w:hAnsi="Times New Roman"/>
          <w:lang w:val="pt-PT"/>
        </w:rPr>
        <w:br/>
        <w:t xml:space="preserve"> </w:t>
      </w:r>
      <w:hyperlink r:id="rId5" w:history="1">
        <w:r>
          <w:rPr>
            <w:rStyle w:val="Hyperlink"/>
            <w:rFonts w:ascii="Times New Roman" w:hAnsi="Times New Roman"/>
            <w:lang w:val="pt-PT"/>
          </w:rPr>
          <w:t>http://www.europarl.europa.eu/thinktank/en/document.html?reference=EPRS_STU(2018)615660</w:t>
        </w:r>
      </w:hyperlink>
    </w:p>
  </w:footnote>
  <w:footnote w:id="23">
    <w:p>
      <w:pPr>
        <w:pStyle w:val="footnotetext1"/>
        <w:spacing w:after="0" w:line="240" w:lineRule="auto"/>
        <w:ind w:left="284" w:hanging="284"/>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lang w:val="pt-PT"/>
        </w:rPr>
        <w:t xml:space="preserve"> </w:t>
      </w:r>
      <w:r>
        <w:rPr>
          <w:rFonts w:ascii="Times New Roman" w:hAnsi="Times New Roman"/>
          <w:lang w:val="pt-PT"/>
        </w:rPr>
        <w:tab/>
      </w:r>
      <w:r>
        <w:rPr>
          <w:rFonts w:ascii="Times New Roman" w:hAnsi="Times New Roman"/>
        </w:rPr>
        <w:t>Член</w:t>
      </w:r>
      <w:r>
        <w:rPr>
          <w:rFonts w:ascii="Times New Roman" w:hAnsi="Times New Roman"/>
          <w:lang w:val="pt-PT"/>
        </w:rPr>
        <w:t xml:space="preserve"> 13 </w:t>
      </w:r>
      <w:r>
        <w:rPr>
          <w:rFonts w:ascii="Times New Roman" w:hAnsi="Times New Roman"/>
        </w:rPr>
        <w:t>от</w:t>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xml:space="preserve"> 2000/43/</w:t>
      </w:r>
      <w:r>
        <w:rPr>
          <w:rFonts w:ascii="Times New Roman" w:hAnsi="Times New Roman"/>
        </w:rPr>
        <w:t>ЕО</w:t>
      </w:r>
      <w:r>
        <w:rPr>
          <w:rFonts w:ascii="Times New Roman" w:hAnsi="Times New Roman"/>
          <w:lang w:val="pt-PT"/>
        </w:rPr>
        <w:t xml:space="preserve">, </w:t>
      </w:r>
      <w:r>
        <w:rPr>
          <w:rFonts w:ascii="Times New Roman" w:hAnsi="Times New Roman"/>
        </w:rPr>
        <w:t>член</w:t>
      </w:r>
      <w:r>
        <w:rPr>
          <w:rFonts w:ascii="Times New Roman" w:hAnsi="Times New Roman"/>
          <w:lang w:val="pt-PT"/>
        </w:rPr>
        <w:t xml:space="preserve"> 11 </w:t>
      </w:r>
      <w:r>
        <w:rPr>
          <w:rFonts w:ascii="Times New Roman" w:hAnsi="Times New Roman"/>
        </w:rPr>
        <w:t>от</w:t>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xml:space="preserve"> 2010/41/</w:t>
      </w:r>
      <w:r>
        <w:rPr>
          <w:rFonts w:ascii="Times New Roman" w:hAnsi="Times New Roman"/>
        </w:rPr>
        <w:t>ЕС</w:t>
      </w:r>
      <w:r>
        <w:rPr>
          <w:rFonts w:ascii="Times New Roman" w:hAnsi="Times New Roman"/>
          <w:lang w:val="pt-PT"/>
        </w:rPr>
        <w:t xml:space="preserve">, </w:t>
      </w:r>
      <w:r>
        <w:rPr>
          <w:rFonts w:ascii="Times New Roman" w:hAnsi="Times New Roman"/>
        </w:rPr>
        <w:t>член</w:t>
      </w:r>
      <w:r>
        <w:rPr>
          <w:rFonts w:ascii="Times New Roman" w:hAnsi="Times New Roman"/>
          <w:lang w:val="pt-PT"/>
        </w:rPr>
        <w:t xml:space="preserve"> 12 </w:t>
      </w:r>
      <w:r>
        <w:rPr>
          <w:rFonts w:ascii="Times New Roman" w:hAnsi="Times New Roman"/>
        </w:rPr>
        <w:t>от</w:t>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xml:space="preserve"> 2004/113/</w:t>
      </w:r>
      <w:r>
        <w:rPr>
          <w:rFonts w:ascii="Times New Roman" w:hAnsi="Times New Roman"/>
        </w:rPr>
        <w:t>ЕО</w:t>
      </w:r>
      <w:r>
        <w:rPr>
          <w:rFonts w:ascii="Times New Roman" w:hAnsi="Times New Roman"/>
          <w:lang w:val="pt-PT"/>
        </w:rPr>
        <w:t xml:space="preserve"> </w:t>
      </w:r>
      <w:r>
        <w:rPr>
          <w:rFonts w:ascii="Times New Roman" w:hAnsi="Times New Roman"/>
        </w:rPr>
        <w:t>и</w:t>
      </w:r>
      <w:r>
        <w:rPr>
          <w:rFonts w:ascii="Times New Roman" w:hAnsi="Times New Roman"/>
          <w:lang w:val="pt-PT"/>
        </w:rPr>
        <w:t xml:space="preserve"> </w:t>
      </w:r>
      <w:r>
        <w:rPr>
          <w:rFonts w:ascii="Times New Roman" w:hAnsi="Times New Roman"/>
        </w:rPr>
        <w:t>член</w:t>
      </w:r>
      <w:r>
        <w:rPr>
          <w:rFonts w:ascii="Times New Roman" w:hAnsi="Times New Roman"/>
          <w:lang w:val="pt-PT"/>
        </w:rPr>
        <w:t xml:space="preserve"> 20 </w:t>
      </w:r>
      <w:r>
        <w:rPr>
          <w:rFonts w:ascii="Times New Roman" w:hAnsi="Times New Roman"/>
        </w:rPr>
        <w:t>от</w:t>
      </w:r>
      <w:r>
        <w:rPr>
          <w:rFonts w:ascii="Times New Roman" w:hAnsi="Times New Roman"/>
          <w:lang w:val="pt-PT"/>
        </w:rPr>
        <w:t xml:space="preserve"> </w:t>
      </w:r>
      <w:r>
        <w:rPr>
          <w:rFonts w:ascii="Times New Roman" w:hAnsi="Times New Roman"/>
        </w:rPr>
        <w:t>Директива</w:t>
      </w:r>
      <w:r>
        <w:rPr>
          <w:rFonts w:ascii="Times New Roman" w:hAnsi="Times New Roman"/>
          <w:lang w:val="pt-PT"/>
        </w:rPr>
        <w:t xml:space="preserve"> 2006/54/</w:t>
      </w:r>
      <w:r>
        <w:rPr>
          <w:rFonts w:ascii="Times New Roman" w:hAnsi="Times New Roman"/>
        </w:rPr>
        <w:t>ЕО</w:t>
      </w:r>
      <w:r>
        <w:rPr>
          <w:rFonts w:ascii="Times New Roman" w:hAnsi="Times New Roman"/>
          <w:lang w:val="pt-PT"/>
        </w:rPr>
        <w:t>.</w:t>
      </w:r>
    </w:p>
  </w:footnote>
  <w:footnote w:id="24">
    <w:p>
      <w:pPr>
        <w:tabs>
          <w:tab w:val="left" w:pos="142"/>
        </w:tabs>
        <w:spacing w:after="0" w:line="240" w:lineRule="auto"/>
        <w:ind w:left="284" w:hanging="284"/>
        <w:jc w:val="both"/>
        <w:rPr>
          <w:rFonts w:ascii="Times New Roman" w:hAnsi="Times New Roman" w:cs="Times New Roman"/>
          <w:sz w:val="20"/>
          <w:szCs w:val="20"/>
          <w:lang w:val="pt-PT"/>
        </w:rPr>
      </w:pPr>
      <w:r>
        <w:rPr>
          <w:rStyle w:val="FootnoteReference"/>
          <w:rFonts w:ascii="Times New Roman" w:hAnsi="Times New Roman" w:cs="Times New Roman"/>
          <w:sz w:val="20"/>
          <w:szCs w:val="20"/>
        </w:rPr>
        <w:footnoteRef/>
      </w:r>
      <w:r>
        <w:rPr>
          <w:rFonts w:ascii="Times New Roman" w:hAnsi="Times New Roman"/>
          <w:sz w:val="20"/>
          <w:szCs w:val="20"/>
          <w:lang w:val="pt-PT"/>
        </w:rPr>
        <w:t xml:space="preserve"> </w:t>
      </w:r>
      <w:r>
        <w:rPr>
          <w:rFonts w:ascii="Times New Roman" w:hAnsi="Times New Roman"/>
          <w:sz w:val="20"/>
          <w:szCs w:val="20"/>
          <w:lang w:val="pt-PT"/>
        </w:rPr>
        <w:tab/>
      </w:r>
      <w:r>
        <w:rPr>
          <w:rFonts w:ascii="Times New Roman" w:hAnsi="Times New Roman"/>
          <w:sz w:val="20"/>
          <w:szCs w:val="20"/>
        </w:rPr>
        <w:t>Препоръка</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Комисията</w:t>
      </w:r>
      <w:r>
        <w:rPr>
          <w:rFonts w:ascii="Times New Roman" w:hAnsi="Times New Roman"/>
          <w:sz w:val="20"/>
          <w:szCs w:val="20"/>
          <w:lang w:val="pt-PT"/>
        </w:rPr>
        <w:t xml:space="preserve"> C (2018) 3850 final </w:t>
      </w:r>
      <w:r>
        <w:rPr>
          <w:rFonts w:ascii="Times New Roman" w:hAnsi="Times New Roman"/>
          <w:sz w:val="20"/>
          <w:szCs w:val="20"/>
        </w:rPr>
        <w:t>от</w:t>
      </w:r>
      <w:r>
        <w:rPr>
          <w:rFonts w:ascii="Times New Roman" w:hAnsi="Times New Roman"/>
          <w:sz w:val="20"/>
          <w:szCs w:val="20"/>
          <w:lang w:val="pt-PT"/>
        </w:rPr>
        <w:t xml:space="preserve"> 22.6.2018 </w:t>
      </w:r>
      <w:r>
        <w:rPr>
          <w:rFonts w:ascii="Times New Roman" w:hAnsi="Times New Roman"/>
          <w:sz w:val="20"/>
          <w:szCs w:val="20"/>
        </w:rPr>
        <w:t>г</w:t>
      </w:r>
      <w:r>
        <w:rPr>
          <w:rFonts w:ascii="Times New Roman" w:hAnsi="Times New Roman"/>
          <w:sz w:val="20"/>
          <w:szCs w:val="20"/>
          <w:lang w:val="pt-PT"/>
        </w:rPr>
        <w:t xml:space="preserve">. </w:t>
      </w:r>
      <w:r>
        <w:rPr>
          <w:rFonts w:ascii="Times New Roman" w:hAnsi="Times New Roman"/>
          <w:sz w:val="20"/>
          <w:szCs w:val="20"/>
        </w:rPr>
        <w:t>относно</w:t>
      </w:r>
      <w:r>
        <w:rPr>
          <w:rFonts w:ascii="Times New Roman" w:hAnsi="Times New Roman"/>
          <w:sz w:val="20"/>
          <w:szCs w:val="20"/>
          <w:lang w:val="pt-PT"/>
        </w:rPr>
        <w:t xml:space="preserve"> </w:t>
      </w:r>
      <w:r>
        <w:rPr>
          <w:rFonts w:ascii="Times New Roman" w:hAnsi="Times New Roman"/>
          <w:sz w:val="20"/>
          <w:szCs w:val="20"/>
        </w:rPr>
        <w:t>стандартите</w:t>
      </w:r>
      <w:r>
        <w:rPr>
          <w:rFonts w:ascii="Times New Roman" w:hAnsi="Times New Roman"/>
          <w:sz w:val="20"/>
          <w:szCs w:val="20"/>
          <w:lang w:val="pt-PT"/>
        </w:rPr>
        <w:t xml:space="preserve"> </w:t>
      </w:r>
      <w:r>
        <w:rPr>
          <w:rFonts w:ascii="Times New Roman" w:hAnsi="Times New Roman"/>
          <w:sz w:val="20"/>
          <w:szCs w:val="20"/>
        </w:rPr>
        <w:t>за</w:t>
      </w:r>
      <w:r>
        <w:rPr>
          <w:rFonts w:ascii="Times New Roman" w:hAnsi="Times New Roman"/>
          <w:sz w:val="20"/>
          <w:szCs w:val="20"/>
          <w:lang w:val="pt-PT"/>
        </w:rPr>
        <w:t xml:space="preserve"> </w:t>
      </w:r>
      <w:r>
        <w:rPr>
          <w:rFonts w:ascii="Times New Roman" w:hAnsi="Times New Roman"/>
          <w:sz w:val="20"/>
          <w:szCs w:val="20"/>
        </w:rPr>
        <w:t>органите</w:t>
      </w:r>
      <w:r>
        <w:rPr>
          <w:rFonts w:ascii="Times New Roman" w:hAnsi="Times New Roman"/>
          <w:sz w:val="20"/>
          <w:szCs w:val="20"/>
          <w:lang w:val="pt-PT"/>
        </w:rPr>
        <w:t xml:space="preserve"> </w:t>
      </w:r>
      <w:r>
        <w:rPr>
          <w:rFonts w:ascii="Times New Roman" w:hAnsi="Times New Roman"/>
          <w:sz w:val="20"/>
          <w:szCs w:val="20"/>
        </w:rPr>
        <w:t>по</w:t>
      </w:r>
      <w:r>
        <w:rPr>
          <w:rFonts w:ascii="Times New Roman" w:hAnsi="Times New Roman"/>
          <w:sz w:val="20"/>
          <w:szCs w:val="20"/>
          <w:lang w:val="pt-PT"/>
        </w:rPr>
        <w:t xml:space="preserve"> </w:t>
      </w:r>
      <w:r>
        <w:rPr>
          <w:rFonts w:ascii="Times New Roman" w:hAnsi="Times New Roman"/>
          <w:sz w:val="20"/>
          <w:szCs w:val="20"/>
        </w:rPr>
        <w:t>въпросите</w:t>
      </w:r>
      <w:r>
        <w:rPr>
          <w:rFonts w:ascii="Times New Roman" w:hAnsi="Times New Roman"/>
          <w:sz w:val="20"/>
          <w:szCs w:val="20"/>
          <w:lang w:val="pt-PT"/>
        </w:rPr>
        <w:t xml:space="preserve"> </w:t>
      </w:r>
      <w:r>
        <w:rPr>
          <w:rFonts w:ascii="Times New Roman" w:hAnsi="Times New Roman"/>
          <w:sz w:val="20"/>
          <w:szCs w:val="20"/>
        </w:rPr>
        <w:t>на</w:t>
      </w:r>
      <w:r>
        <w:rPr>
          <w:rFonts w:ascii="Times New Roman" w:hAnsi="Times New Roman"/>
          <w:sz w:val="20"/>
          <w:szCs w:val="20"/>
          <w:lang w:val="pt-PT"/>
        </w:rPr>
        <w:t xml:space="preserve"> </w:t>
      </w:r>
      <w:r>
        <w:rPr>
          <w:rFonts w:ascii="Times New Roman" w:hAnsi="Times New Roman"/>
          <w:sz w:val="20"/>
          <w:szCs w:val="20"/>
        </w:rPr>
        <w:t>равенството</w:t>
      </w:r>
      <w:r>
        <w:rPr>
          <w:rFonts w:ascii="Times New Roman" w:hAnsi="Times New Roman"/>
          <w:sz w:val="20"/>
          <w:szCs w:val="20"/>
          <w:lang w:val="pt-PT"/>
        </w:rPr>
        <w:t>;</w:t>
      </w:r>
      <w:r>
        <w:rPr>
          <w:rFonts w:ascii="Times New Roman" w:hAnsi="Times New Roman"/>
          <w:sz w:val="20"/>
          <w:szCs w:val="20"/>
          <w:lang w:val="pt-PT"/>
        </w:rPr>
        <w:tab/>
      </w:r>
      <w:r>
        <w:rPr>
          <w:rFonts w:ascii="Times New Roman" w:hAnsi="Times New Roman"/>
          <w:sz w:val="20"/>
          <w:szCs w:val="20"/>
          <w:lang w:val="pt-PT"/>
        </w:rPr>
        <w:br/>
      </w:r>
      <w:hyperlink r:id="rId6" w:history="1">
        <w:r>
          <w:rPr>
            <w:rStyle w:val="Hyperlink"/>
            <w:rFonts w:ascii="Times New Roman" w:hAnsi="Times New Roman"/>
            <w:sz w:val="20"/>
            <w:szCs w:val="20"/>
            <w:lang w:val="pt-PT"/>
          </w:rPr>
          <w:t>https://ec.europa.eu/info/sites/info/files/2_en_act_part1_v4.pdf</w:t>
        </w:r>
      </w:hyperlink>
      <w:r>
        <w:rPr>
          <w:rStyle w:val="Hyperlink"/>
          <w:rFonts w:ascii="Times New Roman" w:hAnsi="Times New Roman"/>
          <w:sz w:val="20"/>
          <w:szCs w:val="20"/>
          <w:lang w:val="pt-PT"/>
        </w:rPr>
        <w:t>.</w:t>
      </w:r>
    </w:p>
  </w:footnote>
  <w:footnote w:id="25">
    <w:p>
      <w:pPr>
        <w:tabs>
          <w:tab w:val="left" w:pos="142"/>
        </w:tabs>
        <w:spacing w:after="0" w:line="240" w:lineRule="auto"/>
        <w:ind w:left="284" w:hanging="284"/>
        <w:jc w:val="both"/>
        <w:rPr>
          <w:rFonts w:ascii="Times New Roman" w:hAnsi="Times New Roman" w:cs="Times New Roman"/>
          <w:sz w:val="20"/>
          <w:szCs w:val="20"/>
          <w:lang w:val="pt-PT"/>
        </w:rPr>
      </w:pPr>
      <w:r>
        <w:rPr>
          <w:rStyle w:val="FootnoteReference"/>
          <w:rFonts w:ascii="Times New Roman" w:hAnsi="Times New Roman" w:cs="Times New Roman"/>
          <w:sz w:val="20"/>
          <w:szCs w:val="20"/>
        </w:rPr>
        <w:footnoteRef/>
      </w:r>
      <w:r>
        <w:rPr>
          <w:rFonts w:ascii="Times New Roman" w:hAnsi="Times New Roman"/>
          <w:sz w:val="20"/>
          <w:szCs w:val="20"/>
          <w:lang w:val="pt-PT"/>
        </w:rPr>
        <w:t xml:space="preserve"> </w:t>
      </w:r>
      <w:r>
        <w:rPr>
          <w:rFonts w:ascii="Times New Roman" w:hAnsi="Times New Roman"/>
          <w:sz w:val="20"/>
          <w:szCs w:val="20"/>
          <w:lang w:val="pt-PT"/>
        </w:rPr>
        <w:tab/>
      </w:r>
      <w:r>
        <w:rPr>
          <w:rFonts w:ascii="Times New Roman" w:hAnsi="Times New Roman"/>
          <w:sz w:val="20"/>
          <w:szCs w:val="20"/>
        </w:rPr>
        <w:t>Евробарометър</w:t>
      </w:r>
      <w:r>
        <w:rPr>
          <w:rFonts w:ascii="Times New Roman" w:hAnsi="Times New Roman"/>
          <w:sz w:val="20"/>
          <w:szCs w:val="20"/>
          <w:lang w:val="pt-PT"/>
        </w:rPr>
        <w:t xml:space="preserve"> 437, </w:t>
      </w:r>
      <w:r>
        <w:rPr>
          <w:rFonts w:ascii="Times New Roman" w:hAnsi="Times New Roman"/>
          <w:i/>
          <w:sz w:val="20"/>
          <w:szCs w:val="20"/>
        </w:rPr>
        <w:t>Дискриминацията</w:t>
      </w:r>
      <w:r>
        <w:rPr>
          <w:rFonts w:ascii="Times New Roman" w:hAnsi="Times New Roman"/>
          <w:i/>
          <w:sz w:val="20"/>
          <w:szCs w:val="20"/>
          <w:lang w:val="pt-PT"/>
        </w:rPr>
        <w:t xml:space="preserve"> </w:t>
      </w:r>
      <w:r>
        <w:rPr>
          <w:rFonts w:ascii="Times New Roman" w:hAnsi="Times New Roman"/>
          <w:i/>
          <w:sz w:val="20"/>
          <w:szCs w:val="20"/>
        </w:rPr>
        <w:t>в</w:t>
      </w:r>
      <w:r>
        <w:rPr>
          <w:rFonts w:ascii="Times New Roman" w:hAnsi="Times New Roman"/>
          <w:i/>
          <w:sz w:val="20"/>
          <w:szCs w:val="20"/>
          <w:lang w:val="pt-PT"/>
        </w:rPr>
        <w:t xml:space="preserve"> </w:t>
      </w:r>
      <w:r>
        <w:rPr>
          <w:rFonts w:ascii="Times New Roman" w:hAnsi="Times New Roman"/>
          <w:i/>
          <w:sz w:val="20"/>
          <w:szCs w:val="20"/>
        </w:rPr>
        <w:t>ЕС</w:t>
      </w:r>
      <w:r>
        <w:rPr>
          <w:rFonts w:ascii="Times New Roman" w:hAnsi="Times New Roman"/>
          <w:i/>
          <w:sz w:val="20"/>
          <w:szCs w:val="20"/>
          <w:lang w:val="pt-PT"/>
        </w:rPr>
        <w:t xml:space="preserve"> </w:t>
      </w:r>
      <w:r>
        <w:rPr>
          <w:rFonts w:ascii="Times New Roman" w:hAnsi="Times New Roman"/>
          <w:i/>
          <w:sz w:val="20"/>
          <w:szCs w:val="20"/>
        </w:rPr>
        <w:t>през</w:t>
      </w:r>
      <w:r>
        <w:rPr>
          <w:rFonts w:ascii="Times New Roman" w:hAnsi="Times New Roman"/>
          <w:i/>
          <w:sz w:val="20"/>
          <w:szCs w:val="20"/>
          <w:lang w:val="pt-PT"/>
        </w:rPr>
        <w:t xml:space="preserve"> 2015 </w:t>
      </w:r>
      <w:r>
        <w:rPr>
          <w:rFonts w:ascii="Times New Roman" w:hAnsi="Times New Roman"/>
          <w:i/>
          <w:sz w:val="20"/>
          <w:szCs w:val="20"/>
        </w:rPr>
        <w:t>г</w:t>
      </w:r>
      <w:r>
        <w:rPr>
          <w:rFonts w:ascii="Times New Roman" w:hAnsi="Times New Roman"/>
          <w:sz w:val="20"/>
          <w:szCs w:val="20"/>
          <w:lang w:val="pt-PT"/>
        </w:rPr>
        <w:t>.</w:t>
      </w:r>
    </w:p>
  </w:footnote>
  <w:footnote w:id="2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7" w:history="1">
        <w:r>
          <w:rPr>
            <w:rFonts w:ascii="Times New Roman" w:hAnsi="Times New Roman"/>
          </w:rPr>
          <w:t>Вж.</w:t>
        </w:r>
      </w:hyperlink>
      <w:r>
        <w:rPr>
          <w:rFonts w:ascii="Times New Roman" w:hAnsi="Times New Roman"/>
        </w:rPr>
        <w:t xml:space="preserve"> бележка под линия 21. </w:t>
      </w:r>
    </w:p>
  </w:footnote>
  <w:footnote w:id="2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Това е предвидено в член 153, параграф 1, буква в) от ДФЕС, докато съгласно член 48 от ДФЕС ЕС разполага с правомощието да приема мерки в областта на социалната сигурност, които са необходими за гарантиране на свободно движение на работниците. По отношение на тези мерки се прилага гласуване с квалифицирано мнозинство, поради което те не се разглеждат в настоящото съобщение. </w:t>
      </w:r>
    </w:p>
  </w:footnote>
  <w:footnote w:id="2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Достиженията на правото на ЕС в областта на законната миграция, включват: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Директива 2003/86/ЕО на Съвета от 22 септември 2003 г. относно правото на събиране на семейството;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Директива 2003/109/ЕО на Съвета от 25 ноември 2003 г. относно статута на дългосрочно пребиваващи граждани от трети страни;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Директива 2009/50/ЕО на Съвета от 25 май 2009 г. относно условията за влизане и пребиваване на граждани на трети държави за целите на висококвалифицирана трудова заетост (Директива за синята карта на ЕС);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Директива 2011/98/ЕС на Европейския парламент и на Съвета от 13 декември 2011 г. относно единна процедура за кандидатстване на граждани на трети държави за единно разрешение за пребиваване и работа на територията на държава членка и относно общ набор от права за работници от трети държави, законно пребиваващи в държава членка;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 xml:space="preserve">Директива 2014/36/ЕС на Европейския парламент и на Съвета от 26 февруари 2014 г. относно условията за влизане и престой на граждани на трети държави с цел заетост като сезонни работници; </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Директива 2014/66/ЕС на Европейския парламент и на Съвета от 15 май 2014 г. относно условията за влизане и пребиваване на граждани на трети държави в рамките на вътрешнокорпоративен трансфер; и</w:t>
      </w:r>
    </w:p>
    <w:p>
      <w:pPr>
        <w:pStyle w:val="footnotetext1"/>
        <w:numPr>
          <w:ilvl w:val="0"/>
          <w:numId w:val="122"/>
        </w:numPr>
        <w:spacing w:after="0" w:line="240" w:lineRule="auto"/>
        <w:ind w:left="284" w:hanging="284"/>
        <w:jc w:val="both"/>
        <w:rPr>
          <w:rFonts w:ascii="Times New Roman" w:hAnsi="Times New Roman" w:cs="Times New Roman"/>
        </w:rPr>
      </w:pPr>
      <w:r>
        <w:rPr>
          <w:rFonts w:ascii="Times New Roman" w:hAnsi="Times New Roman"/>
        </w:rPr>
        <w:t>Директива (EС) 2016/801 на Европейския парламент и на Съвета от 11 май 2016 г. относно условията за влизане и пребиваване на граждани на трети държави с цел провеждане на научно изследване, следване, стаж, доброволческа дейност, програми за ученически обмен или образователни проекти и работа по програми „au pair“.</w:t>
      </w:r>
    </w:p>
    <w:p>
      <w:pPr>
        <w:pStyle w:val="FootnoteText"/>
      </w:pPr>
      <w:r>
        <w:t xml:space="preserve"> </w:t>
      </w:r>
    </w:p>
  </w:footnote>
  <w:footnote w:id="29">
    <w:p>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Например тези, отнасящи се до здравето и безопасността на работниците (Рамкова Директива 89/391/ЕИО и свързаните с нея 25 директиви) и условията на труд: Директива 91/533/ЕИО (писмено заявление); Директива 94/33/ЕО (млади хора на работното място); Директива 2008/104/ЕО (работа чрез агенции за временна заетост); Директива 2008/94/ЕО (закрила на работниците и служителите в случай на неплатежоспособност на техния работодател); Директива 1997/81/ЕО (работа при непълно работно време); Директива 1999/70/ЕО (срочна работа); Директива 2002/14/ЕО (Директива относно информирането и консултирането); Директива 2003/88/ЕО (работно време).</w:t>
      </w:r>
      <w:r>
        <w:t xml:space="preserve"> </w:t>
      </w:r>
    </w:p>
  </w:footnote>
  <w:footnote w:id="3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Препоръка на Съвета от 22 април 2013 г. за създаване на гаранция за младежта (2013/C 120/01).</w:t>
      </w:r>
    </w:p>
  </w:footnote>
  <w:footnote w:id="3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Style w:val="Emphasis"/>
          <w:rFonts w:ascii="Times New Roman" w:hAnsi="Times New Roman"/>
          <w:i w:val="0"/>
        </w:rPr>
        <w:t>Препоръка на Съвета</w:t>
      </w:r>
      <w:r>
        <w:rPr>
          <w:rStyle w:val="st"/>
          <w:rFonts w:ascii="Times New Roman" w:hAnsi="Times New Roman"/>
          <w:i/>
        </w:rPr>
        <w:t xml:space="preserve"> </w:t>
      </w:r>
      <w:r>
        <w:rPr>
          <w:rStyle w:val="st"/>
          <w:rFonts w:ascii="Times New Roman" w:hAnsi="Times New Roman"/>
        </w:rPr>
        <w:t>от 15 февруари 2016 г. относно</w:t>
      </w:r>
      <w:r>
        <w:rPr>
          <w:rStyle w:val="st"/>
          <w:rFonts w:ascii="Times New Roman" w:hAnsi="Times New Roman"/>
          <w:i/>
        </w:rPr>
        <w:t xml:space="preserve"> </w:t>
      </w:r>
      <w:r>
        <w:rPr>
          <w:rStyle w:val="Emphasis"/>
          <w:rFonts w:ascii="Times New Roman" w:hAnsi="Times New Roman"/>
          <w:i w:val="0"/>
        </w:rPr>
        <w:t>интеграцията</w:t>
      </w:r>
      <w:r>
        <w:rPr>
          <w:rStyle w:val="st"/>
          <w:rFonts w:ascii="Times New Roman" w:hAnsi="Times New Roman"/>
          <w:i/>
        </w:rPr>
        <w:t xml:space="preserve"> </w:t>
      </w:r>
      <w:r>
        <w:rPr>
          <w:rStyle w:val="st"/>
          <w:rFonts w:ascii="Times New Roman" w:hAnsi="Times New Roman"/>
        </w:rPr>
        <w:t>на</w:t>
      </w:r>
      <w:r>
        <w:rPr>
          <w:rStyle w:val="st"/>
          <w:rFonts w:ascii="Times New Roman" w:hAnsi="Times New Roman"/>
          <w:i/>
        </w:rPr>
        <w:t xml:space="preserve"> </w:t>
      </w:r>
      <w:r>
        <w:rPr>
          <w:rStyle w:val="Emphasis"/>
          <w:rFonts w:ascii="Times New Roman" w:hAnsi="Times New Roman"/>
          <w:i w:val="0"/>
        </w:rPr>
        <w:t>дълготрайно безработните лица</w:t>
      </w:r>
      <w:r>
        <w:rPr>
          <w:rStyle w:val="st"/>
          <w:rFonts w:ascii="Times New Roman" w:hAnsi="Times New Roman"/>
          <w:i/>
        </w:rPr>
        <w:t xml:space="preserve"> </w:t>
      </w:r>
      <w:r>
        <w:rPr>
          <w:rStyle w:val="st"/>
          <w:rFonts w:ascii="Times New Roman" w:hAnsi="Times New Roman"/>
        </w:rPr>
        <w:t>на пазара на труда (2016/C 67/01).</w:t>
      </w:r>
    </w:p>
  </w:footnote>
  <w:footnote w:id="32">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Препоръка на Съвета от 19 декември 2016 г. относно повишаване на уменията: нови възможности за възрастните (2016/C 484/01).</w:t>
      </w:r>
    </w:p>
  </w:footnote>
  <w:footnote w:id="33">
    <w:p>
      <w:pPr>
        <w:pStyle w:val="footnotetext1"/>
        <w:spacing w:after="0" w:line="240" w:lineRule="auto"/>
        <w:ind w:left="284" w:hanging="284"/>
        <w:jc w:val="both"/>
        <w:rPr>
          <w:rFonts w:ascii="Times New Roman" w:eastAsiaTheme="minorHAnsi"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Принцип 7, буква б) от Европейския стълб на социалните права предвижда, че „[п]реди уволнение работниците имат право да бъдат информирани за причините и да получат предизвестие в разумен срок. Те имат право на достъп до ефективно и безпристрастно разрешаване на спорове и, в случай на неоснователно уволнение, правото на правна защита, включително подходящо обезщетение.”</w:t>
      </w:r>
    </w:p>
  </w:footnote>
  <w:footnote w:id="34">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Директива 97/81/EО на Съвета от 15 декември 1997 г. относно Рамково споразумение за работа при непълно работно време, сключено между Съюза на конфедерациите на индустриалците и на работодателите в Европа (UNICE), Европейския център на предприятията с държавно участие (CEEP) и Европейската конфедерация на профсъюзите (ЕКП).</w:t>
      </w:r>
    </w:p>
  </w:footnote>
  <w:footnote w:id="35">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t>Директива 2006/54/ЕО на Европейския парламент и на Съвета от 5 юли 2006 г. за прилагането на принципа на равните възможности и равното третиране на мъжете и жените в областта на заетостта и професиите (преработена).</w:t>
      </w:r>
    </w:p>
  </w:footnote>
  <w:footnote w:id="36">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shd w:val="clear" w:color="auto" w:fill="FFFFFF"/>
        </w:rPr>
        <w:t>Директива 2010/41/ЕC</w:t>
      </w:r>
      <w:r>
        <w:rPr>
          <w:rFonts w:ascii="Times New Roman" w:hAnsi="Times New Roman"/>
        </w:rPr>
        <w:t xml:space="preserve"> на Европейския парламент и на Съвета от 7 юли 2010 г. за прилагане на принципа на равно третиране на мъжете и жените, които извършват дейности в качеството на самостоятелно заети лица, и за отмяна на Директива 86/613/ЕИО на Съвета</w:t>
      </w:r>
      <w:r>
        <w:rPr>
          <w:rFonts w:ascii="Times New Roman" w:hAnsi="Times New Roman"/>
          <w:shd w:val="clear" w:color="auto" w:fill="FFFFFF"/>
        </w:rPr>
        <w:t>.</w:t>
      </w:r>
    </w:p>
  </w:footnote>
  <w:footnote w:id="37">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8" w:history="1">
        <w:r>
          <w:rPr>
            <w:rStyle w:val="Hyperlink"/>
            <w:rFonts w:ascii="Times New Roman" w:hAnsi="Times New Roman"/>
          </w:rPr>
          <w:t>COM (2017) 797</w:t>
        </w:r>
      </w:hyperlink>
      <w:r>
        <w:rPr>
          <w:rStyle w:val="Hyperlink"/>
          <w:rFonts w:ascii="Times New Roman" w:hAnsi="Times New Roman"/>
          <w:color w:val="auto"/>
        </w:rPr>
        <w:t>.</w:t>
      </w:r>
    </w:p>
  </w:footnote>
  <w:footnote w:id="38">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9" w:history="1">
        <w:r>
          <w:rPr>
            <w:rStyle w:val="Hyperlink"/>
            <w:rFonts w:ascii="Times New Roman" w:hAnsi="Times New Roman"/>
          </w:rPr>
          <w:t>COM (2017) 253</w:t>
        </w:r>
      </w:hyperlink>
      <w:r>
        <w:rPr>
          <w:rFonts w:ascii="Times New Roman" w:hAnsi="Times New Roman"/>
        </w:rPr>
        <w:t>.</w:t>
      </w:r>
    </w:p>
  </w:footnote>
  <w:footnote w:id="39">
    <w:p>
      <w:pPr>
        <w:pStyle w:val="footnotetext1"/>
        <w:spacing w:after="0" w:line="240" w:lineRule="auto"/>
        <w:ind w:left="284" w:hanging="284"/>
        <w:jc w:val="both"/>
        <w:rPr>
          <w:rFonts w:ascii="Times New Roman" w:eastAsiaTheme="minorHAnsi"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Принцип 8 от Европейския стълб на социалните права предвижда, следното: „Следва да се провеждат консултации със социалните партньори относно разработването и изпълнението на политиките в областта на икономиката, заетостта и социалните политики в съответствие с националните практики. Те следва да бъдат насърчавани да договарят и сключват колективни споразумения в области от значение за тях, при спазване на тяхната автономност и право на колективни действия. Когато е целесъобразно, сключените между социалните партньори споразумения следва да бъдат прилагани на равнището на Съюза и неговите държави членки. Работниците или техните представители имат право да бъдат информирани и да се иска тяхното мнение своевременно по въпроси от значение за тях, особено във връзка с прехвърлянето, преструктурирането и сливането на предприятия и колективни уволнения. Следва да се насърчава подкрепата за увеличаване на капацитета на социалните партньори с цел да се насърчава социалният диалог.“</w:t>
      </w:r>
    </w:p>
  </w:footnote>
  <w:footnote w:id="40">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Вж. член 153, параграф 5 от ДФЕС, който предвижда, че разпоредбите на член 153 не се прилагат за заплащането, правото на сдружаване, правото на стачка или правото да се налага локаут.</w:t>
      </w:r>
    </w:p>
  </w:footnote>
  <w:footnote w:id="41">
    <w:p>
      <w:pPr>
        <w:pStyle w:val="footnotetext1"/>
        <w:spacing w:after="0" w:line="240" w:lineRule="auto"/>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Някои аспекти на представителството и колективната защита са уредени — в различна степен — чрез специални инструменти, например Директива 2009/38/ЕО за европейския работнически съвет, Директива 2001/23/ЕО относно прехвърлянето на предприятия, Директива 2001/86/ЕО за допълнение на Устава на европейското дружество по отношение на участието на заетите лица, Директива 2003/72/ЕО относно правото на информиране, консултирането и участие на работниците в Европейското кооперативно дружество и Директива (ЕС) 2017/1132 относно някои аспекти на дружественото право.</w:t>
      </w:r>
    </w:p>
  </w:footnote>
  <w:footnote w:id="42">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t xml:space="preserve">Ново начало за социалния диалог — Изявление на председателството на Съвета на Европейския съюз, Европейската комисия и европейските социални партньори, 16 юни 2016 г.; </w:t>
      </w:r>
      <w:hyperlink r:id="rId10" w:history="1">
        <w:r>
          <w:rPr>
            <w:rStyle w:val="Hyperlink"/>
            <w:rFonts w:ascii="Times New Roman" w:hAnsi="Times New Roman"/>
            <w:sz w:val="20"/>
            <w:szCs w:val="20"/>
          </w:rPr>
          <w:t>http://ec.europa.eu/social/BlobServlet?docId=15738&amp;langId=bg</w:t>
        </w:r>
      </w:hyperlink>
    </w:p>
  </w:footnote>
  <w:footnote w:id="43">
    <w:p>
      <w:pPr>
        <w:spacing w:after="0" w:line="240" w:lineRule="auto"/>
        <w:ind w:left="284" w:hanging="284"/>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sz w:val="20"/>
          <w:szCs w:val="20"/>
        </w:rPr>
        <w:tab/>
        <w:t xml:space="preserve">Европейски социален диалог: работна програма за периода 2019—2021 г. (на Европейската конфедерация на профсъюзите (ЕКП), Конфедерацията на европейския бизнес (BusinessEurope), Европейския център на работодателите и предприятията с публично участие и предприятията, предоставящи услуги от общ интерес (CEEP) и Обединени МСП (SMEunited); </w:t>
      </w:r>
      <w:hyperlink r:id="rId11" w:history="1">
        <w:r>
          <w:rPr>
            <w:rStyle w:val="Hyperlink"/>
            <w:rFonts w:ascii="Times New Roman" w:hAnsi="Times New Roman"/>
            <w:sz w:val="20"/>
            <w:szCs w:val="20"/>
          </w:rPr>
          <w:t>https://www.businesseurope.eu/publications/european-social-dialogue-work-programme-2019-2021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2C3D4A"/>
    <w:lvl w:ilvl="0">
      <w:start w:val="1"/>
      <w:numFmt w:val="decimal"/>
      <w:pStyle w:val="HeaderSensitivity"/>
      <w:lvlText w:val="%1."/>
      <w:lvlJc w:val="left"/>
      <w:pPr>
        <w:tabs>
          <w:tab w:val="num" w:pos="-426"/>
        </w:tabs>
        <w:ind w:left="-66" w:hanging="360"/>
      </w:pPr>
      <w:rPr>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1">
    <w:nsid w:val="000E522F"/>
    <w:multiLevelType w:val="hybridMultilevel"/>
    <w:tmpl w:val="A142D218"/>
    <w:lvl w:ilvl="0" w:tplc="2218768E">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14E38CA"/>
    <w:multiLevelType w:val="hybridMultilevel"/>
    <w:tmpl w:val="A07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B811E6"/>
    <w:multiLevelType w:val="hybridMultilevel"/>
    <w:tmpl w:val="9E3E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011271"/>
    <w:multiLevelType w:val="hybridMultilevel"/>
    <w:tmpl w:val="5FBABEC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04BF344E"/>
    <w:multiLevelType w:val="hybridMultilevel"/>
    <w:tmpl w:val="C200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F01D51"/>
    <w:multiLevelType w:val="multilevel"/>
    <w:tmpl w:val="B92C3D4A"/>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5442E33"/>
    <w:multiLevelType w:val="hybridMultilevel"/>
    <w:tmpl w:val="22F8E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57D367B"/>
    <w:multiLevelType w:val="hybridMultilevel"/>
    <w:tmpl w:val="9138B546"/>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802B69"/>
    <w:multiLevelType w:val="hybridMultilevel"/>
    <w:tmpl w:val="1E96E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06E22F44"/>
    <w:multiLevelType w:val="hybridMultilevel"/>
    <w:tmpl w:val="38685914"/>
    <w:lvl w:ilvl="0" w:tplc="366AD0B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73646D4"/>
    <w:multiLevelType w:val="hybridMultilevel"/>
    <w:tmpl w:val="D4C0633A"/>
    <w:lvl w:ilvl="0" w:tplc="3BD25EBC">
      <w:start w:val="7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F828D8"/>
    <w:multiLevelType w:val="hybridMultilevel"/>
    <w:tmpl w:val="6A64E9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0D2E65"/>
    <w:multiLevelType w:val="hybridMultilevel"/>
    <w:tmpl w:val="157C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666FC7"/>
    <w:multiLevelType w:val="hybridMultilevel"/>
    <w:tmpl w:val="D7F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1E7F4D"/>
    <w:multiLevelType w:val="hybridMultilevel"/>
    <w:tmpl w:val="5CDE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D00A6C"/>
    <w:multiLevelType w:val="hybridMultilevel"/>
    <w:tmpl w:val="1B2A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D26FC2"/>
    <w:multiLevelType w:val="hybridMultilevel"/>
    <w:tmpl w:val="622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FF3C3A"/>
    <w:multiLevelType w:val="hybridMultilevel"/>
    <w:tmpl w:val="40C65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1D13636"/>
    <w:multiLevelType w:val="hybridMultilevel"/>
    <w:tmpl w:val="ECECC9AC"/>
    <w:lvl w:ilvl="0" w:tplc="752802B4">
      <w:start w:val="1"/>
      <w:numFmt w:val="low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5D3BC7"/>
    <w:multiLevelType w:val="hybridMultilevel"/>
    <w:tmpl w:val="035AD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12D65C10"/>
    <w:multiLevelType w:val="hybridMultilevel"/>
    <w:tmpl w:val="2CE6C7FE"/>
    <w:lvl w:ilvl="0" w:tplc="0809000B">
      <w:start w:val="1"/>
      <w:numFmt w:val="bullet"/>
      <w:lvlText w:val=""/>
      <w:lvlJc w:val="left"/>
      <w:pPr>
        <w:ind w:left="842" w:hanging="360"/>
      </w:pPr>
      <w:rPr>
        <w:rFonts w:ascii="Wingdings" w:hAnsi="Wingdings"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2">
    <w:nsid w:val="14CA3C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5423C2D"/>
    <w:multiLevelType w:val="hybridMultilevel"/>
    <w:tmpl w:val="AD122B7E"/>
    <w:lvl w:ilvl="0" w:tplc="B39606F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58E1BDF"/>
    <w:multiLevelType w:val="hybridMultilevel"/>
    <w:tmpl w:val="E282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5FF07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7C05BCA"/>
    <w:multiLevelType w:val="hybridMultilevel"/>
    <w:tmpl w:val="6244427E"/>
    <w:lvl w:ilvl="0" w:tplc="46349112">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7">
    <w:nsid w:val="188C759D"/>
    <w:multiLevelType w:val="hybridMultilevel"/>
    <w:tmpl w:val="19D0AD76"/>
    <w:lvl w:ilvl="0" w:tplc="8A320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AD335A7"/>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29">
    <w:nsid w:val="1B5E2B70"/>
    <w:multiLevelType w:val="multilevel"/>
    <w:tmpl w:val="48C2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924753"/>
    <w:multiLevelType w:val="hybridMultilevel"/>
    <w:tmpl w:val="E122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AF2F6E"/>
    <w:multiLevelType w:val="hybridMultilevel"/>
    <w:tmpl w:val="9440D7B4"/>
    <w:lvl w:ilvl="0" w:tplc="0809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1CB33420"/>
    <w:multiLevelType w:val="hybridMultilevel"/>
    <w:tmpl w:val="F0F472AA"/>
    <w:lvl w:ilvl="0" w:tplc="46349112">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3">
    <w:nsid w:val="1DAB62C8"/>
    <w:multiLevelType w:val="hybridMultilevel"/>
    <w:tmpl w:val="FF1A36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1DAF67DF"/>
    <w:multiLevelType w:val="multilevel"/>
    <w:tmpl w:val="3A60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F0E20ED"/>
    <w:multiLevelType w:val="hybridMultilevel"/>
    <w:tmpl w:val="3184E7BC"/>
    <w:lvl w:ilvl="0" w:tplc="7FFA41EA">
      <w:start w:val="16"/>
      <w:numFmt w:val="bullet"/>
      <w:lvlText w:val=""/>
      <w:lvlJc w:val="left"/>
      <w:pPr>
        <w:ind w:left="1080" w:hanging="360"/>
      </w:pPr>
      <w:rPr>
        <w:rFonts w:ascii="Wingdings" w:eastAsia="Calibri" w:hAnsi="Wingdings" w:cs="Calibr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36">
    <w:nsid w:val="1FD032EE"/>
    <w:multiLevelType w:val="multilevel"/>
    <w:tmpl w:val="B92C3D4A"/>
    <w:lvl w:ilvl="0">
      <w:start w:val="1"/>
      <w:numFmt w:val="decimal"/>
      <w:lvlText w:val="%1."/>
      <w:lvlJc w:val="left"/>
      <w:pPr>
        <w:tabs>
          <w:tab w:val="num" w:pos="-426"/>
        </w:tabs>
        <w:ind w:left="-66" w:hanging="360"/>
      </w:pPr>
      <w:rPr>
        <w:rFonts w:hint="default"/>
        <w:b/>
      </w:rPr>
    </w:lvl>
    <w:lvl w:ilvl="1">
      <w:start w:val="1"/>
      <w:numFmt w:val="decimal"/>
      <w:lvlText w:val="%1.%2."/>
      <w:lvlJc w:val="left"/>
      <w:pPr>
        <w:tabs>
          <w:tab w:val="num" w:pos="-426"/>
        </w:tabs>
        <w:ind w:left="36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7">
    <w:nsid w:val="202C696B"/>
    <w:multiLevelType w:val="hybridMultilevel"/>
    <w:tmpl w:val="1AC6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07C7A6F"/>
    <w:multiLevelType w:val="hybridMultilevel"/>
    <w:tmpl w:val="5AB8C792"/>
    <w:lvl w:ilvl="0" w:tplc="FF24D428">
      <w:start w:val="1"/>
      <w:numFmt w:val="bullet"/>
      <w:lvlText w:val=""/>
      <w:lvlJc w:val="left"/>
      <w:pPr>
        <w:ind w:left="680" w:hanging="623"/>
      </w:pPr>
      <w:rPr>
        <w:rFonts w:ascii="Symbol" w:hAnsi="Symbol" w:hint="default"/>
      </w:rPr>
    </w:lvl>
    <w:lvl w:ilvl="1" w:tplc="342E3E38">
      <w:start w:val="1"/>
      <w:numFmt w:val="lowerRoman"/>
      <w:lvlText w:val="%2."/>
      <w:lvlJc w:val="right"/>
      <w:pPr>
        <w:ind w:left="907" w:hanging="113"/>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21F736FE"/>
    <w:multiLevelType w:val="hybridMultilevel"/>
    <w:tmpl w:val="CF6C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21B1E2B"/>
    <w:multiLevelType w:val="multilevel"/>
    <w:tmpl w:val="F8F8C7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229903CD"/>
    <w:multiLevelType w:val="hybridMultilevel"/>
    <w:tmpl w:val="37C61FBE"/>
    <w:lvl w:ilvl="0" w:tplc="FEF00438">
      <w:start w:val="4"/>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2472534D"/>
    <w:multiLevelType w:val="multilevel"/>
    <w:tmpl w:val="0036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26937E80"/>
    <w:multiLevelType w:val="hybridMultilevel"/>
    <w:tmpl w:val="5D9EDA26"/>
    <w:lvl w:ilvl="0" w:tplc="CA9AEB32">
      <w:start w:val="1"/>
      <w:numFmt w:val="decimal"/>
      <w:lvlText w:val="%1."/>
      <w:lvlJc w:val="left"/>
      <w:pPr>
        <w:ind w:left="397"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80A5011"/>
    <w:multiLevelType w:val="multilevel"/>
    <w:tmpl w:val="CB4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007555"/>
    <w:multiLevelType w:val="hybridMultilevel"/>
    <w:tmpl w:val="E5CC52B6"/>
    <w:lvl w:ilvl="0" w:tplc="080C000F">
      <w:start w:val="1"/>
      <w:numFmt w:val="decimal"/>
      <w:lvlText w:val="%1."/>
      <w:lvlJc w:val="left"/>
      <w:pPr>
        <w:ind w:left="2487" w:hanging="360"/>
      </w:pPr>
      <w:rPr>
        <w:rFonts w:hint="default"/>
      </w:rPr>
    </w:lvl>
    <w:lvl w:ilvl="1" w:tplc="080C0019">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46">
    <w:nsid w:val="2AC20B5D"/>
    <w:multiLevelType w:val="hybridMultilevel"/>
    <w:tmpl w:val="7F3E0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2B73155C"/>
    <w:multiLevelType w:val="hybridMultilevel"/>
    <w:tmpl w:val="09CC3BF6"/>
    <w:lvl w:ilvl="0" w:tplc="7EE8F58E">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C3E1182"/>
    <w:multiLevelType w:val="hybridMultilevel"/>
    <w:tmpl w:val="D39CB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2F000002"/>
    <w:multiLevelType w:val="hybridMultilevel"/>
    <w:tmpl w:val="4F5BD66C"/>
    <w:lvl w:ilvl="0" w:tplc="04267A48">
      <w:start w:val="1"/>
      <w:numFmt w:val="decimal"/>
      <w:lvlText w:val="%1."/>
      <w:lvlJc w:val="left"/>
      <w:pPr>
        <w:ind w:left="720" w:hanging="360"/>
        <w:jc w:val="both"/>
      </w:pPr>
    </w:lvl>
    <w:lvl w:ilvl="1" w:tplc="AA4A7F32">
      <w:start w:val="1"/>
      <w:numFmt w:val="lowerLetter"/>
      <w:lvlText w:val="%2."/>
      <w:lvlJc w:val="left"/>
      <w:pPr>
        <w:ind w:left="1440" w:hanging="360"/>
        <w:jc w:val="both"/>
      </w:pPr>
    </w:lvl>
    <w:lvl w:ilvl="2" w:tplc="13BC7BC8">
      <w:start w:val="1"/>
      <w:numFmt w:val="lowerRoman"/>
      <w:lvlText w:val="%3."/>
      <w:lvlJc w:val="right"/>
      <w:pPr>
        <w:ind w:left="2160" w:hanging="180"/>
        <w:jc w:val="both"/>
      </w:pPr>
    </w:lvl>
    <w:lvl w:ilvl="3" w:tplc="3F9E1A52">
      <w:start w:val="1"/>
      <w:numFmt w:val="decimal"/>
      <w:lvlText w:val="%4."/>
      <w:lvlJc w:val="left"/>
      <w:pPr>
        <w:ind w:left="2880" w:hanging="360"/>
        <w:jc w:val="both"/>
      </w:pPr>
    </w:lvl>
    <w:lvl w:ilvl="4" w:tplc="2484438E">
      <w:start w:val="1"/>
      <w:numFmt w:val="lowerLetter"/>
      <w:lvlText w:val="%5."/>
      <w:lvlJc w:val="left"/>
      <w:pPr>
        <w:ind w:left="3600" w:hanging="360"/>
        <w:jc w:val="both"/>
      </w:pPr>
    </w:lvl>
    <w:lvl w:ilvl="5" w:tplc="FED86B08">
      <w:start w:val="1"/>
      <w:numFmt w:val="lowerRoman"/>
      <w:lvlText w:val="%6."/>
      <w:lvlJc w:val="right"/>
      <w:pPr>
        <w:ind w:left="4320" w:hanging="180"/>
        <w:jc w:val="both"/>
      </w:pPr>
    </w:lvl>
    <w:lvl w:ilvl="6" w:tplc="9FA4E3E8">
      <w:start w:val="1"/>
      <w:numFmt w:val="decimal"/>
      <w:lvlText w:val="%7."/>
      <w:lvlJc w:val="left"/>
      <w:pPr>
        <w:ind w:left="5040" w:hanging="360"/>
        <w:jc w:val="both"/>
      </w:pPr>
    </w:lvl>
    <w:lvl w:ilvl="7" w:tplc="CA746D0A">
      <w:start w:val="1"/>
      <w:numFmt w:val="lowerLetter"/>
      <w:lvlText w:val="%8."/>
      <w:lvlJc w:val="left"/>
      <w:pPr>
        <w:ind w:left="5760" w:hanging="360"/>
        <w:jc w:val="both"/>
      </w:pPr>
    </w:lvl>
    <w:lvl w:ilvl="8" w:tplc="850EE298">
      <w:start w:val="1"/>
      <w:numFmt w:val="lowerRoman"/>
      <w:lvlText w:val="%9."/>
      <w:lvlJc w:val="right"/>
      <w:pPr>
        <w:ind w:left="6480" w:hanging="180"/>
        <w:jc w:val="both"/>
      </w:pPr>
    </w:lvl>
  </w:abstractNum>
  <w:abstractNum w:abstractNumId="51">
    <w:nsid w:val="2F000004"/>
    <w:multiLevelType w:val="hybridMultilevel"/>
    <w:tmpl w:val="4118DBC1"/>
    <w:lvl w:ilvl="0" w:tplc="3DAECFF8">
      <w:start w:val="1"/>
      <w:numFmt w:val="decimal"/>
      <w:lvlText w:val="%1."/>
      <w:lvlJc w:val="left"/>
      <w:pPr>
        <w:ind w:left="720" w:hanging="360"/>
        <w:jc w:val="both"/>
      </w:pPr>
    </w:lvl>
    <w:lvl w:ilvl="1" w:tplc="DAFEFFD6">
      <w:start w:val="1"/>
      <w:numFmt w:val="decimal"/>
      <w:lvlText w:val="2.%2"/>
      <w:lvlJc w:val="left"/>
      <w:pPr>
        <w:ind w:left="1440" w:hanging="360"/>
        <w:jc w:val="both"/>
      </w:pPr>
      <w:rPr>
        <w:b w:val="0"/>
        <w:w w:val="100"/>
        <w:sz w:val="20"/>
        <w:szCs w:val="20"/>
        <w:shd w:val="clear" w:color="auto" w:fill="auto"/>
      </w:rPr>
    </w:lvl>
    <w:lvl w:ilvl="2" w:tplc="4E14DF98">
      <w:start w:val="1"/>
      <w:numFmt w:val="lowerRoman"/>
      <w:lvlText w:val="%3."/>
      <w:lvlJc w:val="right"/>
      <w:pPr>
        <w:ind w:left="2160" w:hanging="180"/>
        <w:jc w:val="both"/>
      </w:pPr>
    </w:lvl>
    <w:lvl w:ilvl="3" w:tplc="69DEEEFE">
      <w:start w:val="1"/>
      <w:numFmt w:val="decimal"/>
      <w:lvlText w:val="%4."/>
      <w:lvlJc w:val="left"/>
      <w:pPr>
        <w:ind w:left="2880" w:hanging="360"/>
        <w:jc w:val="both"/>
      </w:pPr>
    </w:lvl>
    <w:lvl w:ilvl="4" w:tplc="09BE224E">
      <w:start w:val="1"/>
      <w:numFmt w:val="lowerLetter"/>
      <w:lvlText w:val="%5."/>
      <w:lvlJc w:val="left"/>
      <w:pPr>
        <w:ind w:left="3600" w:hanging="360"/>
        <w:jc w:val="both"/>
      </w:pPr>
    </w:lvl>
    <w:lvl w:ilvl="5" w:tplc="4D4609CC">
      <w:start w:val="1"/>
      <w:numFmt w:val="lowerRoman"/>
      <w:lvlText w:val="%6."/>
      <w:lvlJc w:val="right"/>
      <w:pPr>
        <w:ind w:left="4320" w:hanging="180"/>
        <w:jc w:val="both"/>
      </w:pPr>
    </w:lvl>
    <w:lvl w:ilvl="6" w:tplc="39AA9914">
      <w:start w:val="1"/>
      <w:numFmt w:val="decimal"/>
      <w:lvlText w:val="%7."/>
      <w:lvlJc w:val="left"/>
      <w:pPr>
        <w:ind w:left="5040" w:hanging="360"/>
        <w:jc w:val="both"/>
      </w:pPr>
    </w:lvl>
    <w:lvl w:ilvl="7" w:tplc="2292B080">
      <w:start w:val="1"/>
      <w:numFmt w:val="lowerLetter"/>
      <w:lvlText w:val="%8."/>
      <w:lvlJc w:val="left"/>
      <w:pPr>
        <w:ind w:left="5760" w:hanging="360"/>
        <w:jc w:val="both"/>
      </w:pPr>
    </w:lvl>
    <w:lvl w:ilvl="8" w:tplc="A718E7E8">
      <w:start w:val="1"/>
      <w:numFmt w:val="lowerRoman"/>
      <w:lvlText w:val="%9."/>
      <w:lvlJc w:val="right"/>
      <w:pPr>
        <w:ind w:left="6480" w:hanging="180"/>
        <w:jc w:val="both"/>
      </w:pPr>
    </w:lvl>
  </w:abstractNum>
  <w:abstractNum w:abstractNumId="52">
    <w:nsid w:val="2F5D3C31"/>
    <w:multiLevelType w:val="hybridMultilevel"/>
    <w:tmpl w:val="D958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2F877928"/>
    <w:multiLevelType w:val="hybridMultilevel"/>
    <w:tmpl w:val="80B055CE"/>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4">
    <w:nsid w:val="3102497D"/>
    <w:multiLevelType w:val="hybridMultilevel"/>
    <w:tmpl w:val="EB8AC5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31FF31E4"/>
    <w:multiLevelType w:val="hybridMultilevel"/>
    <w:tmpl w:val="B9881FCA"/>
    <w:lvl w:ilvl="0" w:tplc="08090001">
      <w:start w:val="1"/>
      <w:numFmt w:val="bullet"/>
      <w:lvlText w:val=""/>
      <w:lvlJc w:val="left"/>
      <w:pPr>
        <w:ind w:left="720" w:hanging="360"/>
      </w:pPr>
      <w:rPr>
        <w:rFonts w:ascii="Symbol" w:hAnsi="Symbol" w:hint="default"/>
      </w:rPr>
    </w:lvl>
    <w:lvl w:ilvl="1" w:tplc="DEECAEA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32A1E2A"/>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32B302C"/>
    <w:multiLevelType w:val="hybridMultilevel"/>
    <w:tmpl w:val="AF9A16BC"/>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5E26544"/>
    <w:multiLevelType w:val="hybridMultilevel"/>
    <w:tmpl w:val="DB421648"/>
    <w:lvl w:ilvl="0" w:tplc="5FCCB142">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6B877EA"/>
    <w:multiLevelType w:val="hybridMultilevel"/>
    <w:tmpl w:val="568C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9B40091"/>
    <w:multiLevelType w:val="hybridMultilevel"/>
    <w:tmpl w:val="C6F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A300684"/>
    <w:multiLevelType w:val="hybridMultilevel"/>
    <w:tmpl w:val="6490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A3C3D2A"/>
    <w:multiLevelType w:val="hybridMultilevel"/>
    <w:tmpl w:val="2FF421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nsid w:val="3B613782"/>
    <w:multiLevelType w:val="hybridMultilevel"/>
    <w:tmpl w:val="8800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C2057F0"/>
    <w:multiLevelType w:val="hybridMultilevel"/>
    <w:tmpl w:val="C64E2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3E521C32"/>
    <w:multiLevelType w:val="hybridMultilevel"/>
    <w:tmpl w:val="BC1A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F986FB3"/>
    <w:multiLevelType w:val="hybridMultilevel"/>
    <w:tmpl w:val="E5C8B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3FA85E85"/>
    <w:multiLevelType w:val="hybridMultilevel"/>
    <w:tmpl w:val="A9106D0A"/>
    <w:lvl w:ilvl="0" w:tplc="FF24D428">
      <w:start w:val="1"/>
      <w:numFmt w:val="bullet"/>
      <w:lvlText w:val=""/>
      <w:lvlJc w:val="left"/>
      <w:pPr>
        <w:ind w:left="680" w:hanging="623"/>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40751A2A"/>
    <w:multiLevelType w:val="hybridMultilevel"/>
    <w:tmpl w:val="C51C3B6C"/>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9">
    <w:nsid w:val="40761E77"/>
    <w:multiLevelType w:val="hybridMultilevel"/>
    <w:tmpl w:val="13781EC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0">
    <w:nsid w:val="408B512E"/>
    <w:multiLevelType w:val="hybridMultilevel"/>
    <w:tmpl w:val="255E1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2C5505B"/>
    <w:multiLevelType w:val="hybridMultilevel"/>
    <w:tmpl w:val="09BE057C"/>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3A7133A"/>
    <w:multiLevelType w:val="hybridMultilevel"/>
    <w:tmpl w:val="98F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3FC540A"/>
    <w:multiLevelType w:val="hybridMultilevel"/>
    <w:tmpl w:val="9456348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4">
    <w:nsid w:val="448032F0"/>
    <w:multiLevelType w:val="hybridMultilevel"/>
    <w:tmpl w:val="40846AE6"/>
    <w:lvl w:ilvl="0" w:tplc="080C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4A22C5B"/>
    <w:multiLevelType w:val="hybridMultilevel"/>
    <w:tmpl w:val="926A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4E725C9"/>
    <w:multiLevelType w:val="hybridMultilevel"/>
    <w:tmpl w:val="B8AA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6BA1F41"/>
    <w:multiLevelType w:val="hybridMultilevel"/>
    <w:tmpl w:val="2AFEC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8D2721D"/>
    <w:multiLevelType w:val="hybridMultilevel"/>
    <w:tmpl w:val="CCF4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B595FF9"/>
    <w:multiLevelType w:val="hybridMultilevel"/>
    <w:tmpl w:val="C98EE8F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0">
    <w:nsid w:val="4CB21D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4D061850"/>
    <w:multiLevelType w:val="hybridMultilevel"/>
    <w:tmpl w:val="CCC2C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nsid w:val="4D1D22F7"/>
    <w:multiLevelType w:val="hybridMultilevel"/>
    <w:tmpl w:val="9196C0A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3411C50"/>
    <w:multiLevelType w:val="hybridMultilevel"/>
    <w:tmpl w:val="C8CC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38E8FFD"/>
    <w:multiLevelType w:val="hybridMultilevel"/>
    <w:tmpl w:val="7B4FA7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5399575F"/>
    <w:multiLevelType w:val="hybridMultilevel"/>
    <w:tmpl w:val="7B5628EC"/>
    <w:lvl w:ilvl="0" w:tplc="1C900470">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540913E9"/>
    <w:multiLevelType w:val="hybridMultilevel"/>
    <w:tmpl w:val="FE662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4FC1A34"/>
    <w:multiLevelType w:val="hybridMultilevel"/>
    <w:tmpl w:val="044AE1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55030F7F"/>
    <w:multiLevelType w:val="hybridMultilevel"/>
    <w:tmpl w:val="615E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61371E6"/>
    <w:multiLevelType w:val="hybridMultilevel"/>
    <w:tmpl w:val="B542345E"/>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0">
    <w:nsid w:val="56E425AF"/>
    <w:multiLevelType w:val="hybridMultilevel"/>
    <w:tmpl w:val="C9D69510"/>
    <w:lvl w:ilvl="0" w:tplc="080C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A425FC7"/>
    <w:multiLevelType w:val="hybridMultilevel"/>
    <w:tmpl w:val="D6FADA24"/>
    <w:lvl w:ilvl="0" w:tplc="58345FEA">
      <w:start w:val="1"/>
      <w:numFmt w:val="lowerRoman"/>
      <w:lvlText w:val="%1."/>
      <w:lvlJc w:val="righ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5B603910"/>
    <w:multiLevelType w:val="hybridMultilevel"/>
    <w:tmpl w:val="BA7C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D0C52F4"/>
    <w:multiLevelType w:val="hybridMultilevel"/>
    <w:tmpl w:val="02E8C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nsid w:val="5D1819F0"/>
    <w:multiLevelType w:val="hybridMultilevel"/>
    <w:tmpl w:val="03982196"/>
    <w:lvl w:ilvl="0" w:tplc="FC22344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DC51A24"/>
    <w:multiLevelType w:val="multilevel"/>
    <w:tmpl w:val="14B83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5E8E3E1D"/>
    <w:multiLevelType w:val="multilevel"/>
    <w:tmpl w:val="8A2C3AA4"/>
    <w:lvl w:ilvl="0">
      <w:start w:val="1"/>
      <w:numFmt w:val="decimal"/>
      <w:lvlText w:val="%1)"/>
      <w:lvlJc w:val="left"/>
      <w:pPr>
        <w:ind w:left="360" w:hanging="360"/>
      </w:pPr>
    </w:lvl>
    <w:lvl w:ilvl="1">
      <w:start w:val="1"/>
      <mc:AlternateContent>
        <mc:Choice Requires="w14">
          <w:numFmt w:val="custom" w:format="а, й, к, ..."/>
        </mc:Choice>
        <mc:Fallback>
          <w:numFmt w:val="decimal"/>
        </mc:Fallback>
      </mc:AlternateContent>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5EC154ED"/>
    <w:multiLevelType w:val="hybridMultilevel"/>
    <w:tmpl w:val="DEAE7D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FF91DED"/>
    <w:multiLevelType w:val="hybridMultilevel"/>
    <w:tmpl w:val="9FE6A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604F0577"/>
    <w:multiLevelType w:val="hybridMultilevel"/>
    <w:tmpl w:val="B8AE9F92"/>
    <w:lvl w:ilvl="0" w:tplc="4D08A1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06546DA"/>
    <w:multiLevelType w:val="hybridMultilevel"/>
    <w:tmpl w:val="CC2EB3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1706086"/>
    <w:multiLevelType w:val="hybridMultilevel"/>
    <w:tmpl w:val="860C1C10"/>
    <w:lvl w:ilvl="0" w:tplc="4634911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2">
    <w:nsid w:val="62F82270"/>
    <w:multiLevelType w:val="hybridMultilevel"/>
    <w:tmpl w:val="30442F0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3AA2A91"/>
    <w:multiLevelType w:val="hybridMultilevel"/>
    <w:tmpl w:val="0AFA6306"/>
    <w:lvl w:ilvl="0" w:tplc="0809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4">
    <w:nsid w:val="65D028BC"/>
    <w:multiLevelType w:val="hybridMultilevel"/>
    <w:tmpl w:val="E974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740587F"/>
    <w:multiLevelType w:val="hybridMultilevel"/>
    <w:tmpl w:val="5CF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76C5C39"/>
    <w:multiLevelType w:val="hybridMultilevel"/>
    <w:tmpl w:val="351037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83D3690"/>
    <w:multiLevelType w:val="hybridMultilevel"/>
    <w:tmpl w:val="DB388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9AB0946"/>
    <w:multiLevelType w:val="hybridMultilevel"/>
    <w:tmpl w:val="01C2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6DFB13C4"/>
    <w:multiLevelType w:val="hybridMultilevel"/>
    <w:tmpl w:val="07F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FA965AB"/>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727533C7"/>
    <w:multiLevelType w:val="hybridMultilevel"/>
    <w:tmpl w:val="0F126F9A"/>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30E3C07"/>
    <w:multiLevelType w:val="hybridMultilevel"/>
    <w:tmpl w:val="6DD64974"/>
    <w:lvl w:ilvl="0" w:tplc="6F82264A">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3">
    <w:nsid w:val="73B703DB"/>
    <w:multiLevelType w:val="hybridMultilevel"/>
    <w:tmpl w:val="406C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4CF6B7B"/>
    <w:multiLevelType w:val="hybridMultilevel"/>
    <w:tmpl w:val="E5CC52B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5">
    <w:nsid w:val="74D55AF9"/>
    <w:multiLevelType w:val="hybridMultilevel"/>
    <w:tmpl w:val="AD7E6B2A"/>
    <w:lvl w:ilvl="0" w:tplc="46349112">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6">
    <w:nsid w:val="761C677B"/>
    <w:multiLevelType w:val="hybridMultilevel"/>
    <w:tmpl w:val="C7BA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67D6058"/>
    <w:multiLevelType w:val="hybridMultilevel"/>
    <w:tmpl w:val="ABD2484A"/>
    <w:lvl w:ilvl="0" w:tplc="4B6851D8">
      <w:start w:val="3"/>
      <w:numFmt w:val="bullet"/>
      <w:lvlText w:val="-"/>
      <w:lvlJc w:val="left"/>
      <w:pPr>
        <w:ind w:left="720" w:hanging="360"/>
      </w:pPr>
      <w:rPr>
        <w:rFonts w:ascii="Times New Roman" w:eastAsiaTheme="minorHAnsi" w:hAnsi="Times New Roman" w:cs="Times New Roman" w:hint="default"/>
        <w:b w:val="0"/>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7956B05"/>
    <w:multiLevelType w:val="multilevel"/>
    <w:tmpl w:val="08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77B3642C"/>
    <w:multiLevelType w:val="hybridMultilevel"/>
    <w:tmpl w:val="69240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8AE02E9"/>
    <w:multiLevelType w:val="hybridMultilevel"/>
    <w:tmpl w:val="673AADF6"/>
    <w:lvl w:ilvl="0" w:tplc="8F74E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9C664FA"/>
    <w:multiLevelType w:val="hybridMultilevel"/>
    <w:tmpl w:val="241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D033B82"/>
    <w:multiLevelType w:val="hybridMultilevel"/>
    <w:tmpl w:val="586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D556E7A"/>
    <w:multiLevelType w:val="hybridMultilevel"/>
    <w:tmpl w:val="FD98557E"/>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7E7E7B56"/>
    <w:multiLevelType w:val="hybridMultilevel"/>
    <w:tmpl w:val="B92EB9FE"/>
    <w:lvl w:ilvl="0" w:tplc="7714AFD2">
      <w:start w:val="1"/>
      <w:numFmt w:val="bullet"/>
      <w:lvlText w:val="-"/>
      <w:lvlJc w:val="left"/>
      <w:pPr>
        <w:ind w:left="720" w:hanging="360"/>
      </w:pPr>
      <w:rPr>
        <w:rFonts w:ascii="Times New Roman" w:eastAsia="Calibri" w:hAnsi="Times New Roman" w:cs="Times New Roman" w:hint="default"/>
        <w:color w:val="0000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5">
    <w:nsid w:val="7F0B2E71"/>
    <w:multiLevelType w:val="hybridMultilevel"/>
    <w:tmpl w:val="AA8C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109"/>
  </w:num>
  <w:num w:numId="5">
    <w:abstractNumId w:val="72"/>
  </w:num>
  <w:num w:numId="6">
    <w:abstractNumId w:val="87"/>
  </w:num>
  <w:num w:numId="7">
    <w:abstractNumId w:val="85"/>
  </w:num>
  <w:num w:numId="8">
    <w:abstractNumId w:val="110"/>
  </w:num>
  <w:num w:numId="9">
    <w:abstractNumId w:val="102"/>
  </w:num>
  <w:num w:numId="10">
    <w:abstractNumId w:val="117"/>
  </w:num>
  <w:num w:numId="11">
    <w:abstractNumId w:val="41"/>
  </w:num>
  <w:num w:numId="12">
    <w:abstractNumId w:val="66"/>
  </w:num>
  <w:num w:numId="13">
    <w:abstractNumId w:val="105"/>
  </w:num>
  <w:num w:numId="14">
    <w:abstractNumId w:val="10"/>
  </w:num>
  <w:num w:numId="15">
    <w:abstractNumId w:val="114"/>
  </w:num>
  <w:num w:numId="16">
    <w:abstractNumId w:val="112"/>
  </w:num>
  <w:num w:numId="17">
    <w:abstractNumId w:val="47"/>
  </w:num>
  <w:num w:numId="18">
    <w:abstractNumId w:val="65"/>
  </w:num>
  <w:num w:numId="19">
    <w:abstractNumId w:val="16"/>
  </w:num>
  <w:num w:numId="20">
    <w:abstractNumId w:val="62"/>
  </w:num>
  <w:num w:numId="21">
    <w:abstractNumId w:val="86"/>
  </w:num>
  <w:num w:numId="22">
    <w:abstractNumId w:val="12"/>
  </w:num>
  <w:num w:numId="23">
    <w:abstractNumId w:val="104"/>
  </w:num>
  <w:num w:numId="24">
    <w:abstractNumId w:val="14"/>
  </w:num>
  <w:num w:numId="25">
    <w:abstractNumId w:val="5"/>
  </w:num>
  <w:num w:numId="26">
    <w:abstractNumId w:val="43"/>
  </w:num>
  <w:num w:numId="27">
    <w:abstractNumId w:val="67"/>
  </w:num>
  <w:num w:numId="28">
    <w:abstractNumId w:val="38"/>
  </w:num>
  <w:num w:numId="29">
    <w:abstractNumId w:val="53"/>
  </w:num>
  <w:num w:numId="30">
    <w:abstractNumId w:val="98"/>
  </w:num>
  <w:num w:numId="31">
    <w:abstractNumId w:val="36"/>
  </w:num>
  <w:num w:numId="32">
    <w:abstractNumId w:val="34"/>
  </w:num>
  <w:num w:numId="33">
    <w:abstractNumId w:val="74"/>
  </w:num>
  <w:num w:numId="34">
    <w:abstractNumId w:val="94"/>
  </w:num>
  <w:num w:numId="35">
    <w:abstractNumId w:val="71"/>
  </w:num>
  <w:num w:numId="36">
    <w:abstractNumId w:val="77"/>
  </w:num>
  <w:num w:numId="37">
    <w:abstractNumId w:val="125"/>
  </w:num>
  <w:num w:numId="38">
    <w:abstractNumId w:val="122"/>
  </w:num>
  <w:num w:numId="39">
    <w:abstractNumId w:val="61"/>
  </w:num>
  <w:num w:numId="40">
    <w:abstractNumId w:val="11"/>
  </w:num>
  <w:num w:numId="41">
    <w:abstractNumId w:val="83"/>
  </w:num>
  <w:num w:numId="42">
    <w:abstractNumId w:val="24"/>
  </w:num>
  <w:num w:numId="43">
    <w:abstractNumId w:val="60"/>
  </w:num>
  <w:num w:numId="44">
    <w:abstractNumId w:val="108"/>
  </w:num>
  <w:num w:numId="45">
    <w:abstractNumId w:val="64"/>
  </w:num>
  <w:num w:numId="46">
    <w:abstractNumId w:val="88"/>
  </w:num>
  <w:num w:numId="47">
    <w:abstractNumId w:val="90"/>
  </w:num>
  <w:num w:numId="48">
    <w:abstractNumId w:val="116"/>
  </w:num>
  <w:num w:numId="49">
    <w:abstractNumId w:val="33"/>
  </w:num>
  <w:num w:numId="50">
    <w:abstractNumId w:val="56"/>
  </w:num>
  <w:num w:numId="51">
    <w:abstractNumId w:val="50"/>
  </w:num>
  <w:num w:numId="52">
    <w:abstractNumId w:val="51"/>
  </w:num>
  <w:num w:numId="53">
    <w:abstractNumId w:val="121"/>
  </w:num>
  <w:num w:numId="54">
    <w:abstractNumId w:val="63"/>
  </w:num>
  <w:num w:numId="55">
    <w:abstractNumId w:val="1"/>
  </w:num>
  <w:num w:numId="56">
    <w:abstractNumId w:val="23"/>
  </w:num>
  <w:num w:numId="57">
    <w:abstractNumId w:val="20"/>
  </w:num>
  <w:num w:numId="58">
    <w:abstractNumId w:val="81"/>
  </w:num>
  <w:num w:numId="59">
    <w:abstractNumId w:val="58"/>
  </w:num>
  <w:num w:numId="60">
    <w:abstractNumId w:val="15"/>
  </w:num>
  <w:num w:numId="61">
    <w:abstractNumId w:val="55"/>
  </w:num>
  <w:num w:numId="62">
    <w:abstractNumId w:val="37"/>
  </w:num>
  <w:num w:numId="63">
    <w:abstractNumId w:val="113"/>
  </w:num>
  <w:num w:numId="64">
    <w:abstractNumId w:val="119"/>
  </w:num>
  <w:num w:numId="65">
    <w:abstractNumId w:val="45"/>
  </w:num>
  <w:num w:numId="66">
    <w:abstractNumId w:val="19"/>
  </w:num>
  <w:num w:numId="67">
    <w:abstractNumId w:val="75"/>
  </w:num>
  <w:num w:numId="68">
    <w:abstractNumId w:val="49"/>
  </w:num>
  <w:num w:numId="69">
    <w:abstractNumId w:val="84"/>
  </w:num>
  <w:num w:numId="70">
    <w:abstractNumId w:val="95"/>
  </w:num>
  <w:num w:numId="71">
    <w:abstractNumId w:val="42"/>
  </w:num>
  <w:num w:numId="72">
    <w:abstractNumId w:val="40"/>
  </w:num>
  <w:num w:numId="73">
    <w:abstractNumId w:val="59"/>
  </w:num>
  <w:num w:numId="74">
    <w:abstractNumId w:val="28"/>
  </w:num>
  <w:num w:numId="75">
    <w:abstractNumId w:val="7"/>
  </w:num>
  <w:num w:numId="76">
    <w:abstractNumId w:val="46"/>
  </w:num>
  <w:num w:numId="77">
    <w:abstractNumId w:val="48"/>
  </w:num>
  <w:num w:numId="78">
    <w:abstractNumId w:val="6"/>
  </w:num>
  <w:num w:numId="79">
    <w:abstractNumId w:val="96"/>
  </w:num>
  <w:num w:numId="80">
    <w:abstractNumId w:val="22"/>
  </w:num>
  <w:num w:numId="81">
    <w:abstractNumId w:val="76"/>
  </w:num>
  <w:num w:numId="82">
    <w:abstractNumId w:val="25"/>
  </w:num>
  <w:num w:numId="83">
    <w:abstractNumId w:val="13"/>
  </w:num>
  <w:num w:numId="84">
    <w:abstractNumId w:val="99"/>
  </w:num>
  <w:num w:numId="85">
    <w:abstractNumId w:val="92"/>
  </w:num>
  <w:num w:numId="86">
    <w:abstractNumId w:val="29"/>
  </w:num>
  <w:num w:numId="87">
    <w:abstractNumId w:val="44"/>
  </w:num>
  <w:num w:numId="88">
    <w:abstractNumId w:val="78"/>
  </w:num>
  <w:num w:numId="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num>
  <w:num w:numId="91">
    <w:abstractNumId w:val="18"/>
  </w:num>
  <w:num w:numId="92">
    <w:abstractNumId w:val="97"/>
  </w:num>
  <w:num w:numId="93">
    <w:abstractNumId w:val="106"/>
  </w:num>
  <w:num w:numId="94">
    <w:abstractNumId w:val="107"/>
  </w:num>
  <w:num w:numId="95">
    <w:abstractNumId w:val="9"/>
  </w:num>
  <w:num w:numId="96">
    <w:abstractNumId w:val="52"/>
  </w:num>
  <w:num w:numId="97">
    <w:abstractNumId w:val="93"/>
  </w:num>
  <w:num w:numId="98">
    <w:abstractNumId w:val="39"/>
  </w:num>
  <w:num w:numId="99">
    <w:abstractNumId w:val="30"/>
  </w:num>
  <w:num w:numId="100">
    <w:abstractNumId w:val="79"/>
  </w:num>
  <w:num w:numId="101">
    <w:abstractNumId w:val="80"/>
  </w:num>
  <w:num w:numId="102">
    <w:abstractNumId w:val="54"/>
  </w:num>
  <w:num w:numId="103">
    <w:abstractNumId w:val="100"/>
  </w:num>
  <w:num w:numId="104">
    <w:abstractNumId w:val="73"/>
  </w:num>
  <w:num w:numId="105">
    <w:abstractNumId w:val="103"/>
  </w:num>
  <w:num w:numId="106">
    <w:abstractNumId w:val="69"/>
  </w:num>
  <w:num w:numId="107">
    <w:abstractNumId w:val="27"/>
  </w:num>
  <w:num w:numId="108">
    <w:abstractNumId w:val="26"/>
  </w:num>
  <w:num w:numId="109">
    <w:abstractNumId w:val="70"/>
  </w:num>
  <w:num w:numId="110">
    <w:abstractNumId w:val="21"/>
  </w:num>
  <w:num w:numId="111">
    <w:abstractNumId w:val="3"/>
  </w:num>
  <w:num w:numId="112">
    <w:abstractNumId w:val="8"/>
  </w:num>
  <w:num w:numId="113">
    <w:abstractNumId w:val="4"/>
  </w:num>
  <w:num w:numId="114">
    <w:abstractNumId w:val="101"/>
  </w:num>
  <w:num w:numId="115">
    <w:abstractNumId w:val="31"/>
  </w:num>
  <w:num w:numId="116">
    <w:abstractNumId w:val="91"/>
  </w:num>
  <w:num w:numId="117">
    <w:abstractNumId w:val="120"/>
  </w:num>
  <w:num w:numId="118">
    <w:abstractNumId w:val="57"/>
  </w:num>
  <w:num w:numId="119">
    <w:abstractNumId w:val="89"/>
  </w:num>
  <w:num w:numId="120">
    <w:abstractNumId w:val="123"/>
  </w:num>
  <w:num w:numId="121">
    <w:abstractNumId w:val="115"/>
  </w:num>
  <w:num w:numId="122">
    <w:abstractNumId w:val="111"/>
  </w:num>
  <w:num w:numId="123">
    <w:abstractNumId w:val="32"/>
  </w:num>
  <w:num w:numId="124">
    <w:abstractNumId w:val="68"/>
  </w:num>
  <w:num w:numId="125">
    <w:abstractNumId w:val="118"/>
  </w:num>
  <w:num w:numId="126">
    <w:abstractNumId w:val="35"/>
  </w:num>
  <w:num w:numId="127">
    <w:abstractNumId w:val="124"/>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TONE Annelisa (EMPL)">
    <w15:presenceInfo w15:providerId="None" w15:userId="COTONE Annelisa (EMPL)"/>
  </w15:person>
  <w15:person w15:author="PASERMAN Ruth (CAB-THYSSEN)">
    <w15:presenceInfo w15:providerId="None" w15:userId="PASERMAN Ruth (CAB-THY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BEBA081-AC6A-412F-B269-B0694D107562"/>
    <w:docVar w:name="LW_COVERPAGE_TYPE" w:val="1"/>
    <w:docVar w:name="LW_CROSSREFERENCE" w:val="&lt;UNUSED&gt;"/>
    <w:docVar w:name="LW_DocType" w:val="NORMAL"/>
    <w:docVar w:name="LW_EMISSION" w:val="16.4.2019"/>
    <w:docVar w:name="LW_EMISSION_ISODATE" w:val="2019-04-16"/>
    <w:docVar w:name="LW_EMISSION_LOCATION" w:val="STR"/>
    <w:docVar w:name="LW_EMISSION_PREFIX" w:val="Страсбург, "/>
    <w:docVar w:name="LW_EMISSION_SUFFIX" w:val=" \u1075?."/>
    <w:docVar w:name="LW_ID_DOCTYPE_NONLW" w:val="CP-009"/>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1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55?\u1086?-\u1077?\u1092?\u1080?\u1082?\u1072?\u1089?\u1085?\u1086? \u1074?\u1079?\u1077?\u1084?\u1072?\u1085?\u1077? \u1085?\u1072? \u1088?\u1077?\u1096?\u1077?\u1085?\u1080?\u1103? \u1074? \u1086?\u1073?\u1083?\u1072?\u1089?\u1090?\u1090?\u1072? \u1085?\u1072? \u1089?\u1086?\u1094?\u1080?\u1072?\u1083?\u1085?\u1072?\u1090?\u1072? \u1087?\u1086?\u1083?\u1080?\u1090?\u1080?\u1082?\u1072?: _x000d__x000d__x000d__x000d__x000d__x000b_\u1086?\u1087?\u1088?\u1077?\u1076?\u1077?\u1083?\u1103?\u1085?\u1077? \u1085?\u1072? \u1086?\u1073?\u1083?\u1072?\u1089?\u1090?\u1080?, \u1074? \u1082?\u1086?\u1080?\u1090?\u1086? \u1076?\u1072? \u1089?\u1077? \u1087?\u1088?\u1077?\u1084?\u1080?\u1085?\u1077? \u1082?\u1098?\u1084? \u1079?\u1072?\u1089?\u1080?\u1083?\u1077?\u1085?\u1086? \u1080?\u1079?\u1087?\u1086?\u1083?\u1079?\u1074?\u1072?\u1085?\u1077? \u1085?\u1072? \u1075?\u1083?\u1072?\u1089?\u1091?\u1074?\u1072?\u1085?\u1077?\u1090?\u1086? \u1089? \u1082?\u1074?\u1072?\u1083?\u1080?\u1092?\u1080?\u1094?\u1080?\u1088?\u1072?\u1085?\u1086? \u1084?\u1085?\u1086?\u1079?\u1080?\u1085?\u1089?\u1090?\u1074?\u1086?_x000d__x000d__x000d__x000d__x000d__x000b__x000d__x000d__x000d__x000d__x000d__x000d__x000d__x000b__x000d__x000d__x000d__x000d__x000d__x000d__x000d__x000d__x000d__x000d__x000b_"/>
    <w:docVar w:name="LW_TYPE.DOC.CP" w:val="\u1057?\u1066?\u1054?\u1041?\u1065?\u1045?\u1053?\u1048?\u1045? \u1053?\u1040? \u1050?\u1054?\u1052?\u1048?\u1057?\u1048?\u1071?\u1058?\u1040?"/>
    <w:docVar w:name="LW_TYPE.DOC.CP.USERTEXT" w:val="\u1044?\u1054? \u1045?\u1042?\u1056?\u1054?\u1055?\u1045?\u1049?\u1057?\u1050?\u1048?\u1071? \u1055?\u1040?\u1056?\u1051?\u1040?\u1052?\u1045?\u1053?\u1058?, \u1045?\u1042?\u1056?\u1054?\u1055?\u1045?\u1049?\u1057?\u1050?\u1048?\u1071? \u1057?\u1066?\u1042?\u1045?\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_x000b__x000b_"/>
    <w:docVar w:name="Stamp" w:val="\\dossiers.dgt.cec.eu.int\dossiers\EMPL\EMPL-2019-00664\EMPL-2019-00664-00-00-EN-EDT-00.201903211446573318664.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lang w:eastAsia="ar-SA"/>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lang w:eastAsia="ar-SA"/>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lang w:eastAsia="ar-SA"/>
    </w:rPr>
  </w:style>
  <w:style w:type="character" w:customStyle="1" w:styleId="HeaderChar">
    <w:name w:val="Header Char"/>
    <w:basedOn w:val="DefaultParagraphFont"/>
    <w:link w:val="Header"/>
    <w:uiPriority w:val="99"/>
    <w:rPr>
      <w:rFonts w:ascii="Calibri" w:eastAsia="SimSun" w:hAnsi="Calibri" w:cs="font413"/>
      <w:lang w:eastAsia="ar-SA"/>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lang w:eastAsia="ar-SA"/>
    </w:rPr>
  </w:style>
  <w:style w:type="character" w:customStyle="1" w:styleId="FooterChar">
    <w:name w:val="Footer Char"/>
    <w:basedOn w:val="DefaultParagraphFont"/>
    <w:link w:val="Footer"/>
    <w:uiPriority w:val="99"/>
    <w:rPr>
      <w:rFonts w:ascii="Calibri" w:eastAsia="SimSun" w:hAnsi="Calibri" w:cs="font413"/>
      <w:lang w:eastAsia="ar-SA"/>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ar-SA"/>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ar-SA"/>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ar-SA"/>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fr-BE" w:eastAsia="fr-BE"/>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lang w:val="fr-BE" w:eastAsia="en-US"/>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lang w:val="fr-BE" w:eastAsia="en-US"/>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lang w:val="fr-BE" w:eastAsia="en-US"/>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lang w:val="fr-BE" w:eastAsia="en-US"/>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lang w:val="fr-BE" w:eastAsia="en-US"/>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lang w:val="fr-BE" w:eastAsia="fr-BE"/>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lang w:eastAsia="en-GB"/>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en-GB"/>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a"/>
    <w:uiPriority w:val="99"/>
    <w:qFormat/>
    <w:rPr>
      <w:vertAlign w:val="superscript"/>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suppressAutoHyphens/>
      <w:spacing w:after="200" w:line="276" w:lineRule="auto"/>
      <w:ind w:left="720"/>
    </w:pPr>
    <w:rPr>
      <w:rFonts w:ascii="Calibri" w:eastAsia="SimSun" w:hAnsi="Calibri" w:cs="font413"/>
      <w:lang w:eastAsia="ar-SA"/>
    </w:rPr>
  </w:style>
  <w:style w:type="paragraph" w:customStyle="1" w:styleId="footnotetext1">
    <w:name w:val="footnote text1"/>
    <w:aliases w:val="footnote text,fußn,Fußnote,Footnotes,fn,Fussnote"/>
    <w:basedOn w:val="Normal"/>
    <w:uiPriority w:val="99"/>
    <w:qFormat/>
    <w:pPr>
      <w:suppressLineNumbers/>
      <w:suppressAutoHyphens/>
      <w:spacing w:after="200" w:line="276" w:lineRule="auto"/>
      <w:ind w:left="283" w:hanging="283"/>
    </w:pPr>
    <w:rPr>
      <w:rFonts w:ascii="Calibri" w:eastAsia="SimSun" w:hAnsi="Calibri" w:cs="font413"/>
      <w:sz w:val="20"/>
      <w:szCs w:val="20"/>
      <w:lang w:eastAsia="ar-SA"/>
    </w:rPr>
  </w:style>
  <w:style w:type="paragraph" w:styleId="Header">
    <w:name w:val="header"/>
    <w:basedOn w:val="Normal"/>
    <w:link w:val="HeaderChar"/>
    <w:uiPriority w:val="99"/>
    <w:unhideWhenUsed/>
    <w:pPr>
      <w:tabs>
        <w:tab w:val="center" w:pos="4513"/>
        <w:tab w:val="right" w:pos="9026"/>
      </w:tabs>
      <w:suppressAutoHyphens/>
      <w:spacing w:after="0" w:line="240" w:lineRule="auto"/>
    </w:pPr>
    <w:rPr>
      <w:rFonts w:ascii="Calibri" w:eastAsia="SimSun" w:hAnsi="Calibri" w:cs="font413"/>
      <w:lang w:eastAsia="ar-SA"/>
    </w:rPr>
  </w:style>
  <w:style w:type="character" w:customStyle="1" w:styleId="HeaderChar">
    <w:name w:val="Header Char"/>
    <w:basedOn w:val="DefaultParagraphFont"/>
    <w:link w:val="Header"/>
    <w:uiPriority w:val="99"/>
    <w:rPr>
      <w:rFonts w:ascii="Calibri" w:eastAsia="SimSun" w:hAnsi="Calibri" w:cs="font413"/>
      <w:lang w:eastAsia="ar-SA"/>
    </w:rPr>
  </w:style>
  <w:style w:type="paragraph" w:styleId="Footer">
    <w:name w:val="footer"/>
    <w:basedOn w:val="Normal"/>
    <w:link w:val="FooterChar"/>
    <w:uiPriority w:val="99"/>
    <w:unhideWhenUsed/>
    <w:pPr>
      <w:tabs>
        <w:tab w:val="center" w:pos="4513"/>
        <w:tab w:val="right" w:pos="9026"/>
      </w:tabs>
      <w:suppressAutoHyphens/>
      <w:spacing w:after="0" w:line="240" w:lineRule="auto"/>
    </w:pPr>
    <w:rPr>
      <w:rFonts w:ascii="Calibri" w:eastAsia="SimSun" w:hAnsi="Calibri" w:cs="font413"/>
      <w:lang w:eastAsia="ar-SA"/>
    </w:rPr>
  </w:style>
  <w:style w:type="character" w:customStyle="1" w:styleId="FooterChar">
    <w:name w:val="Footer Char"/>
    <w:basedOn w:val="DefaultParagraphFont"/>
    <w:link w:val="Footer"/>
    <w:uiPriority w:val="99"/>
    <w:rPr>
      <w:rFonts w:ascii="Calibri" w:eastAsia="SimSun" w:hAnsi="Calibri" w:cs="font413"/>
      <w:lang w:eastAsia="ar-SA"/>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uppressAutoHyphen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SimSun" w:hAnsi="Calibri" w:cs="font413"/>
      <w:lang w:eastAsia="ar-SA"/>
    </w:rPr>
  </w:style>
  <w:style w:type="character" w:customStyle="1" w:styleId="FooterSensitivityChar">
    <w:name w:val="Footer Sensitivity Char"/>
    <w:basedOn w:val="ListParagraphChar"/>
    <w:link w:val="FooterSensitivity"/>
    <w:rPr>
      <w:rFonts w:ascii="Times New Roman" w:eastAsia="SimSun" w:hAnsi="Times New Roman" w:cs="Times New Roman"/>
      <w:b/>
      <w:sz w:val="32"/>
      <w:lang w:eastAsia="ar-SA"/>
    </w:rPr>
  </w:style>
  <w:style w:type="paragraph" w:customStyle="1" w:styleId="HeaderSensitivity">
    <w:name w:val="Header Sensitivity"/>
    <w:basedOn w:val="Normal"/>
    <w:link w:val="HeaderSensitivityChar"/>
    <w:pPr>
      <w:numPr>
        <w:numId w:val="1"/>
      </w:numPr>
      <w:pBdr>
        <w:top w:val="single" w:sz="4" w:space="1" w:color="auto"/>
        <w:left w:val="single" w:sz="4" w:space="4" w:color="auto"/>
        <w:bottom w:val="single" w:sz="4" w:space="1" w:color="auto"/>
        <w:right w:val="single" w:sz="4" w:space="4" w:color="auto"/>
      </w:pBdr>
      <w:tabs>
        <w:tab w:val="clear" w:pos="-426"/>
      </w:tabs>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eastAsia="SimSun" w:hAnsi="Times New Roman" w:cs="Times New Roman"/>
      <w:b/>
      <w:sz w:val="32"/>
      <w:lang w:eastAsia="ar-SA"/>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fr-BE" w:eastAsia="fr-BE"/>
    </w:rPr>
  </w:style>
  <w:style w:type="paragraph" w:customStyle="1" w:styleId="Date1">
    <w:name w:val="Date1"/>
    <w:basedOn w:val="Normal"/>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Strong">
    <w:name w:val="Strong"/>
    <w:basedOn w:val="DefaultParagraphFont"/>
    <w:uiPriority w:val="22"/>
    <w:qFormat/>
    <w:rPr>
      <w:b/>
      <w:bCs/>
    </w:rPr>
  </w:style>
  <w:style w:type="character" w:customStyle="1" w:styleId="st1">
    <w:name w:val="st1"/>
    <w:basedOn w:val="DefaultParagraphFont"/>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LegalNumPar">
    <w:name w:val="LegalNumPar"/>
    <w:basedOn w:val="Normal"/>
    <w:pPr>
      <w:numPr>
        <w:numId w:val="68"/>
      </w:numPr>
      <w:spacing w:line="360" w:lineRule="auto"/>
    </w:pPr>
    <w:rPr>
      <w:sz w:val="24"/>
    </w:rPr>
  </w:style>
  <w:style w:type="paragraph" w:customStyle="1" w:styleId="LegalNumPar2">
    <w:name w:val="LegalNumPar2"/>
    <w:basedOn w:val="Normal"/>
    <w:pPr>
      <w:numPr>
        <w:ilvl w:val="1"/>
        <w:numId w:val="68"/>
      </w:numPr>
      <w:spacing w:line="360" w:lineRule="auto"/>
    </w:pPr>
    <w:rPr>
      <w:sz w:val="24"/>
    </w:rPr>
  </w:style>
  <w:style w:type="paragraph" w:customStyle="1" w:styleId="LegalNumPar3">
    <w:name w:val="LegalNumPar3"/>
    <w:basedOn w:val="Normal"/>
    <w:pPr>
      <w:numPr>
        <w:ilvl w:val="2"/>
        <w:numId w:val="68"/>
      </w:numPr>
      <w:spacing w:line="360" w:lineRule="auto"/>
    </w:pPr>
    <w:rPr>
      <w:sz w:val="24"/>
    </w:rPr>
  </w:style>
  <w:style w:type="character" w:customStyle="1" w:styleId="A14">
    <w:name w:val="A14"/>
    <w:uiPriority w:val="99"/>
    <w:rPr>
      <w:rFonts w:cs="DaxlinePro"/>
      <w:color w:val="000000"/>
      <w:sz w:val="10"/>
      <w:szCs w:val="10"/>
    </w:rPr>
  </w:style>
  <w:style w:type="paragraph" w:customStyle="1" w:styleId="Pa22">
    <w:name w:val="Pa22"/>
    <w:basedOn w:val="Default"/>
    <w:next w:val="Default"/>
    <w:uiPriority w:val="99"/>
    <w:pPr>
      <w:spacing w:line="185" w:lineRule="atLeast"/>
    </w:pPr>
    <w:rPr>
      <w:rFonts w:ascii="DaxlinePro" w:eastAsiaTheme="minorHAnsi" w:hAnsi="DaxlinePro" w:cstheme="minorBidi"/>
      <w:color w:val="auto"/>
      <w:lang w:val="fr-BE" w:eastAsia="en-US"/>
    </w:rPr>
  </w:style>
  <w:style w:type="paragraph" w:customStyle="1" w:styleId="Pa10">
    <w:name w:val="Pa10"/>
    <w:basedOn w:val="Default"/>
    <w:next w:val="Default"/>
    <w:uiPriority w:val="99"/>
    <w:pPr>
      <w:spacing w:line="185" w:lineRule="atLeast"/>
    </w:pPr>
    <w:rPr>
      <w:rFonts w:ascii="DaxlinePro" w:eastAsiaTheme="minorHAnsi" w:hAnsi="DaxlinePro" w:cstheme="minorBidi"/>
      <w:color w:val="auto"/>
      <w:lang w:val="fr-BE" w:eastAsia="en-US"/>
    </w:rPr>
  </w:style>
  <w:style w:type="character" w:customStyle="1" w:styleId="A26">
    <w:name w:val="A26"/>
    <w:uiPriority w:val="99"/>
    <w:rPr>
      <w:rFonts w:cs="DaxlinePro"/>
      <w:color w:val="000000"/>
      <w:sz w:val="18"/>
      <w:szCs w:val="18"/>
      <w:u w:val="single"/>
    </w:rPr>
  </w:style>
  <w:style w:type="character" w:customStyle="1" w:styleId="A27">
    <w:name w:val="A27"/>
    <w:uiPriority w:val="99"/>
    <w:rPr>
      <w:rFonts w:cs="DaxlinePro"/>
      <w:color w:val="000000"/>
    </w:rPr>
  </w:style>
  <w:style w:type="paragraph" w:customStyle="1" w:styleId="Pa41">
    <w:name w:val="Pa41"/>
    <w:basedOn w:val="Default"/>
    <w:next w:val="Default"/>
    <w:uiPriority w:val="99"/>
    <w:pPr>
      <w:spacing w:line="181" w:lineRule="atLeast"/>
    </w:pPr>
    <w:rPr>
      <w:rFonts w:ascii="DaxlinePro" w:eastAsiaTheme="minorHAnsi" w:hAnsi="DaxlinePro" w:cstheme="minorBidi"/>
      <w:color w:val="auto"/>
      <w:lang w:val="fr-BE" w:eastAsia="en-US"/>
    </w:rPr>
  </w:style>
  <w:style w:type="table" w:customStyle="1" w:styleId="TableGrid1">
    <w:name w:val="Table Grid1"/>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epname">
    <w:name w:val="ep_name"/>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CM4">
    <w:name w:val="CM4"/>
    <w:basedOn w:val="Default"/>
    <w:next w:val="Default"/>
    <w:uiPriority w:val="99"/>
    <w:rPr>
      <w:rFonts w:ascii="EUAlbertina" w:eastAsiaTheme="minorHAnsi" w:hAnsi="EUAlbertina" w:cstheme="minorBidi"/>
      <w:color w:val="auto"/>
      <w:lang w:val="fr-BE" w:eastAsia="en-US"/>
    </w:rPr>
  </w:style>
  <w:style w:type="paragraph" w:customStyle="1" w:styleId="Pa6">
    <w:name w:val="Pa6"/>
    <w:basedOn w:val="Default"/>
    <w:next w:val="Default"/>
    <w:uiPriority w:val="99"/>
    <w:pPr>
      <w:spacing w:line="241" w:lineRule="atLeast"/>
    </w:pPr>
    <w:rPr>
      <w:rFonts w:ascii="EC Square Sans Pro" w:eastAsiaTheme="minorHAnsi" w:hAnsi="EC Square Sans Pro" w:cstheme="minorBidi"/>
      <w:color w:val="auto"/>
      <w:lang w:val="fr-BE" w:eastAsia="en-US"/>
    </w:rPr>
  </w:style>
  <w:style w:type="character" w:customStyle="1" w:styleId="A1">
    <w:name w:val="A1"/>
    <w:uiPriority w:val="99"/>
    <w:rPr>
      <w:rFonts w:cs="EC Square Sans Pro"/>
      <w:color w:val="000000"/>
    </w:rPr>
  </w:style>
  <w:style w:type="character" w:customStyle="1" w:styleId="art-postdateicon">
    <w:name w:val="art-postdateicon"/>
    <w:basedOn w:val="DefaultParagraphFont"/>
  </w:style>
  <w:style w:type="character" w:customStyle="1" w:styleId="Date2">
    <w:name w:val="Date2"/>
    <w:basedOn w:val="DefaultParagraphFont"/>
  </w:style>
  <w:style w:type="character" w:customStyle="1" w:styleId="entry-date">
    <w:name w:val="entry-date"/>
    <w:basedOn w:val="DefaultParagraphFont"/>
  </w:style>
  <w:style w:type="character" w:customStyle="1" w:styleId="st">
    <w:name w:val="s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lang w:val="fr-BE" w:eastAsia="fr-BE"/>
    </w:rPr>
  </w:style>
  <w:style w:type="paragraph" w:styleId="BodyText">
    <w:name w:val="Body Text"/>
    <w:basedOn w:val="Normal"/>
    <w:link w:val="BodyTextChar"/>
    <w:uiPriority w:val="1"/>
    <w:qFormat/>
    <w:pPr>
      <w:widowControl w:val="0"/>
      <w:autoSpaceDE w:val="0"/>
      <w:autoSpaceDN w:val="0"/>
      <w:adjustRightInd w:val="0"/>
      <w:spacing w:before="4" w:after="0" w:line="240" w:lineRule="auto"/>
      <w:ind w:left="40"/>
    </w:pPr>
    <w:rPr>
      <w:rFonts w:ascii="EC Square Sans Pro Medium" w:eastAsiaTheme="minorEastAsia" w:hAnsi="EC Square Sans Pro Medium" w:cs="EC Square Sans Pro Medium"/>
      <w:lang w:eastAsia="en-GB"/>
    </w:rPr>
  </w:style>
  <w:style w:type="character" w:customStyle="1" w:styleId="BodyTextChar">
    <w:name w:val="Body Text Char"/>
    <w:basedOn w:val="DefaultParagraphFont"/>
    <w:link w:val="BodyText"/>
    <w:uiPriority w:val="1"/>
    <w:rPr>
      <w:rFonts w:ascii="EC Square Sans Pro Medium" w:eastAsiaTheme="minorEastAsia" w:hAnsi="EC Square Sans Pro Medium" w:cs="EC Square Sans Pro Medium"/>
      <w:lang w:eastAsia="en-GB"/>
    </w:rPr>
  </w:style>
  <w:style w:type="numbering" w:styleId="111111">
    <w:name w:val="Outline List 2"/>
    <w:basedOn w:val="NoList"/>
    <w:uiPriority w:val="99"/>
    <w:semiHidden/>
    <w:unhideWhenUsed/>
    <w:pPr>
      <w:numPr>
        <w:numId w:val="125"/>
      </w:numPr>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663">
      <w:bodyDiv w:val="1"/>
      <w:marLeft w:val="0"/>
      <w:marRight w:val="0"/>
      <w:marTop w:val="0"/>
      <w:marBottom w:val="0"/>
      <w:divBdr>
        <w:top w:val="none" w:sz="0" w:space="0" w:color="auto"/>
        <w:left w:val="none" w:sz="0" w:space="0" w:color="auto"/>
        <w:bottom w:val="none" w:sz="0" w:space="0" w:color="auto"/>
        <w:right w:val="none" w:sz="0" w:space="0" w:color="auto"/>
      </w:divBdr>
    </w:div>
    <w:div w:id="103040036">
      <w:bodyDiv w:val="1"/>
      <w:marLeft w:val="0"/>
      <w:marRight w:val="0"/>
      <w:marTop w:val="0"/>
      <w:marBottom w:val="0"/>
      <w:divBdr>
        <w:top w:val="none" w:sz="0" w:space="0" w:color="auto"/>
        <w:left w:val="none" w:sz="0" w:space="0" w:color="auto"/>
        <w:bottom w:val="none" w:sz="0" w:space="0" w:color="auto"/>
        <w:right w:val="none" w:sz="0" w:space="0" w:color="auto"/>
      </w:divBdr>
    </w:div>
    <w:div w:id="169637141">
      <w:bodyDiv w:val="1"/>
      <w:marLeft w:val="0"/>
      <w:marRight w:val="0"/>
      <w:marTop w:val="0"/>
      <w:marBottom w:val="0"/>
      <w:divBdr>
        <w:top w:val="none" w:sz="0" w:space="0" w:color="auto"/>
        <w:left w:val="none" w:sz="0" w:space="0" w:color="auto"/>
        <w:bottom w:val="none" w:sz="0" w:space="0" w:color="auto"/>
        <w:right w:val="none" w:sz="0" w:space="0" w:color="auto"/>
      </w:divBdr>
    </w:div>
    <w:div w:id="189496905">
      <w:bodyDiv w:val="1"/>
      <w:marLeft w:val="0"/>
      <w:marRight w:val="0"/>
      <w:marTop w:val="0"/>
      <w:marBottom w:val="0"/>
      <w:divBdr>
        <w:top w:val="none" w:sz="0" w:space="0" w:color="auto"/>
        <w:left w:val="none" w:sz="0" w:space="0" w:color="auto"/>
        <w:bottom w:val="none" w:sz="0" w:space="0" w:color="auto"/>
        <w:right w:val="none" w:sz="0" w:space="0" w:color="auto"/>
      </w:divBdr>
    </w:div>
    <w:div w:id="203061060">
      <w:bodyDiv w:val="1"/>
      <w:marLeft w:val="0"/>
      <w:marRight w:val="0"/>
      <w:marTop w:val="0"/>
      <w:marBottom w:val="0"/>
      <w:divBdr>
        <w:top w:val="none" w:sz="0" w:space="0" w:color="auto"/>
        <w:left w:val="none" w:sz="0" w:space="0" w:color="auto"/>
        <w:bottom w:val="none" w:sz="0" w:space="0" w:color="auto"/>
        <w:right w:val="none" w:sz="0" w:space="0" w:color="auto"/>
      </w:divBdr>
      <w:divsChild>
        <w:div w:id="121326921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31282483">
      <w:bodyDiv w:val="1"/>
      <w:marLeft w:val="0"/>
      <w:marRight w:val="0"/>
      <w:marTop w:val="0"/>
      <w:marBottom w:val="0"/>
      <w:divBdr>
        <w:top w:val="none" w:sz="0" w:space="0" w:color="auto"/>
        <w:left w:val="none" w:sz="0" w:space="0" w:color="auto"/>
        <w:bottom w:val="none" w:sz="0" w:space="0" w:color="auto"/>
        <w:right w:val="none" w:sz="0" w:space="0" w:color="auto"/>
      </w:divBdr>
      <w:divsChild>
        <w:div w:id="859664752">
          <w:marLeft w:val="0"/>
          <w:marRight w:val="0"/>
          <w:marTop w:val="0"/>
          <w:marBottom w:val="0"/>
          <w:divBdr>
            <w:top w:val="none" w:sz="0" w:space="0" w:color="auto"/>
            <w:left w:val="none" w:sz="0" w:space="0" w:color="auto"/>
            <w:bottom w:val="none" w:sz="0" w:space="0" w:color="auto"/>
            <w:right w:val="none" w:sz="0" w:space="0" w:color="auto"/>
          </w:divBdr>
          <w:divsChild>
            <w:div w:id="290786203">
              <w:marLeft w:val="0"/>
              <w:marRight w:val="0"/>
              <w:marTop w:val="0"/>
              <w:marBottom w:val="0"/>
              <w:divBdr>
                <w:top w:val="none" w:sz="0" w:space="0" w:color="auto"/>
                <w:left w:val="none" w:sz="0" w:space="0" w:color="auto"/>
                <w:bottom w:val="none" w:sz="0" w:space="0" w:color="auto"/>
                <w:right w:val="none" w:sz="0" w:space="0" w:color="auto"/>
              </w:divBdr>
              <w:divsChild>
                <w:div w:id="223417803">
                  <w:marLeft w:val="0"/>
                  <w:marRight w:val="0"/>
                  <w:marTop w:val="0"/>
                  <w:marBottom w:val="0"/>
                  <w:divBdr>
                    <w:top w:val="none" w:sz="0" w:space="0" w:color="auto"/>
                    <w:left w:val="none" w:sz="0" w:space="0" w:color="auto"/>
                    <w:bottom w:val="none" w:sz="0" w:space="0" w:color="auto"/>
                    <w:right w:val="none" w:sz="0" w:space="0" w:color="auto"/>
                  </w:divBdr>
                  <w:divsChild>
                    <w:div w:id="1328435609">
                      <w:marLeft w:val="0"/>
                      <w:marRight w:val="0"/>
                      <w:marTop w:val="0"/>
                      <w:marBottom w:val="0"/>
                      <w:divBdr>
                        <w:top w:val="none" w:sz="0" w:space="0" w:color="auto"/>
                        <w:left w:val="none" w:sz="0" w:space="0" w:color="auto"/>
                        <w:bottom w:val="none" w:sz="0" w:space="0" w:color="auto"/>
                        <w:right w:val="none" w:sz="0" w:space="0" w:color="auto"/>
                      </w:divBdr>
                      <w:divsChild>
                        <w:div w:id="662467107">
                          <w:marLeft w:val="0"/>
                          <w:marRight w:val="0"/>
                          <w:marTop w:val="0"/>
                          <w:marBottom w:val="0"/>
                          <w:divBdr>
                            <w:top w:val="none" w:sz="0" w:space="0" w:color="auto"/>
                            <w:left w:val="none" w:sz="0" w:space="0" w:color="auto"/>
                            <w:bottom w:val="none" w:sz="0" w:space="0" w:color="auto"/>
                            <w:right w:val="none" w:sz="0" w:space="0" w:color="auto"/>
                          </w:divBdr>
                          <w:divsChild>
                            <w:div w:id="1937593311">
                              <w:marLeft w:val="-225"/>
                              <w:marRight w:val="-225"/>
                              <w:marTop w:val="0"/>
                              <w:marBottom w:val="0"/>
                              <w:divBdr>
                                <w:top w:val="none" w:sz="0" w:space="0" w:color="auto"/>
                                <w:left w:val="none" w:sz="0" w:space="0" w:color="auto"/>
                                <w:bottom w:val="none" w:sz="0" w:space="0" w:color="auto"/>
                                <w:right w:val="none" w:sz="0" w:space="0" w:color="auto"/>
                              </w:divBdr>
                              <w:divsChild>
                                <w:div w:id="2075930213">
                                  <w:marLeft w:val="0"/>
                                  <w:marRight w:val="0"/>
                                  <w:marTop w:val="0"/>
                                  <w:marBottom w:val="0"/>
                                  <w:divBdr>
                                    <w:top w:val="none" w:sz="0" w:space="0" w:color="auto"/>
                                    <w:left w:val="none" w:sz="0" w:space="0" w:color="auto"/>
                                    <w:bottom w:val="none" w:sz="0" w:space="0" w:color="auto"/>
                                    <w:right w:val="none" w:sz="0" w:space="0" w:color="auto"/>
                                  </w:divBdr>
                                  <w:divsChild>
                                    <w:div w:id="1984578788">
                                      <w:marLeft w:val="0"/>
                                      <w:marRight w:val="0"/>
                                      <w:marTop w:val="0"/>
                                      <w:marBottom w:val="133"/>
                                      <w:divBdr>
                                        <w:top w:val="none" w:sz="0" w:space="0" w:color="auto"/>
                                        <w:left w:val="none" w:sz="0" w:space="0" w:color="auto"/>
                                        <w:bottom w:val="none" w:sz="0" w:space="0" w:color="auto"/>
                                        <w:right w:val="none" w:sz="0" w:space="0" w:color="auto"/>
                                      </w:divBdr>
                                      <w:divsChild>
                                        <w:div w:id="118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43316">
      <w:bodyDiv w:val="1"/>
      <w:marLeft w:val="0"/>
      <w:marRight w:val="0"/>
      <w:marTop w:val="0"/>
      <w:marBottom w:val="0"/>
      <w:divBdr>
        <w:top w:val="none" w:sz="0" w:space="0" w:color="auto"/>
        <w:left w:val="none" w:sz="0" w:space="0" w:color="auto"/>
        <w:bottom w:val="none" w:sz="0" w:space="0" w:color="auto"/>
        <w:right w:val="none" w:sz="0" w:space="0" w:color="auto"/>
      </w:divBdr>
    </w:div>
    <w:div w:id="264581682">
      <w:bodyDiv w:val="1"/>
      <w:marLeft w:val="0"/>
      <w:marRight w:val="0"/>
      <w:marTop w:val="0"/>
      <w:marBottom w:val="0"/>
      <w:divBdr>
        <w:top w:val="none" w:sz="0" w:space="0" w:color="auto"/>
        <w:left w:val="none" w:sz="0" w:space="0" w:color="auto"/>
        <w:bottom w:val="none" w:sz="0" w:space="0" w:color="auto"/>
        <w:right w:val="none" w:sz="0" w:space="0" w:color="auto"/>
      </w:divBdr>
    </w:div>
    <w:div w:id="283734328">
      <w:bodyDiv w:val="1"/>
      <w:marLeft w:val="0"/>
      <w:marRight w:val="0"/>
      <w:marTop w:val="0"/>
      <w:marBottom w:val="0"/>
      <w:divBdr>
        <w:top w:val="none" w:sz="0" w:space="0" w:color="auto"/>
        <w:left w:val="none" w:sz="0" w:space="0" w:color="auto"/>
        <w:bottom w:val="none" w:sz="0" w:space="0" w:color="auto"/>
        <w:right w:val="none" w:sz="0" w:space="0" w:color="auto"/>
      </w:divBdr>
      <w:divsChild>
        <w:div w:id="1953513837">
          <w:marLeft w:val="0"/>
          <w:marRight w:val="0"/>
          <w:marTop w:val="0"/>
          <w:marBottom w:val="0"/>
          <w:divBdr>
            <w:top w:val="none" w:sz="0" w:space="0" w:color="auto"/>
            <w:left w:val="none" w:sz="0" w:space="0" w:color="auto"/>
            <w:bottom w:val="none" w:sz="0" w:space="0" w:color="auto"/>
            <w:right w:val="none" w:sz="0" w:space="0" w:color="auto"/>
          </w:divBdr>
          <w:divsChild>
            <w:div w:id="1004630904">
              <w:marLeft w:val="0"/>
              <w:marRight w:val="0"/>
              <w:marTop w:val="0"/>
              <w:marBottom w:val="0"/>
              <w:divBdr>
                <w:top w:val="none" w:sz="0" w:space="0" w:color="auto"/>
                <w:left w:val="none" w:sz="0" w:space="0" w:color="auto"/>
                <w:bottom w:val="none" w:sz="0" w:space="0" w:color="auto"/>
                <w:right w:val="none" w:sz="0" w:space="0" w:color="auto"/>
              </w:divBdr>
              <w:divsChild>
                <w:div w:id="616646199">
                  <w:marLeft w:val="0"/>
                  <w:marRight w:val="0"/>
                  <w:marTop w:val="0"/>
                  <w:marBottom w:val="0"/>
                  <w:divBdr>
                    <w:top w:val="none" w:sz="0" w:space="0" w:color="auto"/>
                    <w:left w:val="none" w:sz="0" w:space="0" w:color="auto"/>
                    <w:bottom w:val="none" w:sz="0" w:space="0" w:color="auto"/>
                    <w:right w:val="none" w:sz="0" w:space="0" w:color="auto"/>
                  </w:divBdr>
                  <w:divsChild>
                    <w:div w:id="64186019">
                      <w:marLeft w:val="-150"/>
                      <w:marRight w:val="-150"/>
                      <w:marTop w:val="0"/>
                      <w:marBottom w:val="0"/>
                      <w:divBdr>
                        <w:top w:val="none" w:sz="0" w:space="0" w:color="auto"/>
                        <w:left w:val="none" w:sz="0" w:space="0" w:color="auto"/>
                        <w:bottom w:val="none" w:sz="0" w:space="0" w:color="auto"/>
                        <w:right w:val="none" w:sz="0" w:space="0" w:color="auto"/>
                      </w:divBdr>
                      <w:divsChild>
                        <w:div w:id="1852641691">
                          <w:marLeft w:val="0"/>
                          <w:marRight w:val="0"/>
                          <w:marTop w:val="0"/>
                          <w:marBottom w:val="0"/>
                          <w:divBdr>
                            <w:top w:val="none" w:sz="0" w:space="0" w:color="auto"/>
                            <w:left w:val="none" w:sz="0" w:space="0" w:color="auto"/>
                            <w:bottom w:val="none" w:sz="0" w:space="0" w:color="auto"/>
                            <w:right w:val="none" w:sz="0" w:space="0" w:color="auto"/>
                          </w:divBdr>
                          <w:divsChild>
                            <w:div w:id="61604170">
                              <w:marLeft w:val="0"/>
                              <w:marRight w:val="0"/>
                              <w:marTop w:val="0"/>
                              <w:marBottom w:val="0"/>
                              <w:divBdr>
                                <w:top w:val="none" w:sz="0" w:space="0" w:color="auto"/>
                                <w:left w:val="none" w:sz="0" w:space="0" w:color="auto"/>
                                <w:bottom w:val="none" w:sz="0" w:space="0" w:color="auto"/>
                                <w:right w:val="none" w:sz="0" w:space="0" w:color="auto"/>
                              </w:divBdr>
                              <w:divsChild>
                                <w:div w:id="87893064">
                                  <w:marLeft w:val="0"/>
                                  <w:marRight w:val="0"/>
                                  <w:marTop w:val="0"/>
                                  <w:marBottom w:val="300"/>
                                  <w:divBdr>
                                    <w:top w:val="none" w:sz="0" w:space="0" w:color="auto"/>
                                    <w:left w:val="none" w:sz="0" w:space="0" w:color="auto"/>
                                    <w:bottom w:val="none" w:sz="0" w:space="0" w:color="auto"/>
                                    <w:right w:val="none" w:sz="0" w:space="0" w:color="auto"/>
                                  </w:divBdr>
                                  <w:divsChild>
                                    <w:div w:id="939533131">
                                      <w:marLeft w:val="0"/>
                                      <w:marRight w:val="0"/>
                                      <w:marTop w:val="0"/>
                                      <w:marBottom w:val="0"/>
                                      <w:divBdr>
                                        <w:top w:val="none" w:sz="0" w:space="0" w:color="auto"/>
                                        <w:left w:val="none" w:sz="0" w:space="0" w:color="auto"/>
                                        <w:bottom w:val="none" w:sz="0" w:space="0" w:color="auto"/>
                                        <w:right w:val="none" w:sz="0" w:space="0" w:color="auto"/>
                                      </w:divBdr>
                                      <w:divsChild>
                                        <w:div w:id="1715497763">
                                          <w:marLeft w:val="0"/>
                                          <w:marRight w:val="0"/>
                                          <w:marTop w:val="0"/>
                                          <w:marBottom w:val="0"/>
                                          <w:divBdr>
                                            <w:top w:val="none" w:sz="0" w:space="0" w:color="auto"/>
                                            <w:left w:val="none" w:sz="0" w:space="0" w:color="auto"/>
                                            <w:bottom w:val="none" w:sz="0" w:space="0" w:color="auto"/>
                                            <w:right w:val="none" w:sz="0" w:space="0" w:color="auto"/>
                                          </w:divBdr>
                                          <w:divsChild>
                                            <w:div w:id="1635142003">
                                              <w:marLeft w:val="0"/>
                                              <w:marRight w:val="0"/>
                                              <w:marTop w:val="0"/>
                                              <w:marBottom w:val="0"/>
                                              <w:divBdr>
                                                <w:top w:val="none" w:sz="0" w:space="0" w:color="auto"/>
                                                <w:left w:val="none" w:sz="0" w:space="0" w:color="auto"/>
                                                <w:bottom w:val="none" w:sz="0" w:space="0" w:color="auto"/>
                                                <w:right w:val="none" w:sz="0" w:space="0" w:color="auto"/>
                                              </w:divBdr>
                                              <w:divsChild>
                                                <w:div w:id="959452691">
                                                  <w:marLeft w:val="0"/>
                                                  <w:marRight w:val="0"/>
                                                  <w:marTop w:val="0"/>
                                                  <w:marBottom w:val="0"/>
                                                  <w:divBdr>
                                                    <w:top w:val="none" w:sz="0" w:space="0" w:color="auto"/>
                                                    <w:left w:val="none" w:sz="0" w:space="0" w:color="auto"/>
                                                    <w:bottom w:val="none" w:sz="0" w:space="0" w:color="auto"/>
                                                    <w:right w:val="none" w:sz="0" w:space="0" w:color="auto"/>
                                                  </w:divBdr>
                                                  <w:divsChild>
                                                    <w:div w:id="1969816751">
                                                      <w:marLeft w:val="0"/>
                                                      <w:marRight w:val="0"/>
                                                      <w:marTop w:val="0"/>
                                                      <w:marBottom w:val="0"/>
                                                      <w:divBdr>
                                                        <w:top w:val="none" w:sz="0" w:space="0" w:color="auto"/>
                                                        <w:left w:val="none" w:sz="0" w:space="0" w:color="auto"/>
                                                        <w:bottom w:val="none" w:sz="0" w:space="0" w:color="auto"/>
                                                        <w:right w:val="none" w:sz="0" w:space="0" w:color="auto"/>
                                                      </w:divBdr>
                                                      <w:divsChild>
                                                        <w:div w:id="1100415499">
                                                          <w:marLeft w:val="0"/>
                                                          <w:marRight w:val="0"/>
                                                          <w:marTop w:val="0"/>
                                                          <w:marBottom w:val="0"/>
                                                          <w:divBdr>
                                                            <w:top w:val="none" w:sz="0" w:space="0" w:color="auto"/>
                                                            <w:left w:val="none" w:sz="0" w:space="0" w:color="auto"/>
                                                            <w:bottom w:val="none" w:sz="0" w:space="0" w:color="auto"/>
                                                            <w:right w:val="none" w:sz="0" w:space="0" w:color="auto"/>
                                                          </w:divBdr>
                                                          <w:divsChild>
                                                            <w:div w:id="188303143">
                                                              <w:marLeft w:val="0"/>
                                                              <w:marRight w:val="0"/>
                                                              <w:marTop w:val="0"/>
                                                              <w:marBottom w:val="0"/>
                                                              <w:divBdr>
                                                                <w:top w:val="none" w:sz="0" w:space="0" w:color="auto"/>
                                                                <w:left w:val="none" w:sz="0" w:space="0" w:color="auto"/>
                                                                <w:bottom w:val="none" w:sz="0" w:space="0" w:color="auto"/>
                                                                <w:right w:val="none" w:sz="0" w:space="0" w:color="auto"/>
                                                              </w:divBdr>
                                                              <w:divsChild>
                                                                <w:div w:id="151522275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352658555">
      <w:bodyDiv w:val="1"/>
      <w:marLeft w:val="0"/>
      <w:marRight w:val="0"/>
      <w:marTop w:val="0"/>
      <w:marBottom w:val="0"/>
      <w:divBdr>
        <w:top w:val="none" w:sz="0" w:space="0" w:color="auto"/>
        <w:left w:val="none" w:sz="0" w:space="0" w:color="auto"/>
        <w:bottom w:val="none" w:sz="0" w:space="0" w:color="auto"/>
        <w:right w:val="none" w:sz="0" w:space="0" w:color="auto"/>
      </w:divBdr>
    </w:div>
    <w:div w:id="409354614">
      <w:bodyDiv w:val="1"/>
      <w:marLeft w:val="0"/>
      <w:marRight w:val="0"/>
      <w:marTop w:val="0"/>
      <w:marBottom w:val="0"/>
      <w:divBdr>
        <w:top w:val="none" w:sz="0" w:space="0" w:color="auto"/>
        <w:left w:val="none" w:sz="0" w:space="0" w:color="auto"/>
        <w:bottom w:val="none" w:sz="0" w:space="0" w:color="auto"/>
        <w:right w:val="none" w:sz="0" w:space="0" w:color="auto"/>
      </w:divBdr>
      <w:divsChild>
        <w:div w:id="1956935676">
          <w:marLeft w:val="0"/>
          <w:marRight w:val="0"/>
          <w:marTop w:val="0"/>
          <w:marBottom w:val="75"/>
          <w:divBdr>
            <w:top w:val="none" w:sz="0" w:space="0" w:color="auto"/>
            <w:left w:val="none" w:sz="0" w:space="0" w:color="auto"/>
            <w:bottom w:val="dotted" w:sz="6" w:space="1" w:color="D0D6DC"/>
            <w:right w:val="none" w:sz="0" w:space="0" w:color="auto"/>
          </w:divBdr>
        </w:div>
      </w:divsChild>
    </w:div>
    <w:div w:id="454640110">
      <w:bodyDiv w:val="1"/>
      <w:marLeft w:val="0"/>
      <w:marRight w:val="0"/>
      <w:marTop w:val="0"/>
      <w:marBottom w:val="0"/>
      <w:divBdr>
        <w:top w:val="none" w:sz="0" w:space="0" w:color="auto"/>
        <w:left w:val="none" w:sz="0" w:space="0" w:color="auto"/>
        <w:bottom w:val="none" w:sz="0" w:space="0" w:color="auto"/>
        <w:right w:val="none" w:sz="0" w:space="0" w:color="auto"/>
      </w:divBdr>
    </w:div>
    <w:div w:id="489909317">
      <w:bodyDiv w:val="1"/>
      <w:marLeft w:val="0"/>
      <w:marRight w:val="0"/>
      <w:marTop w:val="0"/>
      <w:marBottom w:val="0"/>
      <w:divBdr>
        <w:top w:val="none" w:sz="0" w:space="0" w:color="auto"/>
        <w:left w:val="none" w:sz="0" w:space="0" w:color="auto"/>
        <w:bottom w:val="none" w:sz="0" w:space="0" w:color="auto"/>
        <w:right w:val="none" w:sz="0" w:space="0" w:color="auto"/>
      </w:divBdr>
    </w:div>
    <w:div w:id="548422799">
      <w:bodyDiv w:val="1"/>
      <w:marLeft w:val="0"/>
      <w:marRight w:val="0"/>
      <w:marTop w:val="0"/>
      <w:marBottom w:val="0"/>
      <w:divBdr>
        <w:top w:val="none" w:sz="0" w:space="0" w:color="auto"/>
        <w:left w:val="none" w:sz="0" w:space="0" w:color="auto"/>
        <w:bottom w:val="none" w:sz="0" w:space="0" w:color="auto"/>
        <w:right w:val="none" w:sz="0" w:space="0" w:color="auto"/>
      </w:divBdr>
    </w:div>
    <w:div w:id="583297313">
      <w:bodyDiv w:val="1"/>
      <w:marLeft w:val="0"/>
      <w:marRight w:val="0"/>
      <w:marTop w:val="0"/>
      <w:marBottom w:val="0"/>
      <w:divBdr>
        <w:top w:val="none" w:sz="0" w:space="0" w:color="auto"/>
        <w:left w:val="none" w:sz="0" w:space="0" w:color="auto"/>
        <w:bottom w:val="none" w:sz="0" w:space="0" w:color="auto"/>
        <w:right w:val="none" w:sz="0" w:space="0" w:color="auto"/>
      </w:divBdr>
    </w:div>
    <w:div w:id="593129004">
      <w:bodyDiv w:val="1"/>
      <w:marLeft w:val="0"/>
      <w:marRight w:val="0"/>
      <w:marTop w:val="0"/>
      <w:marBottom w:val="0"/>
      <w:divBdr>
        <w:top w:val="none" w:sz="0" w:space="0" w:color="auto"/>
        <w:left w:val="none" w:sz="0" w:space="0" w:color="auto"/>
        <w:bottom w:val="none" w:sz="0" w:space="0" w:color="auto"/>
        <w:right w:val="none" w:sz="0" w:space="0" w:color="auto"/>
      </w:divBdr>
    </w:div>
    <w:div w:id="667945197">
      <w:bodyDiv w:val="1"/>
      <w:marLeft w:val="0"/>
      <w:marRight w:val="0"/>
      <w:marTop w:val="0"/>
      <w:marBottom w:val="0"/>
      <w:divBdr>
        <w:top w:val="none" w:sz="0" w:space="0" w:color="auto"/>
        <w:left w:val="none" w:sz="0" w:space="0" w:color="auto"/>
        <w:bottom w:val="none" w:sz="0" w:space="0" w:color="auto"/>
        <w:right w:val="none" w:sz="0" w:space="0" w:color="auto"/>
      </w:divBdr>
    </w:div>
    <w:div w:id="679280707">
      <w:bodyDiv w:val="1"/>
      <w:marLeft w:val="0"/>
      <w:marRight w:val="0"/>
      <w:marTop w:val="0"/>
      <w:marBottom w:val="0"/>
      <w:divBdr>
        <w:top w:val="none" w:sz="0" w:space="0" w:color="auto"/>
        <w:left w:val="none" w:sz="0" w:space="0" w:color="auto"/>
        <w:bottom w:val="none" w:sz="0" w:space="0" w:color="auto"/>
        <w:right w:val="none" w:sz="0" w:space="0" w:color="auto"/>
      </w:divBdr>
    </w:div>
    <w:div w:id="893736606">
      <w:bodyDiv w:val="1"/>
      <w:marLeft w:val="0"/>
      <w:marRight w:val="0"/>
      <w:marTop w:val="0"/>
      <w:marBottom w:val="0"/>
      <w:divBdr>
        <w:top w:val="none" w:sz="0" w:space="0" w:color="auto"/>
        <w:left w:val="none" w:sz="0" w:space="0" w:color="auto"/>
        <w:bottom w:val="none" w:sz="0" w:space="0" w:color="auto"/>
        <w:right w:val="none" w:sz="0" w:space="0" w:color="auto"/>
      </w:divBdr>
    </w:div>
    <w:div w:id="993875639">
      <w:bodyDiv w:val="1"/>
      <w:marLeft w:val="0"/>
      <w:marRight w:val="0"/>
      <w:marTop w:val="0"/>
      <w:marBottom w:val="0"/>
      <w:divBdr>
        <w:top w:val="none" w:sz="0" w:space="0" w:color="auto"/>
        <w:left w:val="none" w:sz="0" w:space="0" w:color="auto"/>
        <w:bottom w:val="none" w:sz="0" w:space="0" w:color="auto"/>
        <w:right w:val="none" w:sz="0" w:space="0" w:color="auto"/>
      </w:divBdr>
    </w:div>
    <w:div w:id="1015765933">
      <w:bodyDiv w:val="1"/>
      <w:marLeft w:val="0"/>
      <w:marRight w:val="0"/>
      <w:marTop w:val="0"/>
      <w:marBottom w:val="0"/>
      <w:divBdr>
        <w:top w:val="none" w:sz="0" w:space="0" w:color="auto"/>
        <w:left w:val="none" w:sz="0" w:space="0" w:color="auto"/>
        <w:bottom w:val="none" w:sz="0" w:space="0" w:color="auto"/>
        <w:right w:val="none" w:sz="0" w:space="0" w:color="auto"/>
      </w:divBdr>
      <w:divsChild>
        <w:div w:id="109865776">
          <w:marLeft w:val="0"/>
          <w:marRight w:val="0"/>
          <w:marTop w:val="0"/>
          <w:marBottom w:val="0"/>
          <w:divBdr>
            <w:top w:val="none" w:sz="0" w:space="0" w:color="auto"/>
            <w:left w:val="none" w:sz="0" w:space="0" w:color="auto"/>
            <w:bottom w:val="none" w:sz="0" w:space="0" w:color="auto"/>
            <w:right w:val="none" w:sz="0" w:space="0" w:color="auto"/>
          </w:divBdr>
          <w:divsChild>
            <w:div w:id="1225334129">
              <w:marLeft w:val="0"/>
              <w:marRight w:val="0"/>
              <w:marTop w:val="0"/>
              <w:marBottom w:val="0"/>
              <w:divBdr>
                <w:top w:val="none" w:sz="0" w:space="0" w:color="auto"/>
                <w:left w:val="none" w:sz="0" w:space="0" w:color="auto"/>
                <w:bottom w:val="none" w:sz="0" w:space="0" w:color="auto"/>
                <w:right w:val="none" w:sz="0" w:space="0" w:color="auto"/>
              </w:divBdr>
              <w:divsChild>
                <w:div w:id="1990208417">
                  <w:marLeft w:val="0"/>
                  <w:marRight w:val="0"/>
                  <w:marTop w:val="0"/>
                  <w:marBottom w:val="0"/>
                  <w:divBdr>
                    <w:top w:val="none" w:sz="0" w:space="0" w:color="auto"/>
                    <w:left w:val="none" w:sz="0" w:space="0" w:color="auto"/>
                    <w:bottom w:val="none" w:sz="0" w:space="0" w:color="auto"/>
                    <w:right w:val="none" w:sz="0" w:space="0" w:color="auto"/>
                  </w:divBdr>
                  <w:divsChild>
                    <w:div w:id="2029214062">
                      <w:marLeft w:val="0"/>
                      <w:marRight w:val="0"/>
                      <w:marTop w:val="0"/>
                      <w:marBottom w:val="0"/>
                      <w:divBdr>
                        <w:top w:val="none" w:sz="0" w:space="0" w:color="auto"/>
                        <w:left w:val="none" w:sz="0" w:space="0" w:color="auto"/>
                        <w:bottom w:val="none" w:sz="0" w:space="0" w:color="auto"/>
                        <w:right w:val="none" w:sz="0" w:space="0" w:color="auto"/>
                      </w:divBdr>
                      <w:divsChild>
                        <w:div w:id="580026320">
                          <w:marLeft w:val="0"/>
                          <w:marRight w:val="0"/>
                          <w:marTop w:val="0"/>
                          <w:marBottom w:val="0"/>
                          <w:divBdr>
                            <w:top w:val="none" w:sz="0" w:space="0" w:color="auto"/>
                            <w:left w:val="none" w:sz="0" w:space="0" w:color="auto"/>
                            <w:bottom w:val="none" w:sz="0" w:space="0" w:color="auto"/>
                            <w:right w:val="none" w:sz="0" w:space="0" w:color="auto"/>
                          </w:divBdr>
                          <w:divsChild>
                            <w:div w:id="738284794">
                              <w:marLeft w:val="-225"/>
                              <w:marRight w:val="-225"/>
                              <w:marTop w:val="0"/>
                              <w:marBottom w:val="0"/>
                              <w:divBdr>
                                <w:top w:val="none" w:sz="0" w:space="0" w:color="auto"/>
                                <w:left w:val="none" w:sz="0" w:space="0" w:color="auto"/>
                                <w:bottom w:val="none" w:sz="0" w:space="0" w:color="auto"/>
                                <w:right w:val="none" w:sz="0" w:space="0" w:color="auto"/>
                              </w:divBdr>
                              <w:divsChild>
                                <w:div w:id="1656840830">
                                  <w:marLeft w:val="0"/>
                                  <w:marRight w:val="0"/>
                                  <w:marTop w:val="0"/>
                                  <w:marBottom w:val="0"/>
                                  <w:divBdr>
                                    <w:top w:val="none" w:sz="0" w:space="0" w:color="auto"/>
                                    <w:left w:val="none" w:sz="0" w:space="0" w:color="auto"/>
                                    <w:bottom w:val="none" w:sz="0" w:space="0" w:color="auto"/>
                                    <w:right w:val="none" w:sz="0" w:space="0" w:color="auto"/>
                                  </w:divBdr>
                                  <w:divsChild>
                                    <w:div w:id="1636715167">
                                      <w:marLeft w:val="0"/>
                                      <w:marRight w:val="0"/>
                                      <w:marTop w:val="0"/>
                                      <w:marBottom w:val="133"/>
                                      <w:divBdr>
                                        <w:top w:val="none" w:sz="0" w:space="0" w:color="auto"/>
                                        <w:left w:val="none" w:sz="0" w:space="0" w:color="auto"/>
                                        <w:bottom w:val="none" w:sz="0" w:space="0" w:color="auto"/>
                                        <w:right w:val="none" w:sz="0" w:space="0" w:color="auto"/>
                                      </w:divBdr>
                                      <w:divsChild>
                                        <w:div w:id="6967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947282">
      <w:bodyDiv w:val="1"/>
      <w:marLeft w:val="0"/>
      <w:marRight w:val="0"/>
      <w:marTop w:val="0"/>
      <w:marBottom w:val="0"/>
      <w:divBdr>
        <w:top w:val="none" w:sz="0" w:space="0" w:color="auto"/>
        <w:left w:val="none" w:sz="0" w:space="0" w:color="auto"/>
        <w:bottom w:val="none" w:sz="0" w:space="0" w:color="auto"/>
        <w:right w:val="none" w:sz="0" w:space="0" w:color="auto"/>
      </w:divBdr>
    </w:div>
    <w:div w:id="1120033104">
      <w:bodyDiv w:val="1"/>
      <w:marLeft w:val="0"/>
      <w:marRight w:val="0"/>
      <w:marTop w:val="0"/>
      <w:marBottom w:val="0"/>
      <w:divBdr>
        <w:top w:val="none" w:sz="0" w:space="0" w:color="auto"/>
        <w:left w:val="none" w:sz="0" w:space="0" w:color="auto"/>
        <w:bottom w:val="none" w:sz="0" w:space="0" w:color="auto"/>
        <w:right w:val="none" w:sz="0" w:space="0" w:color="auto"/>
      </w:divBdr>
    </w:div>
    <w:div w:id="1149051082">
      <w:bodyDiv w:val="1"/>
      <w:marLeft w:val="0"/>
      <w:marRight w:val="0"/>
      <w:marTop w:val="0"/>
      <w:marBottom w:val="0"/>
      <w:divBdr>
        <w:top w:val="none" w:sz="0" w:space="0" w:color="auto"/>
        <w:left w:val="none" w:sz="0" w:space="0" w:color="auto"/>
        <w:bottom w:val="none" w:sz="0" w:space="0" w:color="auto"/>
        <w:right w:val="none" w:sz="0" w:space="0" w:color="auto"/>
      </w:divBdr>
      <w:divsChild>
        <w:div w:id="581372353">
          <w:marLeft w:val="0"/>
          <w:marRight w:val="0"/>
          <w:marTop w:val="0"/>
          <w:marBottom w:val="0"/>
          <w:divBdr>
            <w:top w:val="none" w:sz="0" w:space="0" w:color="auto"/>
            <w:left w:val="none" w:sz="0" w:space="0" w:color="auto"/>
            <w:bottom w:val="none" w:sz="0" w:space="0" w:color="auto"/>
            <w:right w:val="none" w:sz="0" w:space="0" w:color="auto"/>
          </w:divBdr>
          <w:divsChild>
            <w:div w:id="817962881">
              <w:marLeft w:val="0"/>
              <w:marRight w:val="0"/>
              <w:marTop w:val="0"/>
              <w:marBottom w:val="150"/>
              <w:divBdr>
                <w:top w:val="none" w:sz="0" w:space="0" w:color="auto"/>
                <w:left w:val="none" w:sz="0" w:space="0" w:color="auto"/>
                <w:bottom w:val="none" w:sz="0" w:space="0" w:color="auto"/>
                <w:right w:val="none" w:sz="0" w:space="0" w:color="auto"/>
              </w:divBdr>
              <w:divsChild>
                <w:div w:id="1674067243">
                  <w:marLeft w:val="0"/>
                  <w:marRight w:val="0"/>
                  <w:marTop w:val="0"/>
                  <w:marBottom w:val="0"/>
                  <w:divBdr>
                    <w:top w:val="none" w:sz="0" w:space="0" w:color="auto"/>
                    <w:left w:val="none" w:sz="0" w:space="0" w:color="auto"/>
                    <w:bottom w:val="none" w:sz="0" w:space="0" w:color="auto"/>
                    <w:right w:val="none" w:sz="0" w:space="0" w:color="auto"/>
                  </w:divBdr>
                  <w:divsChild>
                    <w:div w:id="1906792203">
                      <w:marLeft w:val="0"/>
                      <w:marRight w:val="0"/>
                      <w:marTop w:val="0"/>
                      <w:marBottom w:val="0"/>
                      <w:divBdr>
                        <w:top w:val="none" w:sz="0" w:space="0" w:color="auto"/>
                        <w:left w:val="none" w:sz="0" w:space="0" w:color="auto"/>
                        <w:bottom w:val="none" w:sz="0" w:space="0" w:color="auto"/>
                        <w:right w:val="none" w:sz="0" w:space="0" w:color="auto"/>
                      </w:divBdr>
                      <w:divsChild>
                        <w:div w:id="1025592181">
                          <w:marLeft w:val="0"/>
                          <w:marRight w:val="0"/>
                          <w:marTop w:val="0"/>
                          <w:marBottom w:val="0"/>
                          <w:divBdr>
                            <w:top w:val="none" w:sz="0" w:space="0" w:color="auto"/>
                            <w:left w:val="none" w:sz="0" w:space="0" w:color="auto"/>
                            <w:bottom w:val="none" w:sz="0" w:space="0" w:color="auto"/>
                            <w:right w:val="none" w:sz="0" w:space="0" w:color="auto"/>
                          </w:divBdr>
                          <w:divsChild>
                            <w:div w:id="1193573096">
                              <w:marLeft w:val="0"/>
                              <w:marRight w:val="0"/>
                              <w:marTop w:val="0"/>
                              <w:marBottom w:val="0"/>
                              <w:divBdr>
                                <w:top w:val="none" w:sz="0" w:space="0" w:color="auto"/>
                                <w:left w:val="none" w:sz="0" w:space="0" w:color="auto"/>
                                <w:bottom w:val="none" w:sz="0" w:space="0" w:color="auto"/>
                                <w:right w:val="none" w:sz="0" w:space="0" w:color="auto"/>
                              </w:divBdr>
                              <w:divsChild>
                                <w:div w:id="1900825941">
                                  <w:marLeft w:val="0"/>
                                  <w:marRight w:val="-3600"/>
                                  <w:marTop w:val="150"/>
                                  <w:marBottom w:val="0"/>
                                  <w:divBdr>
                                    <w:top w:val="none" w:sz="0" w:space="0" w:color="auto"/>
                                    <w:left w:val="none" w:sz="0" w:space="0" w:color="auto"/>
                                    <w:bottom w:val="none" w:sz="0" w:space="0" w:color="auto"/>
                                    <w:right w:val="none" w:sz="0" w:space="0" w:color="auto"/>
                                  </w:divBdr>
                                  <w:divsChild>
                                    <w:div w:id="1425491936">
                                      <w:marLeft w:val="0"/>
                                      <w:marRight w:val="3600"/>
                                      <w:marTop w:val="0"/>
                                      <w:marBottom w:val="0"/>
                                      <w:divBdr>
                                        <w:top w:val="none" w:sz="0" w:space="0" w:color="auto"/>
                                        <w:left w:val="none" w:sz="0" w:space="0" w:color="auto"/>
                                        <w:bottom w:val="none" w:sz="0" w:space="0" w:color="auto"/>
                                        <w:right w:val="none" w:sz="0" w:space="0" w:color="auto"/>
                                      </w:divBdr>
                                      <w:divsChild>
                                        <w:div w:id="2016107028">
                                          <w:marLeft w:val="0"/>
                                          <w:marRight w:val="0"/>
                                          <w:marTop w:val="0"/>
                                          <w:marBottom w:val="0"/>
                                          <w:divBdr>
                                            <w:top w:val="none" w:sz="0" w:space="0" w:color="auto"/>
                                            <w:left w:val="none" w:sz="0" w:space="0" w:color="auto"/>
                                            <w:bottom w:val="none" w:sz="0" w:space="0" w:color="auto"/>
                                            <w:right w:val="none" w:sz="0" w:space="0" w:color="auto"/>
                                          </w:divBdr>
                                          <w:divsChild>
                                            <w:div w:id="1704499">
                                              <w:marLeft w:val="0"/>
                                              <w:marRight w:val="0"/>
                                              <w:marTop w:val="0"/>
                                              <w:marBottom w:val="0"/>
                                              <w:divBdr>
                                                <w:top w:val="none" w:sz="0" w:space="0" w:color="auto"/>
                                                <w:left w:val="none" w:sz="0" w:space="0" w:color="auto"/>
                                                <w:bottom w:val="none" w:sz="0" w:space="0" w:color="auto"/>
                                                <w:right w:val="none" w:sz="0" w:space="0" w:color="auto"/>
                                              </w:divBdr>
                                              <w:divsChild>
                                                <w:div w:id="1378967962">
                                                  <w:marLeft w:val="0"/>
                                                  <w:marRight w:val="0"/>
                                                  <w:marTop w:val="0"/>
                                                  <w:marBottom w:val="0"/>
                                                  <w:divBdr>
                                                    <w:top w:val="none" w:sz="0" w:space="0" w:color="auto"/>
                                                    <w:left w:val="none" w:sz="0" w:space="0" w:color="auto"/>
                                                    <w:bottom w:val="none" w:sz="0" w:space="0" w:color="auto"/>
                                                    <w:right w:val="none" w:sz="0" w:space="0" w:color="auto"/>
                                                  </w:divBdr>
                                                  <w:divsChild>
                                                    <w:div w:id="1788623418">
                                                      <w:marLeft w:val="0"/>
                                                      <w:marRight w:val="0"/>
                                                      <w:marTop w:val="0"/>
                                                      <w:marBottom w:val="0"/>
                                                      <w:divBdr>
                                                        <w:top w:val="none" w:sz="0" w:space="0" w:color="auto"/>
                                                        <w:left w:val="none" w:sz="0" w:space="0" w:color="auto"/>
                                                        <w:bottom w:val="none" w:sz="0" w:space="0" w:color="auto"/>
                                                        <w:right w:val="none" w:sz="0" w:space="0" w:color="auto"/>
                                                      </w:divBdr>
                                                      <w:divsChild>
                                                        <w:div w:id="8431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58840">
      <w:bodyDiv w:val="1"/>
      <w:marLeft w:val="0"/>
      <w:marRight w:val="0"/>
      <w:marTop w:val="0"/>
      <w:marBottom w:val="0"/>
      <w:divBdr>
        <w:top w:val="none" w:sz="0" w:space="0" w:color="auto"/>
        <w:left w:val="none" w:sz="0" w:space="0" w:color="auto"/>
        <w:bottom w:val="none" w:sz="0" w:space="0" w:color="auto"/>
        <w:right w:val="none" w:sz="0" w:space="0" w:color="auto"/>
      </w:divBdr>
    </w:div>
    <w:div w:id="1180270481">
      <w:bodyDiv w:val="1"/>
      <w:marLeft w:val="0"/>
      <w:marRight w:val="0"/>
      <w:marTop w:val="0"/>
      <w:marBottom w:val="0"/>
      <w:divBdr>
        <w:top w:val="none" w:sz="0" w:space="0" w:color="auto"/>
        <w:left w:val="none" w:sz="0" w:space="0" w:color="auto"/>
        <w:bottom w:val="none" w:sz="0" w:space="0" w:color="auto"/>
        <w:right w:val="none" w:sz="0" w:space="0" w:color="auto"/>
      </w:divBdr>
    </w:div>
    <w:div w:id="1208297155">
      <w:bodyDiv w:val="1"/>
      <w:marLeft w:val="0"/>
      <w:marRight w:val="0"/>
      <w:marTop w:val="0"/>
      <w:marBottom w:val="0"/>
      <w:divBdr>
        <w:top w:val="none" w:sz="0" w:space="0" w:color="auto"/>
        <w:left w:val="none" w:sz="0" w:space="0" w:color="auto"/>
        <w:bottom w:val="none" w:sz="0" w:space="0" w:color="auto"/>
        <w:right w:val="none" w:sz="0" w:space="0" w:color="auto"/>
      </w:divBdr>
    </w:div>
    <w:div w:id="1320115452">
      <w:bodyDiv w:val="1"/>
      <w:marLeft w:val="0"/>
      <w:marRight w:val="0"/>
      <w:marTop w:val="0"/>
      <w:marBottom w:val="0"/>
      <w:divBdr>
        <w:top w:val="none" w:sz="0" w:space="0" w:color="auto"/>
        <w:left w:val="none" w:sz="0" w:space="0" w:color="auto"/>
        <w:bottom w:val="none" w:sz="0" w:space="0" w:color="auto"/>
        <w:right w:val="none" w:sz="0" w:space="0" w:color="auto"/>
      </w:divBdr>
    </w:div>
    <w:div w:id="1392583770">
      <w:bodyDiv w:val="1"/>
      <w:marLeft w:val="0"/>
      <w:marRight w:val="0"/>
      <w:marTop w:val="0"/>
      <w:marBottom w:val="0"/>
      <w:divBdr>
        <w:top w:val="none" w:sz="0" w:space="0" w:color="auto"/>
        <w:left w:val="none" w:sz="0" w:space="0" w:color="auto"/>
        <w:bottom w:val="none" w:sz="0" w:space="0" w:color="auto"/>
        <w:right w:val="none" w:sz="0" w:space="0" w:color="auto"/>
      </w:divBdr>
    </w:div>
    <w:div w:id="1459639392">
      <w:bodyDiv w:val="1"/>
      <w:marLeft w:val="0"/>
      <w:marRight w:val="0"/>
      <w:marTop w:val="0"/>
      <w:marBottom w:val="0"/>
      <w:divBdr>
        <w:top w:val="none" w:sz="0" w:space="0" w:color="auto"/>
        <w:left w:val="none" w:sz="0" w:space="0" w:color="auto"/>
        <w:bottom w:val="none" w:sz="0" w:space="0" w:color="auto"/>
        <w:right w:val="none" w:sz="0" w:space="0" w:color="auto"/>
      </w:divBdr>
    </w:div>
    <w:div w:id="1485003249">
      <w:bodyDiv w:val="1"/>
      <w:marLeft w:val="0"/>
      <w:marRight w:val="0"/>
      <w:marTop w:val="0"/>
      <w:marBottom w:val="0"/>
      <w:divBdr>
        <w:top w:val="none" w:sz="0" w:space="0" w:color="auto"/>
        <w:left w:val="none" w:sz="0" w:space="0" w:color="auto"/>
        <w:bottom w:val="none" w:sz="0" w:space="0" w:color="auto"/>
        <w:right w:val="none" w:sz="0" w:space="0" w:color="auto"/>
      </w:divBdr>
      <w:divsChild>
        <w:div w:id="166403446">
          <w:marLeft w:val="0"/>
          <w:marRight w:val="0"/>
          <w:marTop w:val="0"/>
          <w:marBottom w:val="0"/>
          <w:divBdr>
            <w:top w:val="none" w:sz="0" w:space="0" w:color="auto"/>
            <w:left w:val="none" w:sz="0" w:space="0" w:color="auto"/>
            <w:bottom w:val="none" w:sz="0" w:space="0" w:color="auto"/>
            <w:right w:val="none" w:sz="0" w:space="0" w:color="auto"/>
          </w:divBdr>
          <w:divsChild>
            <w:div w:id="942763149">
              <w:marLeft w:val="0"/>
              <w:marRight w:val="0"/>
              <w:marTop w:val="0"/>
              <w:marBottom w:val="0"/>
              <w:divBdr>
                <w:top w:val="none" w:sz="0" w:space="0" w:color="auto"/>
                <w:left w:val="none" w:sz="0" w:space="0" w:color="auto"/>
                <w:bottom w:val="none" w:sz="0" w:space="0" w:color="auto"/>
                <w:right w:val="none" w:sz="0" w:space="0" w:color="auto"/>
              </w:divBdr>
              <w:divsChild>
                <w:div w:id="1834642431">
                  <w:marLeft w:val="0"/>
                  <w:marRight w:val="0"/>
                  <w:marTop w:val="0"/>
                  <w:marBottom w:val="0"/>
                  <w:divBdr>
                    <w:top w:val="none" w:sz="0" w:space="0" w:color="auto"/>
                    <w:left w:val="none" w:sz="0" w:space="0" w:color="auto"/>
                    <w:bottom w:val="none" w:sz="0" w:space="0" w:color="auto"/>
                    <w:right w:val="none" w:sz="0" w:space="0" w:color="auto"/>
                  </w:divBdr>
                  <w:divsChild>
                    <w:div w:id="891234483">
                      <w:marLeft w:val="-150"/>
                      <w:marRight w:val="-150"/>
                      <w:marTop w:val="0"/>
                      <w:marBottom w:val="0"/>
                      <w:divBdr>
                        <w:top w:val="none" w:sz="0" w:space="0" w:color="auto"/>
                        <w:left w:val="none" w:sz="0" w:space="0" w:color="auto"/>
                        <w:bottom w:val="none" w:sz="0" w:space="0" w:color="auto"/>
                        <w:right w:val="none" w:sz="0" w:space="0" w:color="auto"/>
                      </w:divBdr>
                      <w:divsChild>
                        <w:div w:id="1698004952">
                          <w:marLeft w:val="0"/>
                          <w:marRight w:val="0"/>
                          <w:marTop w:val="0"/>
                          <w:marBottom w:val="0"/>
                          <w:divBdr>
                            <w:top w:val="none" w:sz="0" w:space="0" w:color="auto"/>
                            <w:left w:val="none" w:sz="0" w:space="0" w:color="auto"/>
                            <w:bottom w:val="none" w:sz="0" w:space="0" w:color="auto"/>
                            <w:right w:val="none" w:sz="0" w:space="0" w:color="auto"/>
                          </w:divBdr>
                          <w:divsChild>
                            <w:div w:id="1590697281">
                              <w:marLeft w:val="0"/>
                              <w:marRight w:val="0"/>
                              <w:marTop w:val="0"/>
                              <w:marBottom w:val="0"/>
                              <w:divBdr>
                                <w:top w:val="none" w:sz="0" w:space="0" w:color="auto"/>
                                <w:left w:val="none" w:sz="0" w:space="0" w:color="auto"/>
                                <w:bottom w:val="none" w:sz="0" w:space="0" w:color="auto"/>
                                <w:right w:val="none" w:sz="0" w:space="0" w:color="auto"/>
                              </w:divBdr>
                              <w:divsChild>
                                <w:div w:id="659114865">
                                  <w:marLeft w:val="0"/>
                                  <w:marRight w:val="0"/>
                                  <w:marTop w:val="0"/>
                                  <w:marBottom w:val="300"/>
                                  <w:divBdr>
                                    <w:top w:val="none" w:sz="0" w:space="0" w:color="auto"/>
                                    <w:left w:val="none" w:sz="0" w:space="0" w:color="auto"/>
                                    <w:bottom w:val="none" w:sz="0" w:space="0" w:color="auto"/>
                                    <w:right w:val="none" w:sz="0" w:space="0" w:color="auto"/>
                                  </w:divBdr>
                                  <w:divsChild>
                                    <w:div w:id="1828400329">
                                      <w:marLeft w:val="0"/>
                                      <w:marRight w:val="0"/>
                                      <w:marTop w:val="0"/>
                                      <w:marBottom w:val="0"/>
                                      <w:divBdr>
                                        <w:top w:val="none" w:sz="0" w:space="0" w:color="auto"/>
                                        <w:left w:val="none" w:sz="0" w:space="0" w:color="auto"/>
                                        <w:bottom w:val="none" w:sz="0" w:space="0" w:color="auto"/>
                                        <w:right w:val="none" w:sz="0" w:space="0" w:color="auto"/>
                                      </w:divBdr>
                                      <w:divsChild>
                                        <w:div w:id="1731226094">
                                          <w:marLeft w:val="0"/>
                                          <w:marRight w:val="0"/>
                                          <w:marTop w:val="0"/>
                                          <w:marBottom w:val="0"/>
                                          <w:divBdr>
                                            <w:top w:val="none" w:sz="0" w:space="0" w:color="auto"/>
                                            <w:left w:val="none" w:sz="0" w:space="0" w:color="auto"/>
                                            <w:bottom w:val="none" w:sz="0" w:space="0" w:color="auto"/>
                                            <w:right w:val="none" w:sz="0" w:space="0" w:color="auto"/>
                                          </w:divBdr>
                                          <w:divsChild>
                                            <w:div w:id="11687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710793">
      <w:bodyDiv w:val="1"/>
      <w:marLeft w:val="0"/>
      <w:marRight w:val="0"/>
      <w:marTop w:val="0"/>
      <w:marBottom w:val="0"/>
      <w:divBdr>
        <w:top w:val="none" w:sz="0" w:space="0" w:color="auto"/>
        <w:left w:val="none" w:sz="0" w:space="0" w:color="auto"/>
        <w:bottom w:val="none" w:sz="0" w:space="0" w:color="auto"/>
        <w:right w:val="none" w:sz="0" w:space="0" w:color="auto"/>
      </w:divBdr>
    </w:div>
    <w:div w:id="1508906210">
      <w:bodyDiv w:val="1"/>
      <w:marLeft w:val="0"/>
      <w:marRight w:val="0"/>
      <w:marTop w:val="0"/>
      <w:marBottom w:val="0"/>
      <w:divBdr>
        <w:top w:val="none" w:sz="0" w:space="0" w:color="auto"/>
        <w:left w:val="none" w:sz="0" w:space="0" w:color="auto"/>
        <w:bottom w:val="none" w:sz="0" w:space="0" w:color="auto"/>
        <w:right w:val="none" w:sz="0" w:space="0" w:color="auto"/>
      </w:divBdr>
    </w:div>
    <w:div w:id="1532110552">
      <w:bodyDiv w:val="1"/>
      <w:marLeft w:val="0"/>
      <w:marRight w:val="0"/>
      <w:marTop w:val="0"/>
      <w:marBottom w:val="0"/>
      <w:divBdr>
        <w:top w:val="none" w:sz="0" w:space="0" w:color="auto"/>
        <w:left w:val="none" w:sz="0" w:space="0" w:color="auto"/>
        <w:bottom w:val="none" w:sz="0" w:space="0" w:color="auto"/>
        <w:right w:val="none" w:sz="0" w:space="0" w:color="auto"/>
      </w:divBdr>
      <w:divsChild>
        <w:div w:id="1025986398">
          <w:marLeft w:val="0"/>
          <w:marRight w:val="0"/>
          <w:marTop w:val="0"/>
          <w:marBottom w:val="0"/>
          <w:divBdr>
            <w:top w:val="none" w:sz="0" w:space="0" w:color="auto"/>
            <w:left w:val="none" w:sz="0" w:space="0" w:color="auto"/>
            <w:bottom w:val="none" w:sz="0" w:space="0" w:color="auto"/>
            <w:right w:val="none" w:sz="0" w:space="0" w:color="auto"/>
          </w:divBdr>
          <w:divsChild>
            <w:div w:id="636106567">
              <w:marLeft w:val="0"/>
              <w:marRight w:val="0"/>
              <w:marTop w:val="0"/>
              <w:marBottom w:val="0"/>
              <w:divBdr>
                <w:top w:val="none" w:sz="0" w:space="0" w:color="auto"/>
                <w:left w:val="none" w:sz="0" w:space="0" w:color="auto"/>
                <w:bottom w:val="none" w:sz="0" w:space="0" w:color="auto"/>
                <w:right w:val="none" w:sz="0" w:space="0" w:color="auto"/>
              </w:divBdr>
              <w:divsChild>
                <w:div w:id="1559777830">
                  <w:marLeft w:val="0"/>
                  <w:marRight w:val="0"/>
                  <w:marTop w:val="0"/>
                  <w:marBottom w:val="0"/>
                  <w:divBdr>
                    <w:top w:val="none" w:sz="0" w:space="0" w:color="auto"/>
                    <w:left w:val="none" w:sz="0" w:space="0" w:color="auto"/>
                    <w:bottom w:val="none" w:sz="0" w:space="0" w:color="auto"/>
                    <w:right w:val="none" w:sz="0" w:space="0" w:color="auto"/>
                  </w:divBdr>
                  <w:divsChild>
                    <w:div w:id="667056846">
                      <w:marLeft w:val="0"/>
                      <w:marRight w:val="0"/>
                      <w:marTop w:val="0"/>
                      <w:marBottom w:val="0"/>
                      <w:divBdr>
                        <w:top w:val="none" w:sz="0" w:space="0" w:color="auto"/>
                        <w:left w:val="none" w:sz="0" w:space="0" w:color="auto"/>
                        <w:bottom w:val="none" w:sz="0" w:space="0" w:color="auto"/>
                        <w:right w:val="none" w:sz="0" w:space="0" w:color="auto"/>
                      </w:divBdr>
                    </w:div>
                  </w:divsChild>
                </w:div>
                <w:div w:id="4482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6315">
      <w:bodyDiv w:val="1"/>
      <w:marLeft w:val="0"/>
      <w:marRight w:val="0"/>
      <w:marTop w:val="0"/>
      <w:marBottom w:val="0"/>
      <w:divBdr>
        <w:top w:val="none" w:sz="0" w:space="0" w:color="auto"/>
        <w:left w:val="none" w:sz="0" w:space="0" w:color="auto"/>
        <w:bottom w:val="none" w:sz="0" w:space="0" w:color="auto"/>
        <w:right w:val="none" w:sz="0" w:space="0" w:color="auto"/>
      </w:divBdr>
    </w:div>
    <w:div w:id="1628045577">
      <w:bodyDiv w:val="1"/>
      <w:marLeft w:val="0"/>
      <w:marRight w:val="0"/>
      <w:marTop w:val="0"/>
      <w:marBottom w:val="0"/>
      <w:divBdr>
        <w:top w:val="none" w:sz="0" w:space="0" w:color="auto"/>
        <w:left w:val="none" w:sz="0" w:space="0" w:color="auto"/>
        <w:bottom w:val="none" w:sz="0" w:space="0" w:color="auto"/>
        <w:right w:val="none" w:sz="0" w:space="0" w:color="auto"/>
      </w:divBdr>
      <w:divsChild>
        <w:div w:id="1603803053">
          <w:marLeft w:val="0"/>
          <w:marRight w:val="0"/>
          <w:marTop w:val="0"/>
          <w:marBottom w:val="75"/>
          <w:divBdr>
            <w:top w:val="none" w:sz="0" w:space="0" w:color="auto"/>
            <w:left w:val="none" w:sz="0" w:space="0" w:color="auto"/>
            <w:bottom w:val="dotted" w:sz="6" w:space="1" w:color="D0D6DC"/>
            <w:right w:val="none" w:sz="0" w:space="0" w:color="auto"/>
          </w:divBdr>
        </w:div>
      </w:divsChild>
    </w:div>
    <w:div w:id="1700397766">
      <w:bodyDiv w:val="1"/>
      <w:marLeft w:val="0"/>
      <w:marRight w:val="0"/>
      <w:marTop w:val="0"/>
      <w:marBottom w:val="0"/>
      <w:divBdr>
        <w:top w:val="none" w:sz="0" w:space="0" w:color="auto"/>
        <w:left w:val="none" w:sz="0" w:space="0" w:color="auto"/>
        <w:bottom w:val="none" w:sz="0" w:space="0" w:color="auto"/>
        <w:right w:val="none" w:sz="0" w:space="0" w:color="auto"/>
      </w:divBdr>
    </w:div>
    <w:div w:id="1830558966">
      <w:bodyDiv w:val="1"/>
      <w:marLeft w:val="0"/>
      <w:marRight w:val="0"/>
      <w:marTop w:val="0"/>
      <w:marBottom w:val="0"/>
      <w:divBdr>
        <w:top w:val="none" w:sz="0" w:space="0" w:color="auto"/>
        <w:left w:val="none" w:sz="0" w:space="0" w:color="auto"/>
        <w:bottom w:val="none" w:sz="0" w:space="0" w:color="auto"/>
        <w:right w:val="none" w:sz="0" w:space="0" w:color="auto"/>
      </w:divBdr>
      <w:divsChild>
        <w:div w:id="207844990">
          <w:marLeft w:val="0"/>
          <w:marRight w:val="0"/>
          <w:marTop w:val="0"/>
          <w:marBottom w:val="0"/>
          <w:divBdr>
            <w:top w:val="none" w:sz="0" w:space="0" w:color="auto"/>
            <w:left w:val="none" w:sz="0" w:space="0" w:color="auto"/>
            <w:bottom w:val="none" w:sz="0" w:space="0" w:color="auto"/>
            <w:right w:val="none" w:sz="0" w:space="0" w:color="auto"/>
          </w:divBdr>
        </w:div>
        <w:div w:id="219446445">
          <w:marLeft w:val="0"/>
          <w:marRight w:val="0"/>
          <w:marTop w:val="0"/>
          <w:marBottom w:val="0"/>
          <w:divBdr>
            <w:top w:val="none" w:sz="0" w:space="0" w:color="auto"/>
            <w:left w:val="none" w:sz="0" w:space="0" w:color="auto"/>
            <w:bottom w:val="none" w:sz="0" w:space="0" w:color="auto"/>
            <w:right w:val="none" w:sz="0" w:space="0" w:color="auto"/>
          </w:divBdr>
        </w:div>
        <w:div w:id="279579685">
          <w:marLeft w:val="0"/>
          <w:marRight w:val="0"/>
          <w:marTop w:val="0"/>
          <w:marBottom w:val="0"/>
          <w:divBdr>
            <w:top w:val="none" w:sz="0" w:space="0" w:color="auto"/>
            <w:left w:val="none" w:sz="0" w:space="0" w:color="auto"/>
            <w:bottom w:val="none" w:sz="0" w:space="0" w:color="auto"/>
            <w:right w:val="none" w:sz="0" w:space="0" w:color="auto"/>
          </w:divBdr>
        </w:div>
        <w:div w:id="382799165">
          <w:marLeft w:val="0"/>
          <w:marRight w:val="0"/>
          <w:marTop w:val="0"/>
          <w:marBottom w:val="0"/>
          <w:divBdr>
            <w:top w:val="none" w:sz="0" w:space="0" w:color="auto"/>
            <w:left w:val="none" w:sz="0" w:space="0" w:color="auto"/>
            <w:bottom w:val="none" w:sz="0" w:space="0" w:color="auto"/>
            <w:right w:val="none" w:sz="0" w:space="0" w:color="auto"/>
          </w:divBdr>
        </w:div>
        <w:div w:id="917056013">
          <w:marLeft w:val="0"/>
          <w:marRight w:val="0"/>
          <w:marTop w:val="0"/>
          <w:marBottom w:val="0"/>
          <w:divBdr>
            <w:top w:val="none" w:sz="0" w:space="0" w:color="auto"/>
            <w:left w:val="none" w:sz="0" w:space="0" w:color="auto"/>
            <w:bottom w:val="none" w:sz="0" w:space="0" w:color="auto"/>
            <w:right w:val="none" w:sz="0" w:space="0" w:color="auto"/>
          </w:divBdr>
        </w:div>
        <w:div w:id="1133214845">
          <w:marLeft w:val="0"/>
          <w:marRight w:val="0"/>
          <w:marTop w:val="0"/>
          <w:marBottom w:val="0"/>
          <w:divBdr>
            <w:top w:val="none" w:sz="0" w:space="0" w:color="auto"/>
            <w:left w:val="none" w:sz="0" w:space="0" w:color="auto"/>
            <w:bottom w:val="none" w:sz="0" w:space="0" w:color="auto"/>
            <w:right w:val="none" w:sz="0" w:space="0" w:color="auto"/>
          </w:divBdr>
        </w:div>
        <w:div w:id="1374497118">
          <w:marLeft w:val="0"/>
          <w:marRight w:val="0"/>
          <w:marTop w:val="0"/>
          <w:marBottom w:val="0"/>
          <w:divBdr>
            <w:top w:val="none" w:sz="0" w:space="0" w:color="auto"/>
            <w:left w:val="none" w:sz="0" w:space="0" w:color="auto"/>
            <w:bottom w:val="none" w:sz="0" w:space="0" w:color="auto"/>
            <w:right w:val="none" w:sz="0" w:space="0" w:color="auto"/>
          </w:divBdr>
        </w:div>
        <w:div w:id="1473326015">
          <w:marLeft w:val="0"/>
          <w:marRight w:val="0"/>
          <w:marTop w:val="0"/>
          <w:marBottom w:val="0"/>
          <w:divBdr>
            <w:top w:val="none" w:sz="0" w:space="0" w:color="auto"/>
            <w:left w:val="none" w:sz="0" w:space="0" w:color="auto"/>
            <w:bottom w:val="none" w:sz="0" w:space="0" w:color="auto"/>
            <w:right w:val="none" w:sz="0" w:space="0" w:color="auto"/>
          </w:divBdr>
        </w:div>
        <w:div w:id="1684287171">
          <w:marLeft w:val="0"/>
          <w:marRight w:val="0"/>
          <w:marTop w:val="0"/>
          <w:marBottom w:val="0"/>
          <w:divBdr>
            <w:top w:val="none" w:sz="0" w:space="0" w:color="auto"/>
            <w:left w:val="none" w:sz="0" w:space="0" w:color="auto"/>
            <w:bottom w:val="none" w:sz="0" w:space="0" w:color="auto"/>
            <w:right w:val="none" w:sz="0" w:space="0" w:color="auto"/>
          </w:divBdr>
        </w:div>
        <w:div w:id="1777290327">
          <w:marLeft w:val="0"/>
          <w:marRight w:val="0"/>
          <w:marTop w:val="0"/>
          <w:marBottom w:val="0"/>
          <w:divBdr>
            <w:top w:val="none" w:sz="0" w:space="0" w:color="auto"/>
            <w:left w:val="none" w:sz="0" w:space="0" w:color="auto"/>
            <w:bottom w:val="none" w:sz="0" w:space="0" w:color="auto"/>
            <w:right w:val="none" w:sz="0" w:space="0" w:color="auto"/>
          </w:divBdr>
        </w:div>
        <w:div w:id="1820263324">
          <w:marLeft w:val="0"/>
          <w:marRight w:val="0"/>
          <w:marTop w:val="0"/>
          <w:marBottom w:val="0"/>
          <w:divBdr>
            <w:top w:val="none" w:sz="0" w:space="0" w:color="auto"/>
            <w:left w:val="none" w:sz="0" w:space="0" w:color="auto"/>
            <w:bottom w:val="none" w:sz="0" w:space="0" w:color="auto"/>
            <w:right w:val="none" w:sz="0" w:space="0" w:color="auto"/>
          </w:divBdr>
        </w:div>
      </w:divsChild>
    </w:div>
    <w:div w:id="1887375176">
      <w:bodyDiv w:val="1"/>
      <w:marLeft w:val="0"/>
      <w:marRight w:val="0"/>
      <w:marTop w:val="0"/>
      <w:marBottom w:val="0"/>
      <w:divBdr>
        <w:top w:val="none" w:sz="0" w:space="0" w:color="auto"/>
        <w:left w:val="none" w:sz="0" w:space="0" w:color="auto"/>
        <w:bottom w:val="none" w:sz="0" w:space="0" w:color="auto"/>
        <w:right w:val="none" w:sz="0" w:space="0" w:color="auto"/>
      </w:divBdr>
      <w:divsChild>
        <w:div w:id="214002858">
          <w:marLeft w:val="0"/>
          <w:marRight w:val="0"/>
          <w:marTop w:val="0"/>
          <w:marBottom w:val="0"/>
          <w:divBdr>
            <w:top w:val="none" w:sz="0" w:space="0" w:color="auto"/>
            <w:left w:val="none" w:sz="0" w:space="0" w:color="auto"/>
            <w:bottom w:val="none" w:sz="0" w:space="0" w:color="auto"/>
            <w:right w:val="none" w:sz="0" w:space="0" w:color="auto"/>
          </w:divBdr>
          <w:divsChild>
            <w:div w:id="627707755">
              <w:marLeft w:val="0"/>
              <w:marRight w:val="0"/>
              <w:marTop w:val="0"/>
              <w:marBottom w:val="0"/>
              <w:divBdr>
                <w:top w:val="none" w:sz="0" w:space="0" w:color="auto"/>
                <w:left w:val="none" w:sz="0" w:space="0" w:color="auto"/>
                <w:bottom w:val="none" w:sz="0" w:space="0" w:color="auto"/>
                <w:right w:val="none" w:sz="0" w:space="0" w:color="auto"/>
              </w:divBdr>
              <w:divsChild>
                <w:div w:id="268662369">
                  <w:marLeft w:val="0"/>
                  <w:marRight w:val="0"/>
                  <w:marTop w:val="0"/>
                  <w:marBottom w:val="0"/>
                  <w:divBdr>
                    <w:top w:val="none" w:sz="0" w:space="0" w:color="auto"/>
                    <w:left w:val="none" w:sz="0" w:space="0" w:color="auto"/>
                    <w:bottom w:val="none" w:sz="0" w:space="0" w:color="auto"/>
                    <w:right w:val="none" w:sz="0" w:space="0" w:color="auto"/>
                  </w:divBdr>
                  <w:divsChild>
                    <w:div w:id="516162931">
                      <w:marLeft w:val="0"/>
                      <w:marRight w:val="0"/>
                      <w:marTop w:val="300"/>
                      <w:marBottom w:val="0"/>
                      <w:divBdr>
                        <w:top w:val="none" w:sz="0" w:space="0" w:color="auto"/>
                        <w:left w:val="none" w:sz="0" w:space="0" w:color="auto"/>
                        <w:bottom w:val="none" w:sz="0" w:space="0" w:color="auto"/>
                        <w:right w:val="none" w:sz="0" w:space="0" w:color="auto"/>
                      </w:divBdr>
                      <w:divsChild>
                        <w:div w:id="2648523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01968">
      <w:bodyDiv w:val="1"/>
      <w:marLeft w:val="0"/>
      <w:marRight w:val="0"/>
      <w:marTop w:val="0"/>
      <w:marBottom w:val="0"/>
      <w:divBdr>
        <w:top w:val="none" w:sz="0" w:space="0" w:color="auto"/>
        <w:left w:val="none" w:sz="0" w:space="0" w:color="auto"/>
        <w:bottom w:val="none" w:sz="0" w:space="0" w:color="auto"/>
        <w:right w:val="none" w:sz="0" w:space="0" w:color="auto"/>
      </w:divBdr>
    </w:div>
    <w:div w:id="1920287739">
      <w:bodyDiv w:val="1"/>
      <w:marLeft w:val="0"/>
      <w:marRight w:val="0"/>
      <w:marTop w:val="0"/>
      <w:marBottom w:val="0"/>
      <w:divBdr>
        <w:top w:val="none" w:sz="0" w:space="0" w:color="auto"/>
        <w:left w:val="none" w:sz="0" w:space="0" w:color="auto"/>
        <w:bottom w:val="none" w:sz="0" w:space="0" w:color="auto"/>
        <w:right w:val="none" w:sz="0" w:space="0" w:color="auto"/>
      </w:divBdr>
      <w:divsChild>
        <w:div w:id="1393654819">
          <w:marLeft w:val="0"/>
          <w:marRight w:val="0"/>
          <w:marTop w:val="0"/>
          <w:marBottom w:val="0"/>
          <w:divBdr>
            <w:top w:val="none" w:sz="0" w:space="0" w:color="auto"/>
            <w:left w:val="none" w:sz="0" w:space="0" w:color="auto"/>
            <w:bottom w:val="none" w:sz="0" w:space="0" w:color="auto"/>
            <w:right w:val="none" w:sz="0" w:space="0" w:color="auto"/>
          </w:divBdr>
          <w:divsChild>
            <w:div w:id="1017542526">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0"/>
                  <w:marBottom w:val="0"/>
                  <w:divBdr>
                    <w:top w:val="none" w:sz="0" w:space="0" w:color="auto"/>
                    <w:left w:val="none" w:sz="0" w:space="0" w:color="auto"/>
                    <w:bottom w:val="none" w:sz="0" w:space="0" w:color="auto"/>
                    <w:right w:val="none" w:sz="0" w:space="0" w:color="auto"/>
                  </w:divBdr>
                  <w:divsChild>
                    <w:div w:id="818811981">
                      <w:marLeft w:val="0"/>
                      <w:marRight w:val="0"/>
                      <w:marTop w:val="225"/>
                      <w:marBottom w:val="0"/>
                      <w:divBdr>
                        <w:top w:val="single" w:sz="6" w:space="11" w:color="DDE0E5"/>
                        <w:left w:val="none" w:sz="0" w:space="0" w:color="auto"/>
                        <w:bottom w:val="none" w:sz="0" w:space="0" w:color="auto"/>
                        <w:right w:val="none" w:sz="0" w:space="0" w:color="auto"/>
                      </w:divBdr>
                    </w:div>
                  </w:divsChild>
                </w:div>
              </w:divsChild>
            </w:div>
          </w:divsChild>
        </w:div>
      </w:divsChild>
    </w:div>
    <w:div w:id="1923487731">
      <w:bodyDiv w:val="1"/>
      <w:marLeft w:val="0"/>
      <w:marRight w:val="0"/>
      <w:marTop w:val="0"/>
      <w:marBottom w:val="0"/>
      <w:divBdr>
        <w:top w:val="none" w:sz="0" w:space="0" w:color="auto"/>
        <w:left w:val="none" w:sz="0" w:space="0" w:color="auto"/>
        <w:bottom w:val="none" w:sz="0" w:space="0" w:color="auto"/>
        <w:right w:val="none" w:sz="0" w:space="0" w:color="auto"/>
      </w:divBdr>
    </w:div>
    <w:div w:id="1948342380">
      <w:bodyDiv w:val="1"/>
      <w:marLeft w:val="0"/>
      <w:marRight w:val="0"/>
      <w:marTop w:val="0"/>
      <w:marBottom w:val="0"/>
      <w:divBdr>
        <w:top w:val="none" w:sz="0" w:space="0" w:color="auto"/>
        <w:left w:val="none" w:sz="0" w:space="0" w:color="auto"/>
        <w:bottom w:val="none" w:sz="0" w:space="0" w:color="auto"/>
        <w:right w:val="none" w:sz="0" w:space="0" w:color="auto"/>
      </w:divBdr>
    </w:div>
    <w:div w:id="1955596697">
      <w:bodyDiv w:val="1"/>
      <w:marLeft w:val="0"/>
      <w:marRight w:val="0"/>
      <w:marTop w:val="0"/>
      <w:marBottom w:val="0"/>
      <w:divBdr>
        <w:top w:val="none" w:sz="0" w:space="0" w:color="auto"/>
        <w:left w:val="none" w:sz="0" w:space="0" w:color="auto"/>
        <w:bottom w:val="none" w:sz="0" w:space="0" w:color="auto"/>
        <w:right w:val="none" w:sz="0" w:space="0" w:color="auto"/>
      </w:divBdr>
      <w:divsChild>
        <w:div w:id="485557204">
          <w:marLeft w:val="0"/>
          <w:marRight w:val="0"/>
          <w:marTop w:val="120"/>
          <w:marBottom w:val="0"/>
          <w:divBdr>
            <w:top w:val="none" w:sz="0" w:space="0" w:color="auto"/>
            <w:left w:val="none" w:sz="0" w:space="0" w:color="auto"/>
            <w:bottom w:val="none" w:sz="0" w:space="0" w:color="auto"/>
            <w:right w:val="none" w:sz="0" w:space="0" w:color="auto"/>
          </w:divBdr>
        </w:div>
      </w:divsChild>
    </w:div>
    <w:div w:id="1993632770">
      <w:bodyDiv w:val="1"/>
      <w:marLeft w:val="0"/>
      <w:marRight w:val="0"/>
      <w:marTop w:val="0"/>
      <w:marBottom w:val="0"/>
      <w:divBdr>
        <w:top w:val="none" w:sz="0" w:space="0" w:color="auto"/>
        <w:left w:val="none" w:sz="0" w:space="0" w:color="auto"/>
        <w:bottom w:val="none" w:sz="0" w:space="0" w:color="auto"/>
        <w:right w:val="none" w:sz="0" w:space="0" w:color="auto"/>
      </w:divBdr>
      <w:divsChild>
        <w:div w:id="860049914">
          <w:marLeft w:val="0"/>
          <w:marRight w:val="0"/>
          <w:marTop w:val="0"/>
          <w:marBottom w:val="0"/>
          <w:divBdr>
            <w:top w:val="none" w:sz="0" w:space="0" w:color="auto"/>
            <w:left w:val="none" w:sz="0" w:space="0" w:color="auto"/>
            <w:bottom w:val="none" w:sz="0" w:space="0" w:color="auto"/>
            <w:right w:val="none" w:sz="0" w:space="0" w:color="auto"/>
          </w:divBdr>
          <w:divsChild>
            <w:div w:id="1308626029">
              <w:marLeft w:val="0"/>
              <w:marRight w:val="0"/>
              <w:marTop w:val="0"/>
              <w:marBottom w:val="0"/>
              <w:divBdr>
                <w:top w:val="none" w:sz="0" w:space="0" w:color="auto"/>
                <w:left w:val="none" w:sz="0" w:space="0" w:color="auto"/>
                <w:bottom w:val="none" w:sz="0" w:space="0" w:color="auto"/>
                <w:right w:val="none" w:sz="0" w:space="0" w:color="auto"/>
              </w:divBdr>
              <w:divsChild>
                <w:div w:id="1076972888">
                  <w:marLeft w:val="0"/>
                  <w:marRight w:val="0"/>
                  <w:marTop w:val="0"/>
                  <w:marBottom w:val="0"/>
                  <w:divBdr>
                    <w:top w:val="none" w:sz="0" w:space="0" w:color="auto"/>
                    <w:left w:val="none" w:sz="0" w:space="0" w:color="auto"/>
                    <w:bottom w:val="none" w:sz="0" w:space="0" w:color="auto"/>
                    <w:right w:val="none" w:sz="0" w:space="0" w:color="auto"/>
                  </w:divBdr>
                  <w:divsChild>
                    <w:div w:id="1307591076">
                      <w:marLeft w:val="-150"/>
                      <w:marRight w:val="-150"/>
                      <w:marTop w:val="0"/>
                      <w:marBottom w:val="0"/>
                      <w:divBdr>
                        <w:top w:val="none" w:sz="0" w:space="0" w:color="auto"/>
                        <w:left w:val="none" w:sz="0" w:space="0" w:color="auto"/>
                        <w:bottom w:val="none" w:sz="0" w:space="0" w:color="auto"/>
                        <w:right w:val="none" w:sz="0" w:space="0" w:color="auto"/>
                      </w:divBdr>
                      <w:divsChild>
                        <w:div w:id="1528789283">
                          <w:marLeft w:val="0"/>
                          <w:marRight w:val="0"/>
                          <w:marTop w:val="0"/>
                          <w:marBottom w:val="0"/>
                          <w:divBdr>
                            <w:top w:val="none" w:sz="0" w:space="0" w:color="auto"/>
                            <w:left w:val="none" w:sz="0" w:space="0" w:color="auto"/>
                            <w:bottom w:val="none" w:sz="0" w:space="0" w:color="auto"/>
                            <w:right w:val="none" w:sz="0" w:space="0" w:color="auto"/>
                          </w:divBdr>
                          <w:divsChild>
                            <w:div w:id="594098836">
                              <w:marLeft w:val="0"/>
                              <w:marRight w:val="0"/>
                              <w:marTop w:val="0"/>
                              <w:marBottom w:val="0"/>
                              <w:divBdr>
                                <w:top w:val="none" w:sz="0" w:space="0" w:color="auto"/>
                                <w:left w:val="none" w:sz="0" w:space="0" w:color="auto"/>
                                <w:bottom w:val="none" w:sz="0" w:space="0" w:color="auto"/>
                                <w:right w:val="none" w:sz="0" w:space="0" w:color="auto"/>
                              </w:divBdr>
                              <w:divsChild>
                                <w:div w:id="799345282">
                                  <w:marLeft w:val="0"/>
                                  <w:marRight w:val="0"/>
                                  <w:marTop w:val="0"/>
                                  <w:marBottom w:val="300"/>
                                  <w:divBdr>
                                    <w:top w:val="none" w:sz="0" w:space="0" w:color="auto"/>
                                    <w:left w:val="none" w:sz="0" w:space="0" w:color="auto"/>
                                    <w:bottom w:val="none" w:sz="0" w:space="0" w:color="auto"/>
                                    <w:right w:val="none" w:sz="0" w:space="0" w:color="auto"/>
                                  </w:divBdr>
                                  <w:divsChild>
                                    <w:div w:id="243146542">
                                      <w:marLeft w:val="0"/>
                                      <w:marRight w:val="0"/>
                                      <w:marTop w:val="0"/>
                                      <w:marBottom w:val="0"/>
                                      <w:divBdr>
                                        <w:top w:val="none" w:sz="0" w:space="0" w:color="auto"/>
                                        <w:left w:val="none" w:sz="0" w:space="0" w:color="auto"/>
                                        <w:bottom w:val="none" w:sz="0" w:space="0" w:color="auto"/>
                                        <w:right w:val="none" w:sz="0" w:space="0" w:color="auto"/>
                                      </w:divBdr>
                                      <w:divsChild>
                                        <w:div w:id="1723141278">
                                          <w:marLeft w:val="0"/>
                                          <w:marRight w:val="0"/>
                                          <w:marTop w:val="0"/>
                                          <w:marBottom w:val="0"/>
                                          <w:divBdr>
                                            <w:top w:val="none" w:sz="0" w:space="0" w:color="auto"/>
                                            <w:left w:val="none" w:sz="0" w:space="0" w:color="auto"/>
                                            <w:bottom w:val="none" w:sz="0" w:space="0" w:color="auto"/>
                                            <w:right w:val="none" w:sz="0" w:space="0" w:color="auto"/>
                                          </w:divBdr>
                                          <w:divsChild>
                                            <w:div w:id="13393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592105">
      <w:bodyDiv w:val="1"/>
      <w:marLeft w:val="0"/>
      <w:marRight w:val="0"/>
      <w:marTop w:val="0"/>
      <w:marBottom w:val="0"/>
      <w:divBdr>
        <w:top w:val="none" w:sz="0" w:space="0" w:color="auto"/>
        <w:left w:val="none" w:sz="0" w:space="0" w:color="auto"/>
        <w:bottom w:val="none" w:sz="0" w:space="0" w:color="auto"/>
        <w:right w:val="none" w:sz="0" w:space="0" w:color="auto"/>
      </w:divBdr>
      <w:divsChild>
        <w:div w:id="1023092375">
          <w:marLeft w:val="0"/>
          <w:marRight w:val="0"/>
          <w:marTop w:val="0"/>
          <w:marBottom w:val="0"/>
          <w:divBdr>
            <w:top w:val="none" w:sz="0" w:space="0" w:color="auto"/>
            <w:left w:val="none" w:sz="0" w:space="0" w:color="auto"/>
            <w:bottom w:val="none" w:sz="0" w:space="0" w:color="auto"/>
            <w:right w:val="none" w:sz="0" w:space="0" w:color="auto"/>
          </w:divBdr>
          <w:divsChild>
            <w:div w:id="217861741">
              <w:marLeft w:val="0"/>
              <w:marRight w:val="0"/>
              <w:marTop w:val="0"/>
              <w:marBottom w:val="0"/>
              <w:divBdr>
                <w:top w:val="none" w:sz="0" w:space="0" w:color="auto"/>
                <w:left w:val="none" w:sz="0" w:space="0" w:color="auto"/>
                <w:bottom w:val="none" w:sz="0" w:space="0" w:color="auto"/>
                <w:right w:val="none" w:sz="0" w:space="0" w:color="auto"/>
              </w:divBdr>
              <w:divsChild>
                <w:div w:id="1277523116">
                  <w:marLeft w:val="0"/>
                  <w:marRight w:val="0"/>
                  <w:marTop w:val="0"/>
                  <w:marBottom w:val="0"/>
                  <w:divBdr>
                    <w:top w:val="none" w:sz="0" w:space="0" w:color="auto"/>
                    <w:left w:val="none" w:sz="0" w:space="0" w:color="auto"/>
                    <w:bottom w:val="none" w:sz="0" w:space="0" w:color="auto"/>
                    <w:right w:val="none" w:sz="0" w:space="0" w:color="auto"/>
                  </w:divBdr>
                  <w:divsChild>
                    <w:div w:id="1393503597">
                      <w:marLeft w:val="0"/>
                      <w:marRight w:val="0"/>
                      <w:marTop w:val="0"/>
                      <w:marBottom w:val="0"/>
                      <w:divBdr>
                        <w:top w:val="none" w:sz="0" w:space="0" w:color="auto"/>
                        <w:left w:val="none" w:sz="0" w:space="0" w:color="auto"/>
                        <w:bottom w:val="none" w:sz="0" w:space="0" w:color="auto"/>
                        <w:right w:val="none" w:sz="0" w:space="0" w:color="auto"/>
                      </w:divBdr>
                      <w:divsChild>
                        <w:div w:id="1180315276">
                          <w:marLeft w:val="0"/>
                          <w:marRight w:val="0"/>
                          <w:marTop w:val="0"/>
                          <w:marBottom w:val="0"/>
                          <w:divBdr>
                            <w:top w:val="none" w:sz="0" w:space="0" w:color="auto"/>
                            <w:left w:val="none" w:sz="0" w:space="0" w:color="auto"/>
                            <w:bottom w:val="none" w:sz="0" w:space="0" w:color="auto"/>
                            <w:right w:val="none" w:sz="0" w:space="0" w:color="auto"/>
                          </w:divBdr>
                          <w:divsChild>
                            <w:div w:id="1531529670">
                              <w:marLeft w:val="-225"/>
                              <w:marRight w:val="-225"/>
                              <w:marTop w:val="0"/>
                              <w:marBottom w:val="0"/>
                              <w:divBdr>
                                <w:top w:val="none" w:sz="0" w:space="0" w:color="auto"/>
                                <w:left w:val="none" w:sz="0" w:space="0" w:color="auto"/>
                                <w:bottom w:val="none" w:sz="0" w:space="0" w:color="auto"/>
                                <w:right w:val="none" w:sz="0" w:space="0" w:color="auto"/>
                              </w:divBdr>
                              <w:divsChild>
                                <w:div w:id="1823427632">
                                  <w:marLeft w:val="0"/>
                                  <w:marRight w:val="0"/>
                                  <w:marTop w:val="0"/>
                                  <w:marBottom w:val="0"/>
                                  <w:divBdr>
                                    <w:top w:val="none" w:sz="0" w:space="0" w:color="auto"/>
                                    <w:left w:val="none" w:sz="0" w:space="0" w:color="auto"/>
                                    <w:bottom w:val="none" w:sz="0" w:space="0" w:color="auto"/>
                                    <w:right w:val="none" w:sz="0" w:space="0" w:color="auto"/>
                                  </w:divBdr>
                                  <w:divsChild>
                                    <w:div w:id="1178736634">
                                      <w:marLeft w:val="0"/>
                                      <w:marRight w:val="0"/>
                                      <w:marTop w:val="0"/>
                                      <w:marBottom w:val="133"/>
                                      <w:divBdr>
                                        <w:top w:val="none" w:sz="0" w:space="0" w:color="auto"/>
                                        <w:left w:val="none" w:sz="0" w:space="0" w:color="auto"/>
                                        <w:bottom w:val="none" w:sz="0" w:space="0" w:color="auto"/>
                                        <w:right w:val="none" w:sz="0" w:space="0" w:color="auto"/>
                                      </w:divBdr>
                                      <w:divsChild>
                                        <w:div w:id="17612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BG/TXT/?uri=CELEX%3A52017PC0797" TargetMode="External"/><Relationship Id="rId3" Type="http://schemas.openxmlformats.org/officeDocument/2006/relationships/hyperlink" Target="https://ec.europa.eu/commission/priorities/deeper-and-fairer-economic-and-monetary-union/european-pillar-social-rights_bg" TargetMode="External"/><Relationship Id="rId7" Type="http://schemas.openxmlformats.org/officeDocument/2006/relationships/hyperlink" Target="file://net1.cec.eu.int/empl/V/V1/Legal%20affairs/Passerelle%20clause/Communication/See" TargetMode="External"/><Relationship Id="rId2" Type="http://schemas.openxmlformats.org/officeDocument/2006/relationships/hyperlink" Target="http://europa.eu/rapid/press-release_STATEMENT-17-767_bg.htm" TargetMode="External"/><Relationship Id="rId1" Type="http://schemas.openxmlformats.org/officeDocument/2006/relationships/hyperlink" Target="https://ec.europa.eu/commission/sites/beta-political/files/social_priorities_juncker_commission_en.pdf" TargetMode="External"/><Relationship Id="rId6" Type="http://schemas.openxmlformats.org/officeDocument/2006/relationships/hyperlink" Target="https://ec.europa.eu/info/sites/info/files/2_en_act_part1_v4.pdf" TargetMode="External"/><Relationship Id="rId11" Type="http://schemas.openxmlformats.org/officeDocument/2006/relationships/hyperlink" Target="https://www.businesseurope.eu/publications/european-social-dialogue-work-programme-2019-2021" TargetMode="External"/><Relationship Id="rId5" Type="http://schemas.openxmlformats.org/officeDocument/2006/relationships/hyperlink" Target="http://www.europarl.europa.eu/thinktank/en/document.html?reference=EPRS_STU(2018)615660" TargetMode="External"/><Relationship Id="rId10" Type="http://schemas.openxmlformats.org/officeDocument/2006/relationships/hyperlink" Target="http://ec.europa.eu/social/BlobServlet?docId=15738&amp;langId=bg" TargetMode="External"/><Relationship Id="rId4" Type="http://schemas.openxmlformats.org/officeDocument/2006/relationships/hyperlink" Target="https://ec.europa.eu/commission/priorities/deeper-and-fairer-economic-and-monetary-union/european-pillar-social-rights_bg" TargetMode="External"/><Relationship Id="rId9" Type="http://schemas.openxmlformats.org/officeDocument/2006/relationships/hyperlink" Target="https://eur-lex.europa.eu/legal-content/BG/TXT/?uri=CELEX:52017PC0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EE39C47-C52B-4065-A5D5-58C81743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5933</Words>
  <Characters>34714</Characters>
  <Application>Microsoft Office Word</Application>
  <DocSecurity>0</DocSecurity>
  <Lines>609</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30</cp:revision>
  <cp:lastPrinted>2019-04-11T09:09:00Z</cp:lastPrinted>
  <dcterms:created xsi:type="dcterms:W3CDTF">2019-04-12T11:42:00Z</dcterms:created>
  <dcterms:modified xsi:type="dcterms:W3CDTF">2019-04-24T08:13:00Z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