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40" w:rsidRDefault="001829CC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3CCBC6E-67ED-4747-8AD2-896C1196E266" style="width:451.25pt;height:402.7pt">
            <v:imagedata r:id="rId8" o:title=""/>
          </v:shape>
        </w:pict>
      </w:r>
      <w:bookmarkEnd w:id="1"/>
    </w:p>
    <w:bookmarkEnd w:id="0"/>
    <w:p w:rsidR="00476B40" w:rsidRDefault="00476B40">
      <w:pPr>
        <w:rPr>
          <w:rFonts w:ascii="Times New Roman" w:hAnsi="Times New Roman" w:cs="Times New Roman"/>
          <w:noProof/>
          <w:sz w:val="24"/>
          <w:szCs w:val="24"/>
        </w:rPr>
        <w:sectPr w:rsidR="00476B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476B40" w:rsidRDefault="001829CC">
      <w:pPr>
        <w:pStyle w:val="ListParagraph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t xml:space="preserve">Wprowadzenie </w:t>
      </w:r>
    </w:p>
    <w:p w:rsidR="00476B40" w:rsidRDefault="001829CC">
      <w:pPr>
        <w:pStyle w:val="Defaul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Wymiar społeczny Unii Europejskiej jest zapisany w art. 3 Traktatu o Unii Europejskiej (TUE). Podkreśla się w nim cel Unii, jakim jest między innymi wspieranie dobrobytu jej narodów, działanie na rzecz zrównoważonego rozwoju i społecznej gospodarki rynkowe</w:t>
      </w:r>
      <w:r>
        <w:rPr>
          <w:rFonts w:ascii="Times New Roman" w:hAnsi="Times New Roman"/>
          <w:noProof/>
        </w:rPr>
        <w:t xml:space="preserve">j o wysokiej konkurencyjności, dążenie do pełnego zatrudnienia i postępu społecznego, zwalczanie wykluczenia społecznego i dyskryminacji oraz promowanie równości kobiet i mężczyzn. </w:t>
      </w:r>
    </w:p>
    <w:p w:rsidR="00476B40" w:rsidRDefault="00476B40">
      <w:pPr>
        <w:pStyle w:val="Default"/>
        <w:jc w:val="both"/>
        <w:rPr>
          <w:rFonts w:ascii="Times New Roman" w:hAnsi="Times New Roman" w:cs="Times New Roman"/>
          <w:noProof/>
          <w:color w:val="auto"/>
        </w:rPr>
      </w:pP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/>
          <w:noProof/>
          <w:color w:val="auto"/>
        </w:rPr>
        <w:t>W tym kontekście rolą Unii jest wspieranie i uzupełnianie polityki społec</w:t>
      </w:r>
      <w:r>
        <w:rPr>
          <w:rFonts w:ascii="Times New Roman" w:hAnsi="Times New Roman"/>
          <w:noProof/>
          <w:color w:val="auto"/>
        </w:rPr>
        <w:t>znej państw członkowskich i zapewnianie równych warunków działania, pozytywnej konwergencji społeczno-gospodarczej w zakresie zatrudnienia i wyników społecznych oraz dobrze funkcjonującego jednolitego rynku i unii gospodarczej i walutowej. W ciągu ostatnic</w:t>
      </w:r>
      <w:r>
        <w:rPr>
          <w:rFonts w:ascii="Times New Roman" w:hAnsi="Times New Roman"/>
          <w:noProof/>
          <w:color w:val="auto"/>
        </w:rPr>
        <w:t>h 60 lat przepisy na szczeblu UE, koordynacja polityki i finansowanie przyniosły wymierne postępy (zob. załącznik 1).</w:t>
      </w: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/>
          <w:noProof/>
          <w:color w:val="auto"/>
        </w:rPr>
        <w:t>W kontekście zmian na rynkach pracy i w społeczeństwach, a także nowych możliwości i wyzwań związanych z globalizacją, cyfryzacją, łagodze</w:t>
      </w:r>
      <w:r>
        <w:rPr>
          <w:rFonts w:ascii="Times New Roman" w:hAnsi="Times New Roman"/>
          <w:noProof/>
          <w:color w:val="auto"/>
        </w:rPr>
        <w:t>niem zmiany klimatu i przystosowywaniem się do niej, zmieniającymi się modelami pracy, migracją i starzeniem się społeczeństwa, kwestie społeczne należą do głównych obaw obywateli UE. W związku z tym Komisja Europejska przedstawiła kompleksowy program inic</w:t>
      </w:r>
      <w:r>
        <w:rPr>
          <w:rFonts w:ascii="Times New Roman" w:hAnsi="Times New Roman"/>
          <w:noProof/>
          <w:color w:val="auto"/>
        </w:rPr>
        <w:t>jatyw mających na celu aktualizację i modernizację przepisów socjalnych w UE</w:t>
      </w:r>
      <w:r>
        <w:rPr>
          <w:rStyle w:val="FootnoteReference"/>
          <w:rFonts w:ascii="Times New Roman" w:hAnsi="Times New Roman"/>
          <w:noProof/>
          <w:color w:val="auto"/>
        </w:rPr>
        <w:footnoteReference w:id="2"/>
      </w:r>
      <w:r>
        <w:rPr>
          <w:rFonts w:ascii="Times New Roman" w:hAnsi="Times New Roman"/>
          <w:noProof/>
          <w:color w:val="auto"/>
        </w:rPr>
        <w:t xml:space="preserve">. </w:t>
      </w:r>
      <w:r>
        <w:rPr>
          <w:rFonts w:ascii="Times New Roman" w:hAnsi="Times New Roman" w:cs="Times New Roman"/>
          <w:noProof/>
          <w:color w:val="auto"/>
        </w:rPr>
        <w:br/>
      </w:r>
      <w:r>
        <w:rPr>
          <w:rFonts w:ascii="Times New Roman" w:hAnsi="Times New Roman"/>
          <w:noProof/>
          <w:color w:val="auto"/>
        </w:rPr>
        <w:t>W marcu 2017 r. przywódcy UE zobowiązali się do kontynuowania prac na rzecz Europy socjalnej</w:t>
      </w:r>
      <w:r>
        <w:rPr>
          <w:rStyle w:val="FootnoteReference"/>
          <w:rFonts w:ascii="Times New Roman" w:hAnsi="Times New Roman"/>
          <w:noProof/>
          <w:color w:val="auto"/>
        </w:rPr>
        <w:footnoteReference w:id="3"/>
      </w:r>
      <w:r>
        <w:rPr>
          <w:rFonts w:ascii="Times New Roman" w:hAnsi="Times New Roman"/>
          <w:noProof/>
          <w:color w:val="auto"/>
        </w:rPr>
        <w:t>.</w:t>
      </w: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  <w:color w:val="auto"/>
        </w:rPr>
        <w:t xml:space="preserve">Przełomem było ogłoszenie w listopadzie 2017 r. Europejskiego filaru praw </w:t>
      </w:r>
      <w:r>
        <w:rPr>
          <w:rFonts w:ascii="Times New Roman" w:hAnsi="Times New Roman"/>
          <w:noProof/>
          <w:color w:val="auto"/>
        </w:rPr>
        <w:t>socjalnych. Zaproponowany przez Komisję i przyjęty we współpracy z Parlamentem Europejskim i Radą Unii Europejskiej Europejski filar praw socjalnych</w:t>
      </w:r>
      <w:r>
        <w:rPr>
          <w:rStyle w:val="FootnoteReference"/>
          <w:rFonts w:ascii="Times New Roman" w:hAnsi="Times New Roman"/>
          <w:noProof/>
          <w:color w:val="auto"/>
        </w:rPr>
        <w:footnoteReference w:id="4"/>
      </w:r>
      <w:r>
        <w:rPr>
          <w:rFonts w:ascii="Times New Roman" w:hAnsi="Times New Roman"/>
          <w:noProof/>
          <w:color w:val="auto"/>
        </w:rPr>
        <w:t xml:space="preserve"> to nowy punkt odniesienia dla obecnych i przyszłych wyzwań. Na szczeblu UE podjęto już szereg inicjatyw, k</w:t>
      </w:r>
      <w:r>
        <w:rPr>
          <w:rFonts w:ascii="Times New Roman" w:hAnsi="Times New Roman"/>
          <w:noProof/>
          <w:color w:val="auto"/>
        </w:rPr>
        <w:t>tóre są realizacją filaru i których celem jest modernizacja praw obywatelskich w szybko zmieniającym się świecie</w:t>
      </w:r>
      <w:r>
        <w:rPr>
          <w:rStyle w:val="FootnoteReference"/>
          <w:rFonts w:ascii="Times New Roman" w:hAnsi="Times New Roman"/>
          <w:noProof/>
        </w:rPr>
        <w:footnoteReference w:id="5"/>
      </w:r>
      <w:r>
        <w:rPr>
          <w:rFonts w:ascii="Times New Roman" w:hAnsi="Times New Roman"/>
          <w:noProof/>
          <w:color w:val="auto"/>
        </w:rPr>
        <w:t>, a które równocześnie mają się przyczyniać do realizacji celów zrównoważonego rozwoju ONZ.</w:t>
      </w: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W czasach szybkich, czasami gwałtownych zmian, niez</w:t>
      </w:r>
      <w:r>
        <w:rPr>
          <w:rFonts w:ascii="Times New Roman" w:hAnsi="Times New Roman"/>
          <w:noProof/>
        </w:rPr>
        <w:t xml:space="preserve">wykle ważne jest, aby UE wraz z państwami członkowskimi mogła szybko opracowywać skuteczne rozwiązania polityczne. </w:t>
      </w:r>
      <w:r>
        <w:rPr>
          <w:rFonts w:ascii="Times New Roman" w:hAnsi="Times New Roman"/>
          <w:noProof/>
        </w:rPr>
        <w:lastRenderedPageBreak/>
        <w:t>Wymaga to skutecznego procesu podejmowania decyzji, w ramach którego UE może wspierać i uzupełniać politykę krajową; szybciej radzić sobie z </w:t>
      </w:r>
      <w:r>
        <w:rPr>
          <w:rFonts w:ascii="Times New Roman" w:hAnsi="Times New Roman"/>
          <w:noProof/>
        </w:rPr>
        <w:t>nowymi wyzwaniami; jak najlepiej wykorzystywać możliwości wynikające z takich zmian; bronić zbiorowych interesów Unii oraz chronić obywateli UE.</w:t>
      </w: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Zgodnie z zapowiedzią przewodniczącego Jeana-Claude’a Junckera w orędziu o stanie Unii z września 2018 r. </w:t>
      </w:r>
      <w:r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/>
          <w:noProof/>
        </w:rPr>
        <w:t>stos</w:t>
      </w:r>
      <w:r>
        <w:rPr>
          <w:rFonts w:ascii="Times New Roman" w:hAnsi="Times New Roman"/>
          <w:noProof/>
        </w:rPr>
        <w:t xml:space="preserve">owne jest dokonanie oceny traktatowych ram podejmowania decyzji przez UE w różnych dziedzinach polityki, aby zagwarantować, że UE będzie mogła użyć wszystkich dostępnych narzędzi i najlepiej wykorzystać ich wartość dodaną. </w:t>
      </w: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Niniejszy komunikat jest </w:t>
      </w:r>
      <w:r>
        <w:rPr>
          <w:rFonts w:ascii="Times New Roman" w:hAnsi="Times New Roman"/>
          <w:noProof/>
        </w:rPr>
        <w:t>elementem szerszego zobowiązania Komisji, które polega na przeanalizowaniu możliwości usprawnienia procesu podejmowania decyzji przez wskazanie obszarów, w których możliwe byłoby częstsze wykorzystywanie mechanizmu głosowania większością kwalifikowaną</w:t>
      </w:r>
      <w:r>
        <w:rPr>
          <w:rStyle w:val="FootnoteReference"/>
          <w:rFonts w:ascii="Times New Roman" w:hAnsi="Times New Roman"/>
          <w:noProof/>
        </w:rPr>
        <w:footnoteReference w:id="6"/>
      </w:r>
      <w:r>
        <w:rPr>
          <w:rFonts w:ascii="Times New Roman" w:hAnsi="Times New Roman"/>
          <w:noProof/>
        </w:rPr>
        <w:t>; je</w:t>
      </w:r>
      <w:r>
        <w:rPr>
          <w:rFonts w:ascii="Times New Roman" w:hAnsi="Times New Roman"/>
          <w:noProof/>
        </w:rPr>
        <w:t>st kontynuacją wcześniejszych komunikatów w sprawie wspólnej polityki zagranicznej i bezpieczeństwa</w:t>
      </w:r>
      <w:r>
        <w:rPr>
          <w:rStyle w:val="FootnoteReference"/>
          <w:rFonts w:ascii="Times New Roman" w:hAnsi="Times New Roman"/>
          <w:noProof/>
        </w:rPr>
        <w:footnoteReference w:id="7"/>
      </w:r>
      <w:r>
        <w:rPr>
          <w:rFonts w:ascii="Times New Roman" w:hAnsi="Times New Roman"/>
          <w:noProof/>
        </w:rPr>
        <w:t>, opodatkowania</w:t>
      </w:r>
      <w:r>
        <w:rPr>
          <w:rStyle w:val="FootnoteReference"/>
          <w:rFonts w:ascii="Times New Roman" w:hAnsi="Times New Roman"/>
          <w:noProof/>
        </w:rPr>
        <w:footnoteReference w:id="8"/>
      </w:r>
      <w:r>
        <w:rPr>
          <w:rFonts w:ascii="Times New Roman" w:hAnsi="Times New Roman"/>
          <w:noProof/>
        </w:rPr>
        <w:t xml:space="preserve"> oraz energii i klimatu</w:t>
      </w:r>
      <w:r>
        <w:rPr>
          <w:rStyle w:val="FootnoteReference"/>
          <w:rFonts w:ascii="Times New Roman" w:hAnsi="Times New Roman"/>
          <w:noProof/>
        </w:rPr>
        <w:footnoteReference w:id="9"/>
      </w:r>
      <w:r>
        <w:rPr>
          <w:rFonts w:ascii="Times New Roman" w:hAnsi="Times New Roman"/>
          <w:noProof/>
        </w:rPr>
        <w:t xml:space="preserve">. </w:t>
      </w: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Należy zauważyć, że przez prawie trzydzieści lat zdecydowana większość decyzji w dziedzinie polityki społecznej b</w:t>
      </w:r>
      <w:r>
        <w:rPr>
          <w:rFonts w:ascii="Times New Roman" w:hAnsi="Times New Roman"/>
          <w:noProof/>
        </w:rPr>
        <w:t>yła podejmowana zgodnie ze zwykłą procedurą ustawodawczą, w ramach której Rada (stanowiąc większością kwalifikowaną) i Parlament Europejski działają jako współprawodawcy na równych zasadach (zob. poniżej). Kształtowanie polityki UE w sprawach społecznych r</w:t>
      </w:r>
      <w:r>
        <w:rPr>
          <w:rFonts w:ascii="Times New Roman" w:hAnsi="Times New Roman"/>
          <w:noProof/>
        </w:rPr>
        <w:t xml:space="preserve">óżni się zatem zdecydowanie od innych dziedzin, a mianowicie od opodatkowania i wspólnej polityki zagranicznej i bezpieczeństwa, w których jednomyślność jest nadal najczęściej stosowanym mechanizmem. </w:t>
      </w: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  <w:vertAlign w:val="superscript"/>
        </w:rPr>
      </w:pPr>
      <w:r>
        <w:rPr>
          <w:rFonts w:ascii="Times New Roman" w:hAnsi="Times New Roman"/>
          <w:noProof/>
        </w:rPr>
        <w:t>Kolejną nietypową cechą tego obszaru polityki jest obow</w:t>
      </w:r>
      <w:r>
        <w:rPr>
          <w:rFonts w:ascii="Times New Roman" w:hAnsi="Times New Roman"/>
          <w:noProof/>
        </w:rPr>
        <w:t>iązek przeprowadzenia przez Komisję konsultacji z partnerami społecznymi, zanim przedłoży ona wnioski ustawodawcze w dziedzinie polityki społecznej</w:t>
      </w:r>
      <w:r>
        <w:rPr>
          <w:rFonts w:ascii="Times New Roman" w:hAnsi="Times New Roman"/>
          <w:noProof/>
          <w:vertAlign w:val="superscript"/>
        </w:rPr>
        <w:footnoteReference w:id="10"/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  <w:vertAlign w:val="superscript"/>
        </w:rPr>
        <w:t xml:space="preserve"> </w:t>
      </w:r>
      <w:r>
        <w:rPr>
          <w:rFonts w:ascii="Times New Roman" w:hAnsi="Times New Roman"/>
          <w:noProof/>
        </w:rPr>
        <w:t xml:space="preserve">Ponadto partnerzy społeczni mogą negocjować umowy zbiorowe, które mogą być wdrożone autonomicznie zgodnie </w:t>
      </w:r>
      <w:r>
        <w:rPr>
          <w:rFonts w:ascii="Times New Roman" w:hAnsi="Times New Roman"/>
          <w:noProof/>
        </w:rPr>
        <w:t>z praktykami krajowymi lub być wdrożone na ich wniosek na szczeblu UE w drodze decyzji Rady</w:t>
      </w:r>
      <w:r>
        <w:rPr>
          <w:rFonts w:ascii="Times New Roman" w:hAnsi="Times New Roman"/>
          <w:noProof/>
          <w:vertAlign w:val="superscript"/>
        </w:rPr>
        <w:footnoteReference w:id="11"/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  <w:vertAlign w:val="superscript"/>
        </w:rPr>
        <w:t xml:space="preserve"> </w:t>
      </w:r>
    </w:p>
    <w:p w:rsidR="00476B40" w:rsidRDefault="00476B40">
      <w:pPr>
        <w:pStyle w:val="Default"/>
        <w:spacing w:after="240"/>
        <w:jc w:val="both"/>
        <w:rPr>
          <w:rFonts w:ascii="Times New Roman" w:hAnsi="Times New Roman" w:cs="Times New Roman"/>
          <w:noProof/>
        </w:rPr>
      </w:pPr>
    </w:p>
    <w:p w:rsidR="00476B40" w:rsidRDefault="001829CC">
      <w:pPr>
        <w:pStyle w:val="ListParagraph"/>
        <w:keepNext/>
        <w:numPr>
          <w:ilvl w:val="0"/>
          <w:numId w:val="100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t>Obecne ramy podejmowania decyzji w UE w dziedzinie polityki społecznej</w:t>
      </w:r>
    </w:p>
    <w:p w:rsidR="00476B40" w:rsidRDefault="001829CC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Dorobek prawny w zakresie polityki społecznej obejmuje 125 aktów prawnych obejmujących ró</w:t>
      </w:r>
      <w:r>
        <w:rPr>
          <w:rFonts w:ascii="Times New Roman" w:hAnsi="Times New Roman"/>
          <w:noProof/>
          <w:sz w:val="24"/>
        </w:rPr>
        <w:t>żne dziedziny, m.in. równość kobiet i mężczyzn, mobilność pracowników, prawa pracowników delegowanych, ochronę zdrowia i bezpieczeństwa pracowników, warunki pracy, informowanie pracowników i przeprowadzanie z nimi konsultacji. Za czasów Komisji Junckera pr</w:t>
      </w:r>
      <w:r>
        <w:rPr>
          <w:rFonts w:ascii="Times New Roman" w:hAnsi="Times New Roman"/>
          <w:noProof/>
          <w:sz w:val="24"/>
        </w:rPr>
        <w:t>zedłożono 27 wniosków dotyczących aktów prawnych w dziedzinie polityki społecznej i do tej pory osiągnięto porozumienie co do 24 z nich (zob. załącznik 2).</w:t>
      </w:r>
    </w:p>
    <w:p w:rsidR="00476B40" w:rsidRDefault="001829CC">
      <w:pPr>
        <w:keepLines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Znaczna część dorobku prawnego w dziedzinie polityki społecznej jest przyjmowana większością </w:t>
      </w:r>
      <w:r>
        <w:rPr>
          <w:rFonts w:ascii="Times New Roman" w:hAnsi="Times New Roman"/>
          <w:noProof/>
          <w:sz w:val="24"/>
        </w:rPr>
        <w:t>kwalifikowaną w ramach zwykłej procedury ustawodawczej. Ponadto umowy między partnerami społecznymi wdrażane na szczeblu UE odegrały znaczącą rolę w rozwoju socjalnego dorobku prawnego w UE. Akty prawne w niektórych obszarach były przyjmowane jednomyślnie,</w:t>
      </w:r>
      <w:r>
        <w:rPr>
          <w:rFonts w:ascii="Times New Roman" w:hAnsi="Times New Roman"/>
          <w:noProof/>
          <w:sz w:val="24"/>
        </w:rPr>
        <w:t xml:space="preserve"> np. pierwsze akty prawne dotyczące koordynacji systemów zabezpieczenia społecznego</w:t>
      </w:r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 xml:space="preserve"> oraz zwalczania dyskryminacji ze względu na płeć, rasę lub pochodzenie etniczne, religię lub światopogląd, niepełnosprawność, wiek lub orientację seksualną.</w:t>
      </w:r>
    </w:p>
    <w:p w:rsidR="00476B40" w:rsidRDefault="001829CC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Pewna liczba o</w:t>
      </w:r>
      <w:r>
        <w:rPr>
          <w:rFonts w:ascii="Times New Roman" w:hAnsi="Times New Roman"/>
          <w:noProof/>
          <w:sz w:val="24"/>
        </w:rPr>
        <w:t>bszarów polityki społecznej nadal jednak wymaga jednomyślności w Radzie i specjalnej procedury ustawodawczej, w której Parlament Europejski nie odgrywa roli współprawodawcy. Są to:</w:t>
      </w:r>
    </w:p>
    <w:p w:rsidR="00476B40" w:rsidRDefault="001829CC">
      <w:pPr>
        <w:pStyle w:val="ListParagraph"/>
        <w:numPr>
          <w:ilvl w:val="0"/>
          <w:numId w:val="8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niedyskryminacja (art. 19 ust. 1 TFUE);</w:t>
      </w:r>
    </w:p>
    <w:p w:rsidR="00476B40" w:rsidRDefault="001829CC">
      <w:pPr>
        <w:pStyle w:val="ListParagraph"/>
        <w:numPr>
          <w:ilvl w:val="0"/>
          <w:numId w:val="8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zabezpieczenie społeczne i ochrona </w:t>
      </w:r>
      <w:r>
        <w:rPr>
          <w:rFonts w:ascii="Times New Roman" w:hAnsi="Times New Roman"/>
          <w:noProof/>
          <w:sz w:val="24"/>
        </w:rPr>
        <w:t>socjalna pracowników (poza sytuacjami transgranicznymi) (art. 153 ust. 1 lit. c) TFUE);</w:t>
      </w:r>
    </w:p>
    <w:p w:rsidR="00476B40" w:rsidRDefault="001829CC">
      <w:pPr>
        <w:pStyle w:val="ListParagraph"/>
        <w:numPr>
          <w:ilvl w:val="0"/>
          <w:numId w:val="8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ochrona pracowników w przypadku wypowiedzenia umowy o pracę (art. 153 ust. 1 lit. d) TFUE);</w:t>
      </w:r>
    </w:p>
    <w:p w:rsidR="00476B40" w:rsidRDefault="001829CC">
      <w:pPr>
        <w:pStyle w:val="ListParagraph"/>
        <w:numPr>
          <w:ilvl w:val="0"/>
          <w:numId w:val="8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reprezentacja i obrona zbiorowa interesów pracowników i pracodawców (art. 15</w:t>
      </w:r>
      <w:r>
        <w:rPr>
          <w:rFonts w:ascii="Times New Roman" w:hAnsi="Times New Roman"/>
          <w:noProof/>
          <w:sz w:val="24"/>
        </w:rPr>
        <w:t>3 ust. 1 lit. f) TFUE); oraz</w:t>
      </w:r>
    </w:p>
    <w:p w:rsidR="00476B40" w:rsidRDefault="001829CC">
      <w:pPr>
        <w:pStyle w:val="ListParagraph"/>
        <w:numPr>
          <w:ilvl w:val="0"/>
          <w:numId w:val="8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warunki zatrudnienia obywateli państw trzecich legalnie przebywających na terytorium UE (art. 153 ust. 1 lit. g) TFUE).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Oprócz tego, że niektóre aspekty tych obszarów polityki mogą istotnie mieć wpływ na równowagę finansową kr</w:t>
      </w:r>
      <w:r>
        <w:rPr>
          <w:rFonts w:ascii="Times New Roman" w:hAnsi="Times New Roman"/>
          <w:noProof/>
          <w:sz w:val="24"/>
        </w:rPr>
        <w:t xml:space="preserve">ajowych systemów opieki społecznej, nie ma logicznego </w:t>
      </w:r>
      <w:r>
        <w:rPr>
          <w:rFonts w:ascii="Times New Roman" w:hAnsi="Times New Roman"/>
          <w:noProof/>
          <w:sz w:val="24"/>
        </w:rPr>
        <w:lastRenderedPageBreak/>
        <w:t>wyjaśnienia, dlaczego po kolejnych zmianach w Traktacie te nieliczne obszary nadal wymagają jednomyślności i specjalnej procedury ustawodawczej, w szczególności jeśli porównać je z obszarami już objętym</w:t>
      </w:r>
      <w:r>
        <w:rPr>
          <w:rFonts w:ascii="Times New Roman" w:hAnsi="Times New Roman"/>
          <w:noProof/>
          <w:sz w:val="24"/>
        </w:rPr>
        <w:t>i głosowaniem większością kwalifikowaną.</w:t>
      </w:r>
    </w:p>
    <w:p w:rsidR="00476B40" w:rsidRDefault="001829CC" w:rsidP="001829CC">
      <w:pPr>
        <w:pStyle w:val="BodyText"/>
        <w:keepNext/>
        <w:jc w:val="both"/>
        <w:rPr>
          <w:rFonts w:ascii="Times New Roman"/>
          <w:noProof/>
          <w:sz w:val="20"/>
        </w:rPr>
      </w:pPr>
      <w:r>
        <w:rPr>
          <w:rFonts w:ascii="Times New Roman" w:hAnsi="Times New Roman"/>
          <w:b/>
          <w:noProof/>
          <w:sz w:val="24"/>
        </w:rPr>
        <w:t>Wykres 1: Dorobek polityki społecznej – jednomyślność i głosowanie większością kwalifikowaną wraz z przykładami obowiązujących aktów prawnych</w:t>
      </w:r>
    </w:p>
    <w:p w:rsidR="00476B40" w:rsidRDefault="001829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fr-BE" w:eastAsia="fr-BE" w:bidi="ar-SA"/>
        </w:rPr>
        <w:drawing>
          <wp:inline distT="0" distB="0" distL="0" distR="0">
            <wp:extent cx="5760720" cy="6894088"/>
            <wp:effectExtent l="0" t="0" r="0" b="254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40" w:rsidRDefault="001829CC">
      <w:pPr>
        <w:pStyle w:val="ListParagraph"/>
        <w:keepNext/>
        <w:numPr>
          <w:ilvl w:val="0"/>
          <w:numId w:val="100"/>
        </w:numPr>
        <w:spacing w:before="480"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Wsparcie rozwoju polityki społecznej UE</w:t>
      </w:r>
    </w:p>
    <w:p w:rsidR="00476B40" w:rsidRDefault="001829CC">
      <w:pPr>
        <w:pStyle w:val="ListParagraph"/>
        <w:keepNext/>
        <w:numPr>
          <w:ilvl w:val="1"/>
          <w:numId w:val="79"/>
        </w:numPr>
        <w:spacing w:after="24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 xml:space="preserve">Usuwanie luk </w:t>
      </w:r>
      <w:r>
        <w:rPr>
          <w:rFonts w:ascii="Times New Roman" w:hAnsi="Times New Roman"/>
          <w:b/>
          <w:i/>
          <w:noProof/>
          <w:sz w:val="24"/>
        </w:rPr>
        <w:t>w zakresie ochrony</w:t>
      </w:r>
    </w:p>
    <w:p w:rsidR="00476B40" w:rsidRDefault="001829CC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Podejmowanie decyzji w oparciu o zasadę jednomyślności z jednej strony oraz istnienie w tym samym obszarze polityki głosowania większością kwalifikowaną i jednomyślności z drugiej strony doprowadziły do nierówności w rozwoju dorobku praw</w:t>
      </w:r>
      <w:r>
        <w:rPr>
          <w:rFonts w:ascii="Times New Roman" w:hAnsi="Times New Roman"/>
          <w:noProof/>
          <w:sz w:val="24"/>
        </w:rPr>
        <w:t>nego w zakresie polityki społecznej. Chociaż standardy ochrony są ogólnie wysokie, istnieją luki, w związku z którymi niektóre grupy nie są w równym stopniu chronione. Na przykład:</w:t>
      </w:r>
    </w:p>
    <w:p w:rsidR="00476B40" w:rsidRDefault="001829CC">
      <w:pPr>
        <w:pStyle w:val="ListParagraph"/>
        <w:numPr>
          <w:ilvl w:val="0"/>
          <w:numId w:val="81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UE istnieją kompleksowe przepisy prawne dotyczące równych szans i równego</w:t>
      </w:r>
      <w:r>
        <w:rPr>
          <w:rFonts w:ascii="Times New Roman" w:hAnsi="Times New Roman"/>
          <w:noProof/>
          <w:sz w:val="24"/>
        </w:rPr>
        <w:t xml:space="preserve"> traktowania kobiet i mężczyzn oraz równego traktowania ze względu na pochodzenie rasowe lub etniczne; nie zapewniono jednak w tym samym stopniu równego traktowania ze względu na religię lub przekonania, niepełnosprawność, wiek czy też orientację seksualną</w:t>
      </w:r>
      <w:r>
        <w:rPr>
          <w:rFonts w:ascii="Times New Roman" w:hAnsi="Times New Roman"/>
          <w:noProof/>
          <w:sz w:val="24"/>
        </w:rPr>
        <w:t xml:space="preserve">; jest to przykład obszaru objętego zasadą jednomyślności, w którym przepisy nie rozwinęły się równo; </w:t>
      </w:r>
    </w:p>
    <w:p w:rsidR="00476B40" w:rsidRDefault="001829CC">
      <w:pPr>
        <w:pStyle w:val="ListParagraph"/>
        <w:numPr>
          <w:ilvl w:val="0"/>
          <w:numId w:val="8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legalnie przebywający w UE obywatele państw trzecich są traktowani na równi z obywatelami UE pod względem dostępu do rynku pracy i warunków pracy (równie</w:t>
      </w:r>
      <w:r>
        <w:rPr>
          <w:rFonts w:ascii="Times New Roman" w:hAnsi="Times New Roman"/>
          <w:noProof/>
          <w:sz w:val="24"/>
        </w:rPr>
        <w:t>ż w zakresie dostępu do kształcenia i szkolenia zawodowego, uznawania dyplomów i innych kwalifikacji zawodowych, zabezpieczenia społecznego, dostępu do towarów i usług), brak jest jednak minimalnych wymogów UE, które mają służyć ich skutecznej integracji n</w:t>
      </w:r>
      <w:r>
        <w:rPr>
          <w:rFonts w:ascii="Times New Roman" w:hAnsi="Times New Roman"/>
          <w:noProof/>
          <w:sz w:val="24"/>
        </w:rPr>
        <w:t>a rynku pracy; jest to przykład dwóch procedur przewidzianych w Traktacie, w których obowiązują różne zasady głosowania, a które dotyczą podobnych obszarów, mianowicie legalnej imigracji i warunków pracy imigrantów przebywających legalnie na obszarze UE;</w:t>
      </w:r>
    </w:p>
    <w:p w:rsidR="00476B40" w:rsidRDefault="001829CC">
      <w:pPr>
        <w:pStyle w:val="ListParagraph"/>
        <w:numPr>
          <w:ilvl w:val="0"/>
          <w:numId w:val="8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</w:t>
      </w:r>
      <w:r>
        <w:rPr>
          <w:rFonts w:ascii="Times New Roman" w:hAnsi="Times New Roman"/>
          <w:noProof/>
          <w:sz w:val="24"/>
        </w:rPr>
        <w:t xml:space="preserve">rzed podjęciem decyzji zarząd musi poinformować pracowników i skonsultować się z nimi, w szczególności w przypadku planowanej restrukturyzacji, zwolnień grupowych lub przejęcia przedsiębiorstwa, a także w przypadku przedsiębiorstw działających na skalę UE </w:t>
      </w:r>
      <w:r>
        <w:rPr>
          <w:rFonts w:ascii="Times New Roman" w:hAnsi="Times New Roman"/>
          <w:noProof/>
          <w:sz w:val="24"/>
        </w:rPr>
        <w:t>(poprzez europejskie rady zakładowe), lecz (z wyjątkiem przepisów dotyczących uczestnictwa pracowników w różnych rodzajach europejskich spółek)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 xml:space="preserve"> nie istnieją wspólne minimalne wymogi w zakresie reprezentacji i obrony zbiorowej interesów pracowników i praco</w:t>
      </w:r>
      <w:r>
        <w:rPr>
          <w:rFonts w:ascii="Times New Roman" w:hAnsi="Times New Roman"/>
          <w:noProof/>
          <w:sz w:val="24"/>
        </w:rPr>
        <w:t>dawców. Ograniczony zakres mają również przepisy dotyczące szczególnej ochrony indywidualnych pracowników w przypadku rozwiązania stosunku pracy.</w:t>
      </w:r>
    </w:p>
    <w:p w:rsidR="00476B40" w:rsidRDefault="00476B40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6B40" w:rsidRDefault="001829CC">
      <w:pPr>
        <w:pStyle w:val="ListParagraph"/>
        <w:keepNext/>
        <w:numPr>
          <w:ilvl w:val="1"/>
          <w:numId w:val="79"/>
        </w:numPr>
        <w:spacing w:after="24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i/>
          <w:noProof/>
        </w:rPr>
      </w:pPr>
      <w:r>
        <w:rPr>
          <w:rFonts w:ascii="Times New Roman" w:hAnsi="Times New Roman"/>
          <w:b/>
          <w:i/>
          <w:noProof/>
          <w:sz w:val="24"/>
        </w:rPr>
        <w:t>Reagowanie na zmieniające się wyzwania społeczne</w:t>
      </w:r>
    </w:p>
    <w:p w:rsidR="00476B40" w:rsidRDefault="001829CC">
      <w:pPr>
        <w:pStyle w:val="Default"/>
        <w:spacing w:after="12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UE i wszystkie państwa członkowskie stoją przed wspólnymi wy</w:t>
      </w:r>
      <w:r>
        <w:rPr>
          <w:rFonts w:ascii="Times New Roman" w:hAnsi="Times New Roman"/>
          <w:noProof/>
        </w:rPr>
        <w:t>zwaniami związanymi z nowymi technologiami, rosnącą presją konkurencyjną w zglobalizowanej gospodarce, nowymi formami pracy i tendencjami demograficznymi (w tym starzeniem się społeczeństwa). Muszą one również w pełni wykorzystywać możliwości wynikające z </w:t>
      </w:r>
      <w:r>
        <w:rPr>
          <w:rFonts w:ascii="Times New Roman" w:hAnsi="Times New Roman"/>
          <w:noProof/>
        </w:rPr>
        <w:t>niektórych zmian (np. z cyfryzacji). Ochrona podstaw europejskiego modelu społecznego dla przyszłych pokoleń wymaga działania w wielu dziedzinach, a przede wszystkim:</w:t>
      </w:r>
    </w:p>
    <w:p w:rsidR="00476B40" w:rsidRDefault="001829CC">
      <w:pPr>
        <w:pStyle w:val="Default"/>
        <w:numPr>
          <w:ilvl w:val="0"/>
          <w:numId w:val="98"/>
        </w:numPr>
        <w:spacing w:after="12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zapewnienia zrównoważonych i odpowiednich systemów emerytalnych i systemów opieki </w:t>
      </w:r>
      <w:r>
        <w:rPr>
          <w:rFonts w:ascii="Times New Roman" w:hAnsi="Times New Roman"/>
          <w:noProof/>
        </w:rPr>
        <w:t>długoterminowej w obliczu starzenia się społeczeństwa oraz zmieniających się modeli życia prywatnego i rodzinnego;</w:t>
      </w:r>
    </w:p>
    <w:p w:rsidR="00476B40" w:rsidRDefault="001829CC">
      <w:pPr>
        <w:pStyle w:val="Default"/>
        <w:numPr>
          <w:ilvl w:val="0"/>
          <w:numId w:val="98"/>
        </w:numPr>
        <w:spacing w:after="12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wspierania pracowników w trakcie dłuższych i bardziej zróżnicowanych karier zawodowych, a także coraz częstszych zmian w życiu zawodowym i pr</w:t>
      </w:r>
      <w:r>
        <w:rPr>
          <w:rFonts w:ascii="Times New Roman" w:hAnsi="Times New Roman"/>
          <w:noProof/>
        </w:rPr>
        <w:t>ywatnym;</w:t>
      </w:r>
    </w:p>
    <w:p w:rsidR="00476B40" w:rsidRDefault="001829CC">
      <w:pPr>
        <w:pStyle w:val="Default"/>
        <w:numPr>
          <w:ilvl w:val="0"/>
          <w:numId w:val="98"/>
        </w:numPr>
        <w:spacing w:after="12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podnoszenia poziomu umiejętności i zagwarantowania możliwości uczenia się przez całe życie w celu zapewnienia konkurencyjności naszych gospodarek; oraz</w:t>
      </w:r>
    </w:p>
    <w:p w:rsidR="00476B40" w:rsidRDefault="001829CC">
      <w:pPr>
        <w:pStyle w:val="Default"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promowania korzyści płynących ze zróżnicowanych społeczeństw, przy jednoczesnym zapewnieniu włą</w:t>
      </w:r>
      <w:r>
        <w:rPr>
          <w:rFonts w:ascii="Times New Roman" w:hAnsi="Times New Roman"/>
          <w:noProof/>
        </w:rPr>
        <w:t>czenia społecznego i równych szans dla wszystkich.</w:t>
      </w:r>
    </w:p>
    <w:p w:rsidR="00476B40" w:rsidRDefault="001829CC">
      <w:pPr>
        <w:pStyle w:val="Default"/>
        <w:spacing w:after="24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Aby sprostać tym zmieniającym się wyzwaniom, UE potrzebuje szybkiego, skutecznego i elastycznego mechanizmu podejmowania decyzji na szczeblu UE, tak aby przepisy prawne i niewiążące instrumenty, takie jak </w:t>
      </w:r>
      <w:r>
        <w:rPr>
          <w:rFonts w:ascii="Times New Roman" w:hAnsi="Times New Roman"/>
          <w:noProof/>
        </w:rPr>
        <w:t>zalecenia, mogły nadążać za rozwojem gospodarczym i społecznym.</w:t>
      </w:r>
    </w:p>
    <w:p w:rsidR="00476B40" w:rsidRDefault="001829CC">
      <w:pPr>
        <w:pStyle w:val="ListParagraph"/>
        <w:keepNext/>
        <w:numPr>
          <w:ilvl w:val="1"/>
          <w:numId w:val="79"/>
        </w:numPr>
        <w:spacing w:after="24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>Wspieranie kultury kompromisu</w:t>
      </w:r>
    </w:p>
    <w:p w:rsidR="00476B40" w:rsidRDefault="001829CC">
      <w:pPr>
        <w:pStyle w:val="Default"/>
        <w:spacing w:after="240"/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hAnsi="Times New Roman"/>
          <w:noProof/>
          <w:color w:val="auto"/>
        </w:rPr>
        <w:t>Głosowanie większością kwalifikowaną opiera się na kulturze kompromisu, umożliwia debatę i prowadzi do pragmatycznych osiągnięć, które odzwierciedlają interesy Un</w:t>
      </w:r>
      <w:r>
        <w:rPr>
          <w:rFonts w:ascii="Times New Roman" w:hAnsi="Times New Roman"/>
          <w:noProof/>
          <w:color w:val="auto"/>
        </w:rPr>
        <w:t>ii jako całości. Elastyczny, skuteczny i szybki proces podejmowania decyzji pozwolił UE stać się międzynarodowym wzorcem i autorem standardów w takich obszarach polityki jak bezpieczeństwo i higiena pracy. Głosowanie większością kwalifikowaną może być potę</w:t>
      </w:r>
      <w:r>
        <w:rPr>
          <w:rFonts w:ascii="Times New Roman" w:hAnsi="Times New Roman"/>
          <w:noProof/>
          <w:color w:val="auto"/>
        </w:rPr>
        <w:t>żnym katalizatorem angażującym wszystkie podmioty w poszukiwaniu kompromisu i wyników, które będą do zaakceptowania przez wszystkich.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B40">
        <w:tc>
          <w:tcPr>
            <w:tcW w:w="9242" w:type="dxa"/>
          </w:tcPr>
          <w:p w:rsidR="00476B40" w:rsidRDefault="001829C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 xml:space="preserve">Głosowanie większością kwalifikowaną wykracza poza zasadę zwykłej większości, czyli 50 % oddanych głosów. Wstrzymanie się </w:t>
            </w:r>
            <w:r>
              <w:rPr>
                <w:rFonts w:ascii="Times New Roman" w:hAnsi="Times New Roman"/>
                <w:i/>
                <w:noProof/>
                <w:sz w:val="24"/>
              </w:rPr>
              <w:t>od głosu nie jest uznawane za głos „za”, a zatem uzyskanie większości głosów wymaga od państw członkowskich zajęcia wyraźnego stanowiska co do propozycji i oddania za nią głosu. Większość kwalifikowana wymaga spełnienia dwóch warunków:</w:t>
            </w:r>
          </w:p>
          <w:p w:rsidR="00476B40" w:rsidRDefault="001829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•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i/>
                <w:noProof/>
                <w:sz w:val="24"/>
              </w:rPr>
              <w:t>55 % państw członk</w:t>
            </w:r>
            <w:r>
              <w:rPr>
                <w:rFonts w:ascii="Times New Roman" w:hAnsi="Times New Roman"/>
                <w:i/>
                <w:noProof/>
                <w:sz w:val="24"/>
              </w:rPr>
              <w:t>owskich musi głosować „za”; oraz</w:t>
            </w:r>
          </w:p>
          <w:p w:rsidR="00476B40" w:rsidRDefault="001829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568" w:hanging="284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•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i/>
                <w:noProof/>
                <w:sz w:val="24"/>
              </w:rPr>
              <w:t>propozycja musi uzyskać poparcie państw członkowskich reprezentujących co najmniej 65 % ludności UE.</w:t>
            </w:r>
          </w:p>
        </w:tc>
      </w:tr>
    </w:tbl>
    <w:p w:rsidR="00476B40" w:rsidRDefault="00476B40">
      <w:pPr>
        <w:pStyle w:val="Default"/>
        <w:jc w:val="both"/>
        <w:rPr>
          <w:rFonts w:ascii="Times New Roman" w:eastAsia="Times New Roman" w:hAnsi="Times New Roman" w:cs="Times New Roman"/>
          <w:noProof/>
          <w:color w:val="auto"/>
        </w:rPr>
      </w:pP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Głosowanie jednomyślne nie przewiduje takich warunków – jego główną cechą jest prawo weta dla każdego państwa </w:t>
      </w:r>
      <w:r>
        <w:rPr>
          <w:rFonts w:ascii="Times New Roman" w:hAnsi="Times New Roman"/>
          <w:noProof/>
          <w:sz w:val="24"/>
        </w:rPr>
        <w:t>członkowskiego. Zwiększa to ryzyko znacznego spowolnienia procesu stanowienia prawa. Na przykład zaproponowana w 2005 r. dyrektywa, której celem jest ochrona uprawnień do dodatkowych świadczeń emerytalnych dla pracowników migrujących, była zablokowana w Ra</w:t>
      </w:r>
      <w:r>
        <w:rPr>
          <w:rFonts w:ascii="Times New Roman" w:hAnsi="Times New Roman"/>
          <w:noProof/>
          <w:sz w:val="24"/>
        </w:rPr>
        <w:t>dzie przez sześć lat. Po wejściu w życie Traktatu z Lizbony w 2009 r. zmieniono zasady głosowania na większość kwalifikowaną i wniosek został przyjęty w 2014 r.</w:t>
      </w:r>
      <w:r>
        <w:rPr>
          <w:rStyle w:val="FootnoteReference"/>
          <w:rFonts w:ascii="Times New Roman" w:hAnsi="Times New Roman"/>
          <w:noProof/>
          <w:sz w:val="24"/>
        </w:rPr>
        <w:footnoteReference w:id="14"/>
      </w:r>
      <w:r>
        <w:rPr>
          <w:rFonts w:ascii="Times New Roman" w:hAnsi="Times New Roman"/>
          <w:noProof/>
          <w:sz w:val="24"/>
        </w:rPr>
        <w:t xml:space="preserve"> – dzięki niemu możliwa jest lepsza ochrona pracowników przemieszczających się na obszarze UE.</w:t>
      </w:r>
    </w:p>
    <w:p w:rsidR="00476B40" w:rsidRDefault="001829CC">
      <w:pPr>
        <w:pStyle w:val="ListParagraph"/>
        <w:keepNext/>
        <w:numPr>
          <w:ilvl w:val="1"/>
          <w:numId w:val="79"/>
        </w:numPr>
        <w:spacing w:after="24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i/>
          <w:noProof/>
        </w:rPr>
      </w:pPr>
      <w:r>
        <w:rPr>
          <w:rFonts w:ascii="Times New Roman" w:hAnsi="Times New Roman"/>
          <w:b/>
          <w:i/>
          <w:noProof/>
          <w:sz w:val="24"/>
        </w:rPr>
        <w:t>Większe zaangażowanie Parlamentu Europejskiego</w:t>
      </w:r>
    </w:p>
    <w:p w:rsidR="00476B40" w:rsidRDefault="001829CC">
      <w:pPr>
        <w:pStyle w:val="Default"/>
        <w:spacing w:after="24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Specjalne procedury ustawodawcze, w formie mającej zastosowanie do tych obszarów polityki społecznej, w których nadal wymaga się jednomyślności, nie zapewniają Parlamentowi Europejskiego równej i ważnej roli o</w:t>
      </w:r>
      <w:r>
        <w:rPr>
          <w:rFonts w:ascii="Times New Roman" w:hAnsi="Times New Roman"/>
          <w:noProof/>
        </w:rPr>
        <w:t>rganu współdecydującego – najczęściej zasięga się tylko jego opinii.</w:t>
      </w:r>
    </w:p>
    <w:p w:rsidR="00476B40" w:rsidRDefault="001829CC">
      <w:pPr>
        <w:pStyle w:val="Default"/>
        <w:spacing w:after="24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Można jednak argumentować, że Parlament Europejski powinien mieć więcej do powiedzenia, </w:t>
      </w:r>
      <w:r>
        <w:rPr>
          <w:rFonts w:ascii="Times New Roman" w:hAnsi="Times New Roman"/>
          <w:i/>
          <w:noProof/>
        </w:rPr>
        <w:t>zwłaszcza</w:t>
      </w:r>
      <w:r>
        <w:rPr>
          <w:rFonts w:ascii="Times New Roman" w:hAnsi="Times New Roman"/>
          <w:noProof/>
        </w:rPr>
        <w:t xml:space="preserve"> w dziedzinie polityki społecznej. Posłowie do Parlamentu Europejskiego reprezentują obywa</w:t>
      </w:r>
      <w:r>
        <w:rPr>
          <w:rFonts w:ascii="Times New Roman" w:hAnsi="Times New Roman"/>
          <w:noProof/>
        </w:rPr>
        <w:t>teli, którzy bezpośrednio korzystają z przepisów polityki społecznej w UE i którzy powinni mieć prawo głosu w jej tworzeniu za pośrednictwem wybranych przez siebie przedstawicieli.</w:t>
      </w: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Przejście na zwykłą procedurę ustawodawczą, w ramach której Parlament jest </w:t>
      </w:r>
      <w:r>
        <w:rPr>
          <w:rFonts w:ascii="Times New Roman" w:hAnsi="Times New Roman"/>
          <w:noProof/>
        </w:rPr>
        <w:t>współprawodawcą na równi z Radą, umożliwiłoby przedstawicielom obywateli wniesienie pełnego wkładu w kształtowanie polityki społecznej UE.</w:t>
      </w:r>
    </w:p>
    <w:p w:rsidR="00476B40" w:rsidRDefault="001829CC">
      <w:pPr>
        <w:pStyle w:val="ListParagraph"/>
        <w:keepNext/>
        <w:numPr>
          <w:ilvl w:val="0"/>
          <w:numId w:val="100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Obecne możliwości, jeśli chodzi o przejście z zasady jednomyślności na głosowanie większością kwalifikowaną</w:t>
      </w:r>
    </w:p>
    <w:p w:rsidR="00476B40" w:rsidRDefault="001829CC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Zgodnie z traktatami UE w polityce społecznej zastosowanie mają dwie klauzule pomostowe: </w:t>
      </w:r>
    </w:p>
    <w:p w:rsidR="00476B40" w:rsidRDefault="001829CC">
      <w:pPr>
        <w:pStyle w:val="ListParagraph"/>
        <w:numPr>
          <w:ilvl w:val="0"/>
          <w:numId w:val="11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klauzula specjalna</w:t>
      </w:r>
      <w:r>
        <w:rPr>
          <w:rFonts w:ascii="Times New Roman" w:hAnsi="Times New Roman"/>
          <w:noProof/>
          <w:sz w:val="24"/>
        </w:rPr>
        <w:t xml:space="preserve"> dotycząca polityki społecznej (art. 153 ust. 2 akapit ostatni TFUE) oraz </w:t>
      </w:r>
    </w:p>
    <w:p w:rsidR="00476B40" w:rsidRDefault="001829CC">
      <w:pPr>
        <w:pStyle w:val="ListParagraph"/>
        <w:numPr>
          <w:ilvl w:val="0"/>
          <w:numId w:val="112"/>
        </w:num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klauzula ogólna</w:t>
      </w:r>
      <w:r>
        <w:rPr>
          <w:rFonts w:ascii="Times New Roman" w:hAnsi="Times New Roman"/>
          <w:noProof/>
          <w:sz w:val="24"/>
        </w:rPr>
        <w:t xml:space="preserve"> (art. 48 ust. 7 TUE). </w:t>
      </w:r>
    </w:p>
    <w:p w:rsidR="00476B40" w:rsidRDefault="001829CC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 dwie klauzule zasadniczo różnią</w:t>
      </w:r>
      <w:r>
        <w:rPr>
          <w:rFonts w:ascii="Times New Roman" w:hAnsi="Times New Roman"/>
          <w:noProof/>
          <w:sz w:val="24"/>
        </w:rPr>
        <w:t xml:space="preserve"> się proceduralnie.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76B40">
        <w:tc>
          <w:tcPr>
            <w:tcW w:w="9242" w:type="dxa"/>
          </w:tcPr>
          <w:p w:rsidR="00476B40" w:rsidRDefault="001829CC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Klauzule pomostowe</w:t>
            </w:r>
          </w:p>
          <w:p w:rsidR="00476B40" w:rsidRDefault="001829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Art. 48 ust. 7 TUE przewiduje ogólną klauzulę pomostową.</w:t>
            </w:r>
            <w:r>
              <w:rPr>
                <w:rFonts w:ascii="Times New Roman" w:hAnsi="Times New Roman"/>
                <w:noProof/>
                <w:sz w:val="24"/>
              </w:rPr>
              <w:t xml:space="preserve"> W</w:t>
            </w:r>
            <w:r>
              <w:rPr>
                <w:rFonts w:ascii="Times New Roman" w:hAnsi="Times New Roman"/>
                <w:b/>
                <w:noProof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</w:rPr>
              <w:t xml:space="preserve">dziedzinie lub w przypadku, w których zastosowanie ma zasada jednomyślności, pozwala ona na przyjęcie środków przez Radę kwalifikowaną większością głosów lub </w:t>
            </w:r>
            <w:r>
              <w:rPr>
                <w:rFonts w:ascii="Times New Roman" w:hAnsi="Times New Roman"/>
                <w:noProof/>
                <w:sz w:val="24"/>
              </w:rPr>
              <w:t>– w przypadku specjalnych procedur ustawodawczych – przez Parlament Europejski i Radę w drodze zwykłej procedury ustawodawczej.</w:t>
            </w:r>
          </w:p>
          <w:p w:rsidR="00476B40" w:rsidRDefault="001829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Aby uruchomić tę klauzulę, Rada Europejska musi podjąć inicjatywę, wskazując zakres planowanej zmiany w procedurze decyzyjnej, i</w:t>
            </w:r>
            <w:r>
              <w:rPr>
                <w:rFonts w:ascii="Times New Roman" w:hAnsi="Times New Roman"/>
                <w:noProof/>
                <w:sz w:val="24"/>
              </w:rPr>
              <w:t> powiadomić o niej parlamenty narodowe. Jeżeli żaden z parlamentów narodowych nie zgłosi sprzeciwu w terminie sześciu miesięcy, Rada Europejska może – jednomyślnie i po uzyskaniu zgody Parlamentu Europejskiego – przyjąć decyzję upoważniającą Radę do stanow</w:t>
            </w:r>
            <w:r>
              <w:rPr>
                <w:rFonts w:ascii="Times New Roman" w:hAnsi="Times New Roman"/>
                <w:noProof/>
                <w:sz w:val="24"/>
              </w:rPr>
              <w:t>ienia większością kwalifikowaną lub umożliwiającą przyjęcie odpowiednich aktów zgodnie ze zwykłą procedurą ustawodawczą.</w:t>
            </w:r>
          </w:p>
          <w:p w:rsidR="00476B40" w:rsidRDefault="001829CC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Ogólna klauzula pomostowa przewiduje zatem możliwość wprowadzenia głosowania większością kwalifikowaną, ale nadal w ramach specjalnej p</w:t>
            </w:r>
            <w:r>
              <w:rPr>
                <w:rFonts w:ascii="Times New Roman" w:hAnsi="Times New Roman"/>
                <w:noProof/>
                <w:sz w:val="24"/>
              </w:rPr>
              <w:t>rocedury ustawodawczej. Daje ona również możliwość głosowania większością kwalifikowaną w ramach zwykłej procedury ustawodawczej, w której Parlament Europejski ma uprawnienia do współdecydowania.</w:t>
            </w:r>
          </w:p>
          <w:p w:rsidR="00476B40" w:rsidRDefault="001829C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Art. 153 ust. 2 akapit ostatni TFUE przewiduje specjalną kla</w:t>
            </w:r>
            <w:r>
              <w:rPr>
                <w:rFonts w:ascii="Times New Roman" w:hAnsi="Times New Roman"/>
                <w:b/>
                <w:noProof/>
                <w:sz w:val="24"/>
              </w:rPr>
              <w:t>uzulę pomostową</w:t>
            </w:r>
            <w:r>
              <w:rPr>
                <w:rFonts w:ascii="Times New Roman" w:hAnsi="Times New Roman"/>
                <w:noProof/>
                <w:sz w:val="24"/>
              </w:rPr>
              <w:t>, która ma zastosowanie do środków z zakresu polityki społecznej, co do których obecnie wymaga się jednomyślności i specjalnej procedury ustawodawczej w dziedzinach objętych art. 153 ust. 1 lit. d), f) i g) TFUE. Ma ona zatem zastosowanie wz</w:t>
            </w:r>
            <w:r>
              <w:rPr>
                <w:rFonts w:ascii="Times New Roman" w:hAnsi="Times New Roman"/>
                <w:noProof/>
                <w:sz w:val="24"/>
              </w:rPr>
              <w:t>ględem środków wspierających i uzupełniających działania państw członkowskich w następujących dziedzinach:</w:t>
            </w:r>
          </w:p>
          <w:p w:rsidR="00476B40" w:rsidRDefault="001829CC">
            <w:pPr>
              <w:pStyle w:val="ListParagraph"/>
              <w:numPr>
                <w:ilvl w:val="0"/>
                <w:numId w:val="11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ochrona pracowników w przypadku wypowiedzenia umowy o pracę (zwolnienia);</w:t>
            </w:r>
          </w:p>
          <w:p w:rsidR="00476B40" w:rsidRDefault="001829CC">
            <w:pPr>
              <w:pStyle w:val="ListParagraph"/>
              <w:numPr>
                <w:ilvl w:val="0"/>
                <w:numId w:val="11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reprezentowanie i zbiorowa obrona interesów pracowników i pracodawców oraz </w:t>
            </w:r>
          </w:p>
          <w:p w:rsidR="00476B40" w:rsidRDefault="001829CC">
            <w:pPr>
              <w:pStyle w:val="ListParagraph"/>
              <w:numPr>
                <w:ilvl w:val="0"/>
                <w:numId w:val="11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warunki zatrudnienia obywateli państw trzecich legalnie przebywających na terytorium Unii.</w:t>
            </w:r>
          </w:p>
          <w:p w:rsidR="00476B40" w:rsidRDefault="001829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Zastosowanie zwykłej procedury ustawodawczej w tych dziedzinach wymaga każdorazowo jednomyślnej zgody Rady, na podstawie wniosku Komisji i po zasięgnięciu opinii Pa</w:t>
            </w:r>
            <w:r>
              <w:rPr>
                <w:rFonts w:ascii="Times New Roman" w:hAnsi="Times New Roman"/>
                <w:noProof/>
                <w:sz w:val="24"/>
              </w:rPr>
              <w:t xml:space="preserve">rlamentu Europejskiego. </w:t>
            </w:r>
          </w:p>
        </w:tc>
      </w:tr>
    </w:tbl>
    <w:p w:rsidR="00476B40" w:rsidRDefault="00476B40">
      <w:pPr>
        <w:pStyle w:val="Default"/>
        <w:spacing w:after="240"/>
        <w:jc w:val="both"/>
        <w:rPr>
          <w:rFonts w:ascii="Times New Roman" w:hAnsi="Times New Roman" w:cs="Times New Roman"/>
          <w:noProof/>
        </w:rPr>
      </w:pP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/>
          <w:noProof/>
        </w:rPr>
        <w:t xml:space="preserve">Traktaty przewidują również inny sposób rozwiązania impasu, w którym decyzja jest blokowana przez jedno lub kilka państw członkowskich korzystających z prawa weta. </w:t>
      </w:r>
      <w:r>
        <w:rPr>
          <w:rFonts w:ascii="Times New Roman" w:hAnsi="Times New Roman"/>
          <w:b/>
          <w:noProof/>
        </w:rPr>
        <w:t>Procedura wzmocnionej współpracy</w:t>
      </w:r>
      <w:r>
        <w:rPr>
          <w:rStyle w:val="FootnoteReference"/>
          <w:rFonts w:ascii="Times New Roman" w:hAnsi="Times New Roman"/>
          <w:noProof/>
        </w:rPr>
        <w:footnoteReference w:id="15"/>
      </w:r>
      <w:r>
        <w:rPr>
          <w:rFonts w:ascii="Times New Roman" w:hAnsi="Times New Roman"/>
          <w:noProof/>
        </w:rPr>
        <w:t xml:space="preserve"> umożliwia grupie co najmniej dz</w:t>
      </w:r>
      <w:r>
        <w:rPr>
          <w:rFonts w:ascii="Times New Roman" w:hAnsi="Times New Roman"/>
          <w:noProof/>
        </w:rPr>
        <w:t xml:space="preserve">iewięciu państw członkowskich wspólne podjęcie proponowanej inicjatywy, jeżeli osiągnięcie jednomyślnego porozumienia w Radzie okaże się niemożliwe. Inne państwa członkowskie UE nadal mają prawo przyłączyć się do tej inicjatywy na późniejszym etapie. </w:t>
      </w:r>
      <w:r>
        <w:rPr>
          <w:rFonts w:ascii="Times New Roman" w:hAnsi="Times New Roman"/>
          <w:noProof/>
          <w:color w:val="auto"/>
        </w:rPr>
        <w:t>W</w:t>
      </w:r>
      <w:r>
        <w:rPr>
          <w:rFonts w:ascii="Times New Roman" w:hAnsi="Times New Roman"/>
          <w:noProof/>
        </w:rPr>
        <w:t> </w:t>
      </w:r>
      <w:r>
        <w:rPr>
          <w:rFonts w:ascii="Times New Roman" w:hAnsi="Times New Roman"/>
          <w:noProof/>
          <w:color w:val="auto"/>
        </w:rPr>
        <w:t>ramach tej procedury art. 333 TFUE przewiduje również specjalną klauzulę pomostową umożliwiającą państwom członkowskim uczestniczącym w danej wzmocnionej współpracy podjęcie decyzji o zastosowaniu większości kwalifikowanej lub zwykłej procedury ustawodawcz</w:t>
      </w:r>
      <w:r>
        <w:rPr>
          <w:rFonts w:ascii="Times New Roman" w:hAnsi="Times New Roman"/>
          <w:noProof/>
          <w:color w:val="auto"/>
        </w:rPr>
        <w:t>ej.</w:t>
      </w:r>
    </w:p>
    <w:p w:rsidR="00476B40" w:rsidRDefault="001829CC">
      <w:pPr>
        <w:pStyle w:val="Default"/>
        <w:spacing w:after="240"/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/>
          <w:noProof/>
          <w:color w:val="auto"/>
        </w:rPr>
        <w:t>W dziedzinie polityki społecznej wzmocniona współpraca nie jest jednak rozwiązaniem szerszych ogólnoeuropejskich problemów, ponieważ stwarza ona ryzyko fragmentacji jednolitego rynku, powstania Europy „dwóch prędkości” oraz odmiennego traktowania obywa</w:t>
      </w:r>
      <w:r>
        <w:rPr>
          <w:rFonts w:ascii="Times New Roman" w:hAnsi="Times New Roman"/>
          <w:noProof/>
          <w:color w:val="auto"/>
        </w:rPr>
        <w:t xml:space="preserve">teli UE w zależności od tego, w którym państwie członkowskim mieszkają. </w:t>
      </w:r>
      <w:r>
        <w:rPr>
          <w:rFonts w:ascii="Times New Roman" w:hAnsi="Times New Roman"/>
          <w:noProof/>
        </w:rPr>
        <w:t>W</w:t>
      </w:r>
      <w:r>
        <w:rPr>
          <w:rFonts w:ascii="Times New Roman" w:hAnsi="Times New Roman"/>
          <w:noProof/>
          <w:color w:val="auto"/>
        </w:rPr>
        <w:t> </w:t>
      </w:r>
      <w:r>
        <w:rPr>
          <w:rFonts w:ascii="Times New Roman" w:hAnsi="Times New Roman"/>
          <w:noProof/>
        </w:rPr>
        <w:t>tym duchu art. 326 TFUE stanowi, że wzmocniona współpraca nie może naruszać rynku wewnętrznego ani spójności gospodarczej, społecznej i terytorialnej. Nie może ona stanowić przeszkod</w:t>
      </w:r>
      <w:r>
        <w:rPr>
          <w:rFonts w:ascii="Times New Roman" w:hAnsi="Times New Roman"/>
          <w:noProof/>
        </w:rPr>
        <w:t>y ani dyskryminacji w handlu między państwami członkowskimi, ani prowadzić do zakłócenia konkurencji między nimi.</w:t>
      </w:r>
      <w:r>
        <w:rPr>
          <w:rFonts w:ascii="Times New Roman" w:hAnsi="Times New Roman"/>
          <w:noProof/>
          <w:color w:val="auto"/>
        </w:rPr>
        <w:t xml:space="preserve"> Ma to szczególne znaczenie w przypadku polityki społecznej. Możliwość zastosowania procedury wzmocnionej współpracy wydaje się zatem niezadowa</w:t>
      </w:r>
      <w:r>
        <w:rPr>
          <w:rFonts w:ascii="Times New Roman" w:hAnsi="Times New Roman"/>
          <w:noProof/>
          <w:color w:val="auto"/>
        </w:rPr>
        <w:t>lająca w przypadku wniosków ustawodawczych dotyczących stosowania praw podstawowych, które powinny mieć zastosowanie do wszystkich osób we wszystkich państwach członkowskich UE. Już w 2014 r. pomysł na zastosowanie wzmocnionej współpracy do wniosku w spraw</w:t>
      </w:r>
      <w:r>
        <w:rPr>
          <w:rFonts w:ascii="Times New Roman" w:hAnsi="Times New Roman"/>
          <w:noProof/>
          <w:color w:val="auto"/>
        </w:rPr>
        <w:t>ie przekrojowej dyrektywy dotyczącej równego traktowania</w:t>
      </w:r>
      <w:r>
        <w:rPr>
          <w:rStyle w:val="FootnoteReference"/>
          <w:rFonts w:ascii="Times New Roman" w:hAnsi="Times New Roman"/>
          <w:noProof/>
          <w:color w:val="auto"/>
        </w:rPr>
        <w:footnoteReference w:id="16"/>
      </w:r>
      <w:r>
        <w:rPr>
          <w:rFonts w:ascii="Times New Roman" w:hAnsi="Times New Roman"/>
          <w:noProof/>
          <w:color w:val="auto"/>
        </w:rPr>
        <w:t xml:space="preserve"> został zdecydowanie odrzucony przez Radę. </w:t>
      </w:r>
    </w:p>
    <w:p w:rsidR="00476B40" w:rsidRDefault="001829CC">
      <w:pPr>
        <w:pStyle w:val="Default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Uruchomienie klauzul pomostowych w celu zastosowania głosowania większością kwalifikowaną nie ma tych wad, ponieważ pozwala UE jako całości na dalsze </w:t>
      </w:r>
      <w:r>
        <w:rPr>
          <w:rFonts w:ascii="Times New Roman" w:hAnsi="Times New Roman"/>
          <w:noProof/>
        </w:rPr>
        <w:t>postępy, a tym samym na utrzymanie integralności jednolitego rynku i społecznego wymiaru UE. Ponadto, choć zmieniłaby się w ten sposób metoda głosowania i podejmowania decyzji, ogólne ramy prawne działań UE pozostałyby niezmienione; w szczególności:</w:t>
      </w:r>
    </w:p>
    <w:p w:rsidR="00476B40" w:rsidRDefault="00476B40">
      <w:pPr>
        <w:pStyle w:val="Default"/>
        <w:jc w:val="both"/>
        <w:rPr>
          <w:rFonts w:ascii="Times New Roman" w:eastAsia="Times New Roman" w:hAnsi="Times New Roman" w:cs="Times New Roman"/>
          <w:noProof/>
        </w:rPr>
      </w:pPr>
    </w:p>
    <w:p w:rsidR="00476B40" w:rsidRDefault="001829CC">
      <w:pPr>
        <w:pStyle w:val="ListParagraph"/>
        <w:numPr>
          <w:ilvl w:val="0"/>
          <w:numId w:val="116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dział</w:t>
      </w:r>
      <w:r>
        <w:rPr>
          <w:rFonts w:ascii="Times New Roman" w:hAnsi="Times New Roman"/>
          <w:noProof/>
          <w:sz w:val="24"/>
        </w:rPr>
        <w:t xml:space="preserve">ania Unii będą w dalszym ciągu koncentrować się na obszarach, w których cele nie mogą zostać osiągnięte w sposób wystarczający przez państwa członkowskie, z uwagi na rozmiary i skutki proponowanych działań, przy pełnym poszanowaniu zasady </w:t>
      </w:r>
      <w:r>
        <w:rPr>
          <w:rFonts w:ascii="Times New Roman" w:hAnsi="Times New Roman"/>
          <w:b/>
          <w:noProof/>
          <w:sz w:val="24"/>
        </w:rPr>
        <w:t>pomocniczości</w:t>
      </w:r>
      <w:r>
        <w:rPr>
          <w:rFonts w:ascii="Times New Roman" w:hAnsi="Times New Roman"/>
          <w:noProof/>
          <w:sz w:val="24"/>
        </w:rPr>
        <w:t>. Zg</w:t>
      </w:r>
      <w:r>
        <w:rPr>
          <w:rFonts w:ascii="Times New Roman" w:hAnsi="Times New Roman"/>
          <w:noProof/>
          <w:sz w:val="24"/>
        </w:rPr>
        <w:t xml:space="preserve">odnie z zasadą </w:t>
      </w:r>
      <w:r>
        <w:rPr>
          <w:rFonts w:ascii="Times New Roman" w:hAnsi="Times New Roman"/>
          <w:b/>
          <w:noProof/>
          <w:sz w:val="24"/>
        </w:rPr>
        <w:t>proporcjonalności</w:t>
      </w:r>
      <w:r>
        <w:rPr>
          <w:rFonts w:ascii="Times New Roman" w:hAnsi="Times New Roman"/>
          <w:noProof/>
          <w:sz w:val="24"/>
        </w:rPr>
        <w:t xml:space="preserve"> zakres i forma działania Unii nie mogą wykraczać poza to, co jest konieczne do osiągnięcia celów Traktatów;</w:t>
      </w:r>
    </w:p>
    <w:p w:rsidR="00476B40" w:rsidRDefault="001829CC">
      <w:pPr>
        <w:pStyle w:val="ListParagraph"/>
        <w:numPr>
          <w:ilvl w:val="0"/>
          <w:numId w:val="11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zakres i warunki wykonywania uprawnień UE nie ulegają zmianie. </w:t>
      </w:r>
      <w:r>
        <w:rPr>
          <w:rFonts w:ascii="Times New Roman" w:hAnsi="Times New Roman"/>
          <w:noProof/>
          <w:sz w:val="24"/>
        </w:rPr>
        <w:t>Art. 153 TFUE przewiduje szereg kryteriów, które mus</w:t>
      </w:r>
      <w:r>
        <w:rPr>
          <w:rFonts w:ascii="Times New Roman" w:hAnsi="Times New Roman"/>
          <w:noProof/>
          <w:sz w:val="24"/>
        </w:rPr>
        <w:t xml:space="preserve">zą zostać spełnione przez środki UE w dziedzinie polityki społecznej; przykładowo w dyrektywach można określać jedynie </w:t>
      </w:r>
      <w:r>
        <w:rPr>
          <w:rFonts w:ascii="Times New Roman" w:hAnsi="Times New Roman"/>
          <w:i/>
          <w:noProof/>
          <w:sz w:val="24"/>
        </w:rPr>
        <w:t>minimalne wymagania</w:t>
      </w:r>
      <w:r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i/>
          <w:noProof/>
          <w:sz w:val="24"/>
        </w:rPr>
        <w:t>z</w:t>
      </w:r>
      <w:r>
        <w:rPr>
          <w:rFonts w:ascii="Times New Roman" w:hAnsi="Times New Roman"/>
          <w:noProof/>
          <w:sz w:val="24"/>
        </w:rPr>
        <w:t> </w:t>
      </w:r>
      <w:r>
        <w:rPr>
          <w:rFonts w:ascii="Times New Roman" w:hAnsi="Times New Roman"/>
          <w:i/>
          <w:noProof/>
          <w:sz w:val="24"/>
        </w:rPr>
        <w:t>uwzględnieniem warunków i norm technicznych istniejących w każdym z państw członkowskich</w:t>
      </w:r>
      <w:r>
        <w:rPr>
          <w:rFonts w:ascii="Times New Roman" w:hAnsi="Times New Roman"/>
          <w:noProof/>
          <w:sz w:val="24"/>
        </w:rPr>
        <w:t xml:space="preserve">, oraz </w:t>
      </w:r>
      <w:r>
        <w:rPr>
          <w:rFonts w:ascii="Times New Roman" w:hAnsi="Times New Roman"/>
          <w:i/>
          <w:noProof/>
          <w:sz w:val="24"/>
        </w:rPr>
        <w:t>należy unikać nadmi</w:t>
      </w:r>
      <w:r>
        <w:rPr>
          <w:rFonts w:ascii="Times New Roman" w:hAnsi="Times New Roman"/>
          <w:i/>
          <w:noProof/>
          <w:sz w:val="24"/>
        </w:rPr>
        <w:t>ernego obciążenia MŚP</w:t>
      </w:r>
      <w:r>
        <w:rPr>
          <w:rFonts w:ascii="Times New Roman" w:hAnsi="Times New Roman"/>
          <w:noProof/>
          <w:sz w:val="24"/>
        </w:rPr>
        <w:t xml:space="preserve">. Środki UE nie mogą naruszać </w:t>
      </w:r>
      <w:r>
        <w:rPr>
          <w:rFonts w:ascii="Times New Roman" w:hAnsi="Times New Roman"/>
          <w:i/>
          <w:noProof/>
          <w:sz w:val="24"/>
        </w:rPr>
        <w:t>prawa państw członkowskich do określenia podstawowych zasad ich systemów zabezpieczenia społecznego</w:t>
      </w:r>
      <w:r>
        <w:rPr>
          <w:rFonts w:ascii="Times New Roman" w:hAnsi="Times New Roman"/>
          <w:noProof/>
          <w:sz w:val="24"/>
        </w:rPr>
        <w:t xml:space="preserve"> ani </w:t>
      </w:r>
      <w:r>
        <w:rPr>
          <w:rFonts w:ascii="Times New Roman" w:hAnsi="Times New Roman"/>
          <w:i/>
          <w:noProof/>
          <w:sz w:val="24"/>
        </w:rPr>
        <w:t>znacząco wpływać na równowagę finansową tych systemów</w:t>
      </w:r>
      <w:r>
        <w:rPr>
          <w:rFonts w:ascii="Times New Roman" w:hAnsi="Times New Roman"/>
          <w:noProof/>
          <w:sz w:val="24"/>
        </w:rPr>
        <w:t>. Środki UE nie mogą stanowić przeszkody dla pań</w:t>
      </w:r>
      <w:r>
        <w:rPr>
          <w:rFonts w:ascii="Times New Roman" w:hAnsi="Times New Roman"/>
          <w:noProof/>
          <w:sz w:val="24"/>
        </w:rPr>
        <w:t xml:space="preserve">stwa członkowskiego w utrzymaniu lub ustanawianiu bardziej rygorystycznych i ochronnych środków. Art. 153 ust. 5 TFUE </w:t>
      </w:r>
      <w:r>
        <w:rPr>
          <w:rFonts w:ascii="Times New Roman" w:hAnsi="Times New Roman"/>
          <w:i/>
          <w:noProof/>
          <w:sz w:val="24"/>
        </w:rPr>
        <w:t>wyłącza</w:t>
      </w:r>
      <w:r>
        <w:rPr>
          <w:rFonts w:ascii="Times New Roman" w:hAnsi="Times New Roman"/>
          <w:noProof/>
          <w:sz w:val="24"/>
        </w:rPr>
        <w:t xml:space="preserve"> również wszelkie środki dotyczące wynagrodzeń, prawa zrzeszania się, prawa strajku i prawa lokautu. W art. 151 TFUE wymaga się, ab</w:t>
      </w:r>
      <w:r>
        <w:rPr>
          <w:rFonts w:ascii="Times New Roman" w:hAnsi="Times New Roman"/>
          <w:noProof/>
          <w:sz w:val="24"/>
        </w:rPr>
        <w:t xml:space="preserve">y środki UE </w:t>
      </w:r>
      <w:r>
        <w:rPr>
          <w:rFonts w:ascii="Times New Roman" w:hAnsi="Times New Roman"/>
          <w:i/>
          <w:noProof/>
          <w:sz w:val="24"/>
        </w:rPr>
        <w:t>uwzględniały różnorodność praktyk krajowych</w:t>
      </w:r>
      <w:r>
        <w:rPr>
          <w:rFonts w:ascii="Times New Roman" w:hAnsi="Times New Roman"/>
          <w:noProof/>
          <w:sz w:val="24"/>
        </w:rPr>
        <w:t>;</w:t>
      </w:r>
    </w:p>
    <w:p w:rsidR="00476B40" w:rsidRDefault="001829CC">
      <w:pPr>
        <w:pStyle w:val="ListParagraph"/>
        <w:numPr>
          <w:ilvl w:val="0"/>
          <w:numId w:val="116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rola partnerów społecznych w kształtowaniu prawodawstwa w dziedzinie polityki społecznej pozostanie bez zmian. </w:t>
      </w:r>
      <w:r>
        <w:rPr>
          <w:rFonts w:ascii="Times New Roman" w:hAnsi="Times New Roman"/>
          <w:noProof/>
          <w:sz w:val="24"/>
        </w:rPr>
        <w:t xml:space="preserve">Zgodnie z wymogiem zawartym w art. 154 TFUE Komisja będzie kontynuować dwuetapowe </w:t>
      </w:r>
      <w:r>
        <w:rPr>
          <w:rFonts w:ascii="Times New Roman" w:hAnsi="Times New Roman"/>
          <w:noProof/>
          <w:sz w:val="24"/>
        </w:rPr>
        <w:t xml:space="preserve">konsultacje z partnerami społecznymi przed przedłożeniem przyszłych wniosków w dziedzinie polityki społecznej. Komisja będzie zasięgać opinii partnerów społecznych w sprawie możliwego kierunku działania UE oraz w sprawie treści rozważanego wniosku. Należy </w:t>
      </w:r>
      <w:r>
        <w:rPr>
          <w:rFonts w:ascii="Times New Roman" w:hAnsi="Times New Roman"/>
          <w:noProof/>
          <w:sz w:val="24"/>
        </w:rPr>
        <w:t>zauważyć, że w zakresie, w jakim większość kwalifikowana miałaby zastosowanie do obszarów, których dotyczy art. 153 TFUE, miałaby ona również zastosowanie do wdrażania umów między partnerami społecznymi w drodze decyzji Rady na mocy art. 155 TFUE;</w:t>
      </w:r>
    </w:p>
    <w:p w:rsidR="00476B40" w:rsidRDefault="001829CC">
      <w:pPr>
        <w:pStyle w:val="ListParagraph"/>
        <w:numPr>
          <w:ilvl w:val="0"/>
          <w:numId w:val="116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lepsze s</w:t>
      </w:r>
      <w:r>
        <w:rPr>
          <w:rFonts w:ascii="Times New Roman" w:hAnsi="Times New Roman"/>
          <w:b/>
          <w:noProof/>
          <w:sz w:val="24"/>
        </w:rPr>
        <w:t>tanowienie prawa pozostaje ważnym elementem kształtowania polityki UE:</w:t>
      </w:r>
      <w:r>
        <w:rPr>
          <w:rFonts w:ascii="Times New Roman" w:hAnsi="Times New Roman"/>
          <w:noProof/>
          <w:sz w:val="24"/>
        </w:rPr>
        <w:t xml:space="preserve"> wszystkie wnioski ustawodawcze byłyby przygotowywane zgodnie z wytycznymi dotyczącymi lepszego stanowienia prawa. Dzięki nim polityka UE i stanowienie prawa są otwarte i przejrzyste, po</w:t>
      </w:r>
      <w:r>
        <w:rPr>
          <w:rFonts w:ascii="Times New Roman" w:hAnsi="Times New Roman"/>
          <w:noProof/>
          <w:sz w:val="24"/>
        </w:rPr>
        <w:t>parte dowodami i zrozumieniem ich wpływu na obywateli, przedsiębiorstwa i organy administracji publicznej. Obywatele i zainteresowane podmioty mogą uczestniczyć w całym procesie oraz</w:t>
      </w:r>
    </w:p>
    <w:p w:rsidR="00476B40" w:rsidRDefault="001829CC">
      <w:pPr>
        <w:pStyle w:val="ListParagraph"/>
        <w:numPr>
          <w:ilvl w:val="0"/>
          <w:numId w:val="116"/>
        </w:num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zastosowanie głosowania większością kwalifikowaną leży w wyłącznej gestii</w:t>
      </w:r>
      <w:r>
        <w:rPr>
          <w:rFonts w:ascii="Times New Roman" w:hAnsi="Times New Roman"/>
          <w:b/>
          <w:noProof/>
          <w:sz w:val="24"/>
        </w:rPr>
        <w:t xml:space="preserve"> państw członkowskich.</w:t>
      </w:r>
      <w:r>
        <w:rPr>
          <w:rFonts w:ascii="Times New Roman" w:hAnsi="Times New Roman"/>
          <w:noProof/>
          <w:sz w:val="24"/>
        </w:rPr>
        <w:t xml:space="preserve"> Uruchomienie procedur pomostowych jest jednomyślną decyzją Rady Europejskiej lub Rady. Ponadto na mocy klauzuli ogólnej (art. 48 ust. 7 TUE) zastosowanie głosowania większością kwalifikowaną lub zwykłej procedury ustawodawczej wymaga</w:t>
      </w:r>
      <w:r>
        <w:rPr>
          <w:rFonts w:ascii="Times New Roman" w:hAnsi="Times New Roman"/>
          <w:noProof/>
          <w:sz w:val="24"/>
        </w:rPr>
        <w:t xml:space="preserve"> poparcia wszystkich parlamentów narodowych, a Parlament Europejski musi wyrazić zgodę.</w:t>
      </w:r>
    </w:p>
    <w:p w:rsidR="00476B40" w:rsidRDefault="00476B40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6B40" w:rsidRDefault="001829CC">
      <w:pPr>
        <w:pStyle w:val="ListParagraph"/>
        <w:keepNext/>
        <w:numPr>
          <w:ilvl w:val="0"/>
          <w:numId w:val="100"/>
        </w:num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Analiza konkretnych obszarów polityki, w których nadal obowiązuje jednomyślność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Celem tej części jest ocena zasadności zastosowania klauzul pomostowych w polityce społ</w:t>
      </w:r>
      <w:r>
        <w:rPr>
          <w:rFonts w:ascii="Times New Roman" w:hAnsi="Times New Roman"/>
          <w:noProof/>
          <w:sz w:val="24"/>
        </w:rPr>
        <w:t>ecznej. Analiza została przeprowadzana oddzielnie w odniesieniu do pięciu obszarów wskazanych w pkt 2, w których nadal obowiązują głosowanie jednomyślne i specjalna procedura ustawodawcza.</w:t>
      </w:r>
    </w:p>
    <w:p w:rsidR="00476B40" w:rsidRDefault="001829CC">
      <w:pPr>
        <w:keepNext/>
        <w:spacing w:after="24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 xml:space="preserve">a) </w:t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Niedyskryminacja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odniesieniu do działań UE na rzecz zwalczani</w:t>
      </w:r>
      <w:r>
        <w:rPr>
          <w:rFonts w:ascii="Times New Roman" w:hAnsi="Times New Roman"/>
          <w:noProof/>
          <w:sz w:val="24"/>
        </w:rPr>
        <w:t xml:space="preserve">a dyskryminacji obowiązuje jednomyślność od czasu ich wprowadzenia w 1997 r. w traktacie z Amsterdamu. Traktat z Nicei wprowadził głosowanie większością kwalifikowaną w przypadku podstawowych zasad dotyczących unijnych środków zachęcających, z wyłączeniem </w:t>
      </w:r>
      <w:r>
        <w:rPr>
          <w:rFonts w:ascii="Times New Roman" w:hAnsi="Times New Roman"/>
          <w:noProof/>
          <w:sz w:val="24"/>
        </w:rPr>
        <w:t>harmonizacji przepisów krajowych, w celu wspierania działań państw członkowskich na rzecz zwalczania dyskryminacji</w:t>
      </w:r>
      <w:r>
        <w:rPr>
          <w:rStyle w:val="FootnoteReference"/>
          <w:rFonts w:ascii="Times New Roman" w:hAnsi="Times New Roman"/>
          <w:noProof/>
          <w:sz w:val="24"/>
        </w:rPr>
        <w:footnoteReference w:id="17"/>
      </w:r>
      <w:r>
        <w:rPr>
          <w:rFonts w:ascii="Times New Roman" w:hAnsi="Times New Roman"/>
          <w:noProof/>
          <w:sz w:val="24"/>
        </w:rPr>
        <w:t>.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Obowiązujące obecnie przepisy UE</w:t>
      </w:r>
      <w:r>
        <w:rPr>
          <w:rStyle w:val="FootnoteReference"/>
          <w:rFonts w:ascii="Times New Roman" w:hAnsi="Times New Roman"/>
          <w:noProof/>
          <w:sz w:val="24"/>
        </w:rPr>
        <w:footnoteReference w:id="18"/>
      </w:r>
      <w:r>
        <w:rPr>
          <w:rFonts w:ascii="Times New Roman" w:hAnsi="Times New Roman"/>
          <w:noProof/>
          <w:sz w:val="24"/>
        </w:rPr>
        <w:t xml:space="preserve"> (przyjęte jednomyślnie) przewidują różne poziomy ochrony w zależności od przesłanki dyskryminacji. Dyrekt</w:t>
      </w:r>
      <w:r>
        <w:rPr>
          <w:rFonts w:ascii="Times New Roman" w:hAnsi="Times New Roman"/>
          <w:noProof/>
          <w:sz w:val="24"/>
        </w:rPr>
        <w:t>ywy UE zapewniają pewien stopień ochrony równości płci i równości rasowej w zakresie zatrudnienia, pracy oraz szeregu innych dziedzin. Równe traktowanie ze względu na religię lub przekonania, niepełnosprawność, wiek i orientację seksualną jest jednak gwara</w:t>
      </w:r>
      <w:r>
        <w:rPr>
          <w:rFonts w:ascii="Times New Roman" w:hAnsi="Times New Roman"/>
          <w:noProof/>
          <w:sz w:val="24"/>
        </w:rPr>
        <w:t>ntowane jedynie w odniesieniu do zatrudnienia i pracy. Konieczność jednomyślnego głosowania w Radzie doprowadziła w tym obszarze do niespójnych ram prawnych i niespójnego wpływu prawa Unii na życie ludzi, przy czym niektóre osoby są lepiej chronione od inn</w:t>
      </w:r>
      <w:r>
        <w:rPr>
          <w:rFonts w:ascii="Times New Roman" w:hAnsi="Times New Roman"/>
          <w:noProof/>
          <w:sz w:val="24"/>
        </w:rPr>
        <w:t>ych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>.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Równość jest jedną z podstawowych wartości UE. W Unii nie ma miejsca na dyskryminację.</w:t>
      </w:r>
      <w:r>
        <w:rPr>
          <w:rStyle w:val="FootnoteReference"/>
          <w:rFonts w:ascii="Times New Roman" w:hAnsi="Times New Roman"/>
          <w:noProof/>
          <w:sz w:val="24"/>
        </w:rPr>
        <w:footnoteReference w:id="20"/>
      </w:r>
      <w:r>
        <w:rPr>
          <w:rFonts w:ascii="Times New Roman" w:hAnsi="Times New Roman"/>
          <w:noProof/>
          <w:sz w:val="24"/>
        </w:rPr>
        <w:t xml:space="preserve"> W marcu 2017 r. przywódcy UE zobowiązali się w deklaracji rzymskiej do działań na rzecz Unii, która promuje równość kobiet i mężczyzn, prawa i równe szanse dla ws</w:t>
      </w:r>
      <w:r>
        <w:rPr>
          <w:rFonts w:ascii="Times New Roman" w:hAnsi="Times New Roman"/>
          <w:noProof/>
          <w:sz w:val="24"/>
        </w:rPr>
        <w:t>zystkich i która walczy z dyskryminacją. Państwa członkowskie i Komisja podpisały Agendę na rzecz zrównoważonego rozwoju 2030, która zakłada eliminację dyskryminujących przepisów, polityk i praktyk, a także promowanie odpowiednich przepisów, polityk i dzia</w:t>
      </w:r>
      <w:r>
        <w:rPr>
          <w:rFonts w:ascii="Times New Roman" w:hAnsi="Times New Roman"/>
          <w:noProof/>
          <w:sz w:val="24"/>
        </w:rPr>
        <w:t>łań</w:t>
      </w:r>
      <w:r>
        <w:rPr>
          <w:rStyle w:val="FootnoteReference"/>
          <w:rFonts w:ascii="Times New Roman" w:hAnsi="Times New Roman"/>
          <w:noProof/>
          <w:sz w:val="24"/>
        </w:rPr>
        <w:footnoteReference w:id="21"/>
      </w:r>
      <w:r>
        <w:rPr>
          <w:rFonts w:ascii="Times New Roman" w:hAnsi="Times New Roman"/>
          <w:noProof/>
          <w:sz w:val="24"/>
        </w:rPr>
        <w:t xml:space="preserve">. 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badaniu przeprowadzonym w 2018 r. przez Parlament Europejski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22"/>
      </w:r>
      <w:r>
        <w:rPr>
          <w:rFonts w:ascii="Times New Roman" w:hAnsi="Times New Roman"/>
          <w:noProof/>
          <w:sz w:val="24"/>
        </w:rPr>
        <w:t xml:space="preserve"> wykazano skalę szkodliwego wpływu luk i barier w przepisach i działaniach UE na życie codzienne poszczególnych osób oraz na społeczeństwo (pod względem PKB, dochodów podatkowych i spójności społecznej).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Brak wspólnych unijnych przepisów chroniących przed </w:t>
      </w:r>
      <w:r>
        <w:rPr>
          <w:rFonts w:ascii="Times New Roman" w:hAnsi="Times New Roman"/>
          <w:noProof/>
          <w:sz w:val="24"/>
        </w:rPr>
        <w:t xml:space="preserve">dyskryminacją w dostępie do towarów i usług jest sprzeczny z równymi warunki działania, które mają kluczowe znaczenie dla skutecznego i sprawiedliwego jednolitego rynku. </w:t>
      </w:r>
      <w:r>
        <w:rPr>
          <w:rFonts w:ascii="Times New Roman" w:hAnsi="Times New Roman"/>
          <w:noProof/>
          <w:color w:val="000000" w:themeColor="text1"/>
          <w:sz w:val="24"/>
        </w:rPr>
        <w:t>Osoby prywatne i przedsiębiorstwa powinny mieć niezakłócony dostęp do czterech podstaw</w:t>
      </w:r>
      <w:r>
        <w:rPr>
          <w:rFonts w:ascii="Times New Roman" w:hAnsi="Times New Roman"/>
          <w:noProof/>
          <w:color w:val="000000" w:themeColor="text1"/>
          <w:sz w:val="24"/>
        </w:rPr>
        <w:t>owych swobód na tych samych warunkach.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Zgodnie z przepisami UE każde państwo członkowskie musi powołać organy odpowiedzialne za promowanie równego traktowania</w:t>
      </w:r>
      <w:r>
        <w:rPr>
          <w:rStyle w:val="FootnoteReference"/>
          <w:rFonts w:ascii="Times New Roman" w:hAnsi="Times New Roman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>. Te organy ds. równości są uprawnione do udzielania ofiarom dyskryminacji niezależnej pomocy, do</w:t>
      </w:r>
      <w:r>
        <w:rPr>
          <w:rFonts w:ascii="Times New Roman" w:hAnsi="Times New Roman"/>
          <w:noProof/>
          <w:sz w:val="24"/>
        </w:rPr>
        <w:t xml:space="preserve"> prowadzenia badań i publikowania sprawozdań dotyczących kwestii dyskryminacji, lecz jedynie w odniesieniu do przyczyn dyskryminacji ze względu na pochodzenie rasowe lub etniczne oraz płeć. Ze względu na ograniczenia prawne Komisja wydała jedynie niewiążąc</w:t>
      </w:r>
      <w:r>
        <w:rPr>
          <w:rFonts w:ascii="Times New Roman" w:hAnsi="Times New Roman"/>
          <w:noProof/>
          <w:sz w:val="24"/>
        </w:rPr>
        <w:t>e wytyczne na temat funkcjonowania tych organów</w:t>
      </w:r>
      <w:r>
        <w:rPr>
          <w:rStyle w:val="FootnoteReference"/>
          <w:rFonts w:ascii="Times New Roman" w:hAnsi="Times New Roman"/>
          <w:noProof/>
          <w:sz w:val="24"/>
        </w:rPr>
        <w:footnoteReference w:id="24"/>
      </w:r>
      <w:r>
        <w:rPr>
          <w:rFonts w:ascii="Times New Roman" w:hAnsi="Times New Roman"/>
          <w:noProof/>
          <w:sz w:val="24"/>
        </w:rPr>
        <w:t>. W związku z tym pomoc dla ofiar i inne działania promujące równe traktowanie różnią się w poszczególnych państwach członkowskich; różne są też podstawy ochrony.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Aby ułatwić rozwój jednakowej ochrony wszystk</w:t>
      </w:r>
      <w:r>
        <w:rPr>
          <w:rFonts w:ascii="Times New Roman" w:hAnsi="Times New Roman"/>
          <w:b/>
          <w:noProof/>
          <w:sz w:val="24"/>
        </w:rPr>
        <w:t xml:space="preserve">ich osób przed dyskryminacją, w tym rozwój skutecznych mechanizmów odwoławczych, w najbliższym czasie można by rozważyć zastosowanie klauzuli pomostowej.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B40">
        <w:tc>
          <w:tcPr>
            <w:tcW w:w="9242" w:type="dxa"/>
          </w:tcPr>
          <w:p w:rsidR="00476B40" w:rsidRDefault="001829CC">
            <w:pPr>
              <w:keepNext/>
              <w:spacing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Niedyskryminacja: fakty i liczby</w:t>
            </w:r>
          </w:p>
          <w:p w:rsidR="00476B40" w:rsidRDefault="001829CC">
            <w:pPr>
              <w:pStyle w:val="ListParagraph"/>
              <w:numPr>
                <w:ilvl w:val="0"/>
                <w:numId w:val="7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 badania Eurobarometr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25"/>
            </w:r>
            <w:r>
              <w:rPr>
                <w:rFonts w:ascii="Times New Roman" w:hAnsi="Times New Roman"/>
                <w:noProof/>
                <w:sz w:val="24"/>
              </w:rPr>
              <w:t xml:space="preserve"> wynika, że 12 % osób w UE uważa się za część grupy zagrożonej dyskryminacją. Około jedna piąta respondentów potwierdza osobiste doświadczenia związane z dyskryminacją lub napastowaniem w ciągu ostatnich 12 miesięcy. Dyskryminacja ze względu na pochodzenie</w:t>
            </w:r>
            <w:r>
              <w:rPr>
                <w:rFonts w:ascii="Times New Roman" w:hAnsi="Times New Roman"/>
                <w:noProof/>
                <w:sz w:val="24"/>
              </w:rPr>
              <w:t xml:space="preserve"> etniczne jest postrzegana jako najbardziej rozpowszechniona forma dyskryminacji, a w dalszej kolejności dyskryminacja ze względu na orientację seksualną, tożsamość płciową, religię lub przekonania, niepełnosprawność i wiek.</w:t>
            </w:r>
          </w:p>
          <w:p w:rsidR="00476B40" w:rsidRDefault="001829CC">
            <w:pPr>
              <w:pStyle w:val="ListParagraph"/>
              <w:numPr>
                <w:ilvl w:val="0"/>
                <w:numId w:val="7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Osoby, którym odmawia się praw </w:t>
            </w:r>
            <w:r>
              <w:rPr>
                <w:rFonts w:ascii="Times New Roman" w:hAnsi="Times New Roman"/>
                <w:noProof/>
                <w:sz w:val="24"/>
              </w:rPr>
              <w:t>z powodu dyskryminacji, są narażone na szkody materialne i niematerialne, np. utratę zarobków lub pogorszenie stanu zdrowia. W ekonomii społecznej dyskryminacja może mieć negatywny wpływ na PKB i dochody podatkowe, a także na spójność społeczną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26"/>
            </w:r>
            <w:r>
              <w:rPr>
                <w:rFonts w:ascii="Times New Roman" w:hAnsi="Times New Roman"/>
                <w:noProof/>
                <w:sz w:val="24"/>
              </w:rPr>
              <w:t>.</w:t>
            </w:r>
          </w:p>
        </w:tc>
      </w:tr>
    </w:tbl>
    <w:p w:rsidR="00476B40" w:rsidRDefault="00476B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6B40" w:rsidRDefault="001829CC">
      <w:pPr>
        <w:keepNext/>
        <w:spacing w:after="24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 xml:space="preserve">b) </w:t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Zab</w:t>
      </w:r>
      <w:r>
        <w:rPr>
          <w:rFonts w:ascii="Times New Roman" w:hAnsi="Times New Roman"/>
          <w:b/>
          <w:i/>
          <w:noProof/>
          <w:sz w:val="24"/>
        </w:rPr>
        <w:t>ezpieczenie społeczne i ochrona socjalna pracowników (poza sytuacjami transgranicznymi)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UE wspiera i uzupełnia działania państw członkowskich w zakresie zabezpieczenia społecznego i ochrony socjalnej pracowników</w:t>
      </w:r>
      <w:r>
        <w:rPr>
          <w:rStyle w:val="FootnoteReference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>. Od czasu wprowadzenia tych uprawnień w tra</w:t>
      </w:r>
      <w:r>
        <w:rPr>
          <w:rFonts w:ascii="Times New Roman" w:hAnsi="Times New Roman"/>
          <w:noProof/>
          <w:sz w:val="24"/>
        </w:rPr>
        <w:t>ktacie z Maastricht w 1992 r. dziedzina ta jest objęta zasadą jednomyślności i specjalną procedurą ustawodawczą.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Wymóg jednomyślności w tej dziedzinie wiąże się z faktem, że krajowe systemy zabezpieczenia społecznego i ochrony socjalnej są głęboko zakorzenione w krajowych modelach gospodarki, podatków i redystrybucji dochodów. Systemy znacznie różnią się między sobą,</w:t>
      </w:r>
      <w:r>
        <w:rPr>
          <w:rFonts w:ascii="Times New Roman" w:hAnsi="Times New Roman"/>
          <w:noProof/>
          <w:sz w:val="24"/>
        </w:rPr>
        <w:t xml:space="preserve"> a różnice pomiędzy nimi dotyczą przede wszystkim wielkości budżetu i sposobu alokacji środków, źródeł finansowania, stopnia zabezpieczenia ludności przed skutkami ryzyka socjalnego i roli partnerów społecznych. 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Jednocześnie w miarę rozwoju rynków pracy s</w:t>
      </w:r>
      <w:r>
        <w:rPr>
          <w:rFonts w:ascii="Times New Roman" w:hAnsi="Times New Roman"/>
          <w:noProof/>
          <w:sz w:val="24"/>
        </w:rPr>
        <w:t>ystemy zabezpieczenia społecznego wymagają reformy na szczeblu krajowym – modernizacji, dzięki której nasz model społeczny pozostanie odpowiedni do zakładanego celu, nikt nie zostanie w tym systemie pominięty, a obywatele i przedsiębiorstwa w UE jak najlep</w:t>
      </w:r>
      <w:r>
        <w:rPr>
          <w:rFonts w:ascii="Times New Roman" w:hAnsi="Times New Roman"/>
          <w:noProof/>
          <w:sz w:val="24"/>
        </w:rPr>
        <w:t>iej wykorzystają zmieniające się warunki pracy. Zmiany demograficzne, takie jak starzenie się społeczeństwa, niższe wskaźniki urodzeń i dłuższe średnie trwanie życia, nadal będą miały wpływ na zdolność państw członkowskich do zagwarantowania odpowiedniej o</w:t>
      </w:r>
      <w:r>
        <w:rPr>
          <w:rFonts w:ascii="Times New Roman" w:hAnsi="Times New Roman"/>
          <w:noProof/>
          <w:sz w:val="24"/>
        </w:rPr>
        <w:t>chrony socjalnej. Składki wpłacane przez osoby w wieku produkcyjnym będą coraz niższe, w związku z czym konieczne będzie wypracowanie innych, niezwiązanych z pracą źródeł finansowania systemów ochrony socjalnej. Pojawienie się różnych form zatrudnienia wra</w:t>
      </w:r>
      <w:r>
        <w:rPr>
          <w:rFonts w:ascii="Times New Roman" w:hAnsi="Times New Roman"/>
          <w:noProof/>
          <w:sz w:val="24"/>
        </w:rPr>
        <w:t>z ze zmianami technologicznymi i platformami cyfrowymi doprowadziło już do powstania luk w zakresie ochrony socjalnej. Przyszły świat pracy będzie wymagał ogromnych inwestycji w uczenie się przez całe życie, szkolenia, podnoszenie kwalifikacji i przekwalif</w:t>
      </w:r>
      <w:r>
        <w:rPr>
          <w:rFonts w:ascii="Times New Roman" w:hAnsi="Times New Roman"/>
          <w:noProof/>
          <w:sz w:val="24"/>
        </w:rPr>
        <w:t>ikowywanie się, a dzisiejsze krajowe systemy ochrony socjalnej nie są w wystarczającym stopniu gotowe na te wyzwania.</w:t>
      </w:r>
    </w:p>
    <w:p w:rsidR="00476B40" w:rsidRDefault="001829CC">
      <w:pPr>
        <w:spacing w:before="240"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Komisja, kierując się założeniami Europejskiego filaru praw socjalnych, proponuje jak dotąd działania na szczeblu UE polegające na wydawan</w:t>
      </w:r>
      <w:r>
        <w:rPr>
          <w:rFonts w:ascii="Times New Roman" w:hAnsi="Times New Roman"/>
          <w:noProof/>
          <w:sz w:val="24"/>
        </w:rPr>
        <w:t>iu zaleceń, takich jak zalecenie w sprawie dostępu pracowników i osób samozatrudnionych do ochrony socjalnej. Zalecenie zostało uzgodnione na szczeblu politycznym przez Radę w grudniu 2018 r. na zasadzie jednomyślności i oczekuje na ostateczne przyjęcie. P</w:t>
      </w:r>
      <w:r>
        <w:rPr>
          <w:rFonts w:ascii="Times New Roman" w:hAnsi="Times New Roman"/>
          <w:noProof/>
          <w:sz w:val="24"/>
        </w:rPr>
        <w:t xml:space="preserve">o jego przyjęciu zalecenie zacznie być wdrażane i konieczna będzie jego ocena, jeśli chodzi o jego wpływ na modernizację systemów ochrony socjalnej. </w:t>
      </w:r>
    </w:p>
    <w:p w:rsidR="00476B40" w:rsidRDefault="001829CC">
      <w:pPr>
        <w:spacing w:before="240"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Jeżeli Rada Europejska skorzysta z klauzuli pomostowej w art. 48 ust. 7 TUE i zastosuje głosowanie większo</w:t>
      </w:r>
      <w:r>
        <w:rPr>
          <w:rFonts w:ascii="Times New Roman" w:hAnsi="Times New Roman"/>
          <w:noProof/>
          <w:sz w:val="24"/>
        </w:rPr>
        <w:t>ścią kwalifikowaną w danym obszarze lub w danej sprawie, wówczas Rada będzie mogła głosować większością kwalifikowaną, a nie jednomyślnie, przyjmując zalecenia w danej dziedzinie lub sprawie na podstawie art. 292 TFUE. Zastosowanie większości kwalifikowane</w:t>
      </w:r>
      <w:r>
        <w:rPr>
          <w:rFonts w:ascii="Times New Roman" w:hAnsi="Times New Roman"/>
          <w:noProof/>
          <w:sz w:val="24"/>
        </w:rPr>
        <w:t>j stymulowałoby osiąganie porozumień co do takich zaleceń, a to nadawałoby z kolei kierunek procesowi konwergencji systemów opieki socjalnej na miarę XXI wieku i wspierałoby ten proces.</w:t>
      </w:r>
    </w:p>
    <w:p w:rsidR="00476B40" w:rsidRDefault="001829CC">
      <w:pPr>
        <w:spacing w:before="240"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Nawet w takiej sytuacji działanie UE musiałoby nadal być zgodne z zasa</w:t>
      </w:r>
      <w:r>
        <w:rPr>
          <w:rFonts w:ascii="Times New Roman" w:hAnsi="Times New Roman"/>
          <w:noProof/>
          <w:sz w:val="24"/>
        </w:rPr>
        <w:t>dą pomocniczości oraz uwzględniać duże różnice między systemami ochrony socjalnej w państwach członkowskich. Ponadto art. 153 ust. 4 TFUE gwarantuje państwom członkowskim prawo do określenia podstawowych zasad ich systemów zabezpieczenia społecznego oraz d</w:t>
      </w:r>
      <w:r>
        <w:rPr>
          <w:rFonts w:ascii="Times New Roman" w:hAnsi="Times New Roman"/>
          <w:noProof/>
          <w:sz w:val="24"/>
        </w:rPr>
        <w:t>o tego, aby nie wystąpił znaczny wpływ na równowagę finansową tych systemów.</w:t>
      </w:r>
    </w:p>
    <w:p w:rsidR="00476B40" w:rsidRDefault="001829CC">
      <w:pPr>
        <w:spacing w:before="24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 związku z powyższym, aby wesprzeć proces modernizacji i konwergencji systemów ochrony socjalnej, </w:t>
      </w:r>
      <w:r>
        <w:rPr>
          <w:rFonts w:ascii="Times New Roman" w:hAnsi="Times New Roman"/>
          <w:b/>
          <w:noProof/>
          <w:sz w:val="24"/>
        </w:rPr>
        <w:t>w</w:t>
      </w:r>
      <w:r>
        <w:rPr>
          <w:rFonts w:ascii="Times New Roman" w:hAnsi="Times New Roman"/>
          <w:noProof/>
          <w:sz w:val="24"/>
        </w:rPr>
        <w:t> </w:t>
      </w:r>
      <w:r>
        <w:rPr>
          <w:rFonts w:ascii="Times New Roman" w:hAnsi="Times New Roman"/>
          <w:b/>
          <w:noProof/>
          <w:sz w:val="24"/>
        </w:rPr>
        <w:t>najbliższym czasie można by rozważyć stosowanie klauzuli pomostowej w celu prz</w:t>
      </w:r>
      <w:r>
        <w:rPr>
          <w:rFonts w:ascii="Times New Roman" w:hAnsi="Times New Roman"/>
          <w:b/>
          <w:noProof/>
          <w:sz w:val="24"/>
        </w:rPr>
        <w:t>yjęcia zaleceń w dziedzinie zabezpieczenia społecznego i ochrony socjalnej pracowników</w:t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b/>
          <w:noProof/>
          <w:sz w:val="24"/>
        </w:rPr>
        <w:t xml:space="preserve"> </w:t>
      </w:r>
    </w:p>
    <w:p w:rsidR="00476B40" w:rsidRDefault="00476B40">
      <w:pPr>
        <w:spacing w:before="24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6B40" w:rsidRDefault="001829CC">
      <w:pPr>
        <w:keepNext/>
        <w:spacing w:after="24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 xml:space="preserve">c) </w:t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Warunki zatrudnienia obywateli państw trzecich legalnie przebywających na terytorium Unii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Różne dyrektywy UE z dziedziny legalnej migracji regulują warunki wjazdu</w:t>
      </w:r>
      <w:r>
        <w:rPr>
          <w:rFonts w:ascii="Times New Roman" w:hAnsi="Times New Roman"/>
          <w:noProof/>
          <w:sz w:val="24"/>
        </w:rPr>
        <w:t xml:space="preserve"> i pobytu oraz prawa różnych kategorii obywateli państw trzecich, takich jak np. studenci, naukowcy, pracownicy sezonowi oraz pracownicy przenoszeni wewnątrz przedsiębiorstwa</w:t>
      </w:r>
      <w:r>
        <w:rPr>
          <w:rStyle w:val="FootnoteReference"/>
          <w:rFonts w:ascii="Times New Roman" w:hAnsi="Times New Roman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noProof/>
          <w:sz w:val="28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Dyrektywy te zostały przyjęte na podstawie art. 79 ust. 2 TFUE z zastosowaniem </w:t>
      </w:r>
      <w:r>
        <w:rPr>
          <w:rFonts w:ascii="Times New Roman" w:hAnsi="Times New Roman"/>
          <w:noProof/>
          <w:sz w:val="24"/>
        </w:rPr>
        <w:t>głosowania większością kwalifikowaną i z uprawnieniami Parlamentu Europejskiego do współdecydowania.</w:t>
      </w:r>
      <w:r>
        <w:rPr>
          <w:rFonts w:ascii="Times New Roman" w:hAnsi="Times New Roman"/>
          <w:noProof/>
          <w:sz w:val="24"/>
          <w:vertAlign w:val="superscript"/>
        </w:rPr>
        <w:t xml:space="preserve"> 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Przepisy te mają zapewnić traktowanie na równi z obywatelami UE pod wieloma względami, w tym pod względem warunków zatrudnienia (takich jak wynagrodzenie,</w:t>
      </w:r>
      <w:r>
        <w:rPr>
          <w:rFonts w:ascii="Times New Roman" w:hAnsi="Times New Roman"/>
          <w:noProof/>
          <w:sz w:val="24"/>
        </w:rPr>
        <w:t xml:space="preserve"> kwalifikacje zawodowe itp.). Jednocześnie obszerne przepisy UE w dziedzinie zatrudnienia i ochrony socjalnej</w:t>
      </w:r>
      <w:r>
        <w:rPr>
          <w:rStyle w:val="FootnoteReference"/>
          <w:rFonts w:ascii="Times New Roman" w:hAnsi="Times New Roman"/>
          <w:noProof/>
          <w:sz w:val="24"/>
        </w:rPr>
        <w:footnoteReference w:id="29"/>
      </w:r>
      <w:r>
        <w:rPr>
          <w:rFonts w:ascii="Times New Roman" w:hAnsi="Times New Roman"/>
          <w:noProof/>
          <w:sz w:val="24"/>
        </w:rPr>
        <w:t>, dotyczące między innymi sprawiedliwych warunków pracy oraz ochrony zdrowia i bezpieczeństwa w pracy, odnoszą się do wszystkich pracowników objęt</w:t>
      </w:r>
      <w:r>
        <w:rPr>
          <w:rFonts w:ascii="Times New Roman" w:hAnsi="Times New Roman"/>
          <w:noProof/>
          <w:sz w:val="24"/>
        </w:rPr>
        <w:t xml:space="preserve">ych krajowym prawem pracy w danym państwie członkowskim, niezależnie od ich obywatelstwa. 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Ponadto w oparciu o różne postanowienia Traktatu, które są przedmiotem głosowania większością kwalifikowaną, Unia przyjmuje zalecenia dotyczące środków aktywizacji o</w:t>
      </w:r>
      <w:r>
        <w:rPr>
          <w:rFonts w:ascii="Times New Roman" w:hAnsi="Times New Roman"/>
          <w:noProof/>
          <w:sz w:val="24"/>
        </w:rPr>
        <w:t>sób, które mają trudności na rynku pracy. Przykładowo UE wydała już wytyczne w formie gwarancji dla młodzieży</w:t>
      </w:r>
      <w:r>
        <w:rPr>
          <w:rStyle w:val="FootnoteReference"/>
          <w:rFonts w:ascii="Times New Roman" w:hAnsi="Times New Roman"/>
          <w:noProof/>
          <w:sz w:val="24"/>
        </w:rPr>
        <w:footnoteReference w:id="30"/>
      </w:r>
      <w:r>
        <w:rPr>
          <w:rFonts w:ascii="Times New Roman" w:hAnsi="Times New Roman"/>
          <w:noProof/>
          <w:sz w:val="24"/>
        </w:rPr>
        <w:t>, zalecenie Rady dotyczące integracji osób długotrwale bezrobotnych na rynku pracy</w:t>
      </w:r>
      <w:r>
        <w:rPr>
          <w:rStyle w:val="FootnoteReference"/>
          <w:rFonts w:ascii="Times New Roman" w:hAnsi="Times New Roman"/>
          <w:noProof/>
          <w:sz w:val="24"/>
        </w:rPr>
        <w:footnoteReference w:id="31"/>
      </w:r>
      <w:r>
        <w:rPr>
          <w:rFonts w:ascii="Times New Roman" w:hAnsi="Times New Roman"/>
          <w:noProof/>
          <w:sz w:val="24"/>
        </w:rPr>
        <w:t>; oraz zalecenie Rady w sprawie ścieżek poprawy umiejętności</w:t>
      </w:r>
      <w:r>
        <w:rPr>
          <w:rStyle w:val="FootnoteReference"/>
          <w:rFonts w:ascii="Times New Roman" w:hAnsi="Times New Roman"/>
          <w:noProof/>
          <w:sz w:val="24"/>
        </w:rPr>
        <w:footnoteReference w:id="32"/>
      </w:r>
      <w:r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Zalecenia te mają również zastosowanie do obywateli państw trzecich legalnie przebywających w UE i uznaje się w nich, że obywatele państw trzecich należą do słabszych grup na rynku pracy i wymagają indywidualnego wsparcia. Zalecenia te są wdrażane, a ich w</w:t>
      </w:r>
      <w:r>
        <w:rPr>
          <w:rFonts w:ascii="Times New Roman" w:hAnsi="Times New Roman"/>
          <w:noProof/>
          <w:sz w:val="24"/>
        </w:rPr>
        <w:t>pływ na legalnie przebywających obywateli państw trzecich wymagać będzie oceny.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związku z powyższym można wyciągnąć wniosek, że potencjalny zakres stosowania art. 153 ust. 1 lit. g) TFUE, który na zasadzie jednomyślności umożliwia Unii wspieranie i uzupe</w:t>
      </w:r>
      <w:r>
        <w:rPr>
          <w:rFonts w:ascii="Times New Roman" w:hAnsi="Times New Roman"/>
          <w:noProof/>
          <w:sz w:val="24"/>
        </w:rPr>
        <w:t>łnianie działań państw członkowskich w odniesieniu do warunków zatrudnienia obywateli państw trzecich przebywających legalnie na terytorium Unii, wydaje się raczej ograniczony.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kontekście obowiązujących przepisów – zarówno w zakresie migracji, jak i poli</w:t>
      </w:r>
      <w:r>
        <w:rPr>
          <w:rFonts w:ascii="Times New Roman" w:hAnsi="Times New Roman"/>
          <w:noProof/>
          <w:sz w:val="24"/>
        </w:rPr>
        <w:t xml:space="preserve">tyki społecznej – oraz zaleceń, </w:t>
      </w:r>
      <w:r>
        <w:rPr>
          <w:rFonts w:ascii="Times New Roman" w:hAnsi="Times New Roman"/>
          <w:b/>
          <w:noProof/>
          <w:sz w:val="24"/>
        </w:rPr>
        <w:t>obecnie nie ma wyraźnej wartości dodanej zastosowania klauzuli pomostowej w tym obszarze</w:t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b/>
          <w:noProof/>
          <w:sz w:val="24"/>
        </w:rPr>
        <w:t xml:space="preserve"> </w:t>
      </w:r>
    </w:p>
    <w:p w:rsidR="00476B40" w:rsidRDefault="00476B4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6B40" w:rsidRDefault="001829CC">
      <w:pPr>
        <w:keepNext/>
        <w:spacing w:after="24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 xml:space="preserve">d) </w:t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Ochrona pracowników w przypadku wypowiedzenia umowy o pracę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Ochrona pracowników w przypadku rozwiązania umowy (</w:t>
      </w:r>
      <w:r>
        <w:rPr>
          <w:rFonts w:ascii="Times New Roman" w:hAnsi="Times New Roman"/>
          <w:i/>
          <w:noProof/>
          <w:sz w:val="24"/>
        </w:rPr>
        <w:t>zwolnienia</w:t>
      </w:r>
      <w:r>
        <w:rPr>
          <w:rFonts w:ascii="Times New Roman" w:hAnsi="Times New Roman"/>
          <w:noProof/>
          <w:sz w:val="24"/>
        </w:rPr>
        <w:t xml:space="preserve">) to </w:t>
      </w:r>
      <w:r>
        <w:rPr>
          <w:rFonts w:ascii="Times New Roman" w:hAnsi="Times New Roman"/>
          <w:noProof/>
          <w:sz w:val="24"/>
        </w:rPr>
        <w:t xml:space="preserve">podstawowy element krajowego prawa pracy. Jest on ściśle powiązany z krajowymi systemami ochrony socjalnej oraz z instytucjami rynku pracy, jak również z rolą partnerów społecznych i tradycjami w zakresie negocjacji zbiorowych. Okres wypłacania i wysokość </w:t>
      </w:r>
      <w:r>
        <w:rPr>
          <w:rFonts w:ascii="Times New Roman" w:hAnsi="Times New Roman"/>
          <w:noProof/>
          <w:sz w:val="24"/>
        </w:rPr>
        <w:t>zasiłku dla bezrobotnych, stopień regulacji umów o pracę oraz procesy sądowe i pozasądowe różnią się w poszczególnych państwach członkowskich.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 poziomie UE Karta praw podstawowych Unii Europejskiej oraz Europejski filar praw socjalnych</w:t>
      </w:r>
      <w:r>
        <w:rPr>
          <w:rStyle w:val="FootnoteReference"/>
          <w:rFonts w:ascii="Times New Roman" w:hAnsi="Times New Roman"/>
          <w:noProof/>
          <w:sz w:val="24"/>
        </w:rPr>
        <w:footnoteReference w:id="33"/>
      </w:r>
      <w:r>
        <w:rPr>
          <w:rFonts w:ascii="Times New Roman" w:hAnsi="Times New Roman"/>
          <w:noProof/>
          <w:sz w:val="24"/>
        </w:rPr>
        <w:t xml:space="preserve"> określają horyzon</w:t>
      </w:r>
      <w:r>
        <w:rPr>
          <w:rFonts w:ascii="Times New Roman" w:hAnsi="Times New Roman"/>
          <w:noProof/>
          <w:sz w:val="24"/>
        </w:rPr>
        <w:t>talne zasady dotyczące ochrony przed zwolnieniami. Natomiast na poziomie krajowym kompleksowe ramy ochrony określają minimalne standardy ochrony przed zwolnieniem pracowników. Przepisy krajowe najlepiej nadają się do uwzględnienia specyfiki różnych krajowy</w:t>
      </w:r>
      <w:r>
        <w:rPr>
          <w:rFonts w:ascii="Times New Roman" w:hAnsi="Times New Roman"/>
          <w:noProof/>
          <w:sz w:val="24"/>
        </w:rPr>
        <w:t>ch systemów ochrony, w tym aspektów fiskalnych.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Prawodawstwo wtórne UE oferuje ukierunkowane środki chroniące najbardziej narażonych pracowników przed zwolnieniem. Obejmuje to ochronę kobiet przed zwolnieniem w czasie ciąży. Dyrektywa w sprawie pracy w nie</w:t>
      </w:r>
      <w:r>
        <w:rPr>
          <w:rFonts w:ascii="Times New Roman" w:hAnsi="Times New Roman"/>
          <w:noProof/>
          <w:sz w:val="24"/>
        </w:rPr>
        <w:t>pełnym wymiarze godzin</w:t>
      </w:r>
      <w:r>
        <w:rPr>
          <w:rStyle w:val="FootnoteReference"/>
          <w:rFonts w:ascii="Times New Roman" w:hAnsi="Times New Roman"/>
          <w:noProof/>
          <w:sz w:val="24"/>
        </w:rPr>
        <w:footnoteReference w:id="34"/>
      </w:r>
      <w:r>
        <w:rPr>
          <w:rFonts w:ascii="Times New Roman" w:hAnsi="Times New Roman"/>
          <w:noProof/>
          <w:sz w:val="24"/>
        </w:rPr>
        <w:t>, dyrektywa w sprawie równego traktowania kobiet i mężczyzn</w:t>
      </w:r>
      <w:r>
        <w:rPr>
          <w:rStyle w:val="FootnoteReference"/>
          <w:rFonts w:ascii="Times New Roman" w:hAnsi="Times New Roman"/>
          <w:noProof/>
          <w:sz w:val="24"/>
        </w:rPr>
        <w:footnoteReference w:id="35"/>
      </w:r>
      <w:r>
        <w:rPr>
          <w:rFonts w:ascii="Times New Roman" w:hAnsi="Times New Roman"/>
          <w:noProof/>
          <w:sz w:val="24"/>
        </w:rPr>
        <w:t xml:space="preserve"> oraz dyrektywa w sprawie równego traktowania mężczyzn i kobiet prowadzących działalność na własny rachunek</w:t>
      </w:r>
      <w:r>
        <w:rPr>
          <w:rStyle w:val="FootnoteReference"/>
          <w:rFonts w:ascii="Times New Roman" w:hAnsi="Times New Roman"/>
          <w:noProof/>
          <w:sz w:val="24"/>
        </w:rPr>
        <w:footnoteReference w:id="36"/>
      </w:r>
      <w:r>
        <w:rPr>
          <w:rFonts w:ascii="Times New Roman" w:hAnsi="Times New Roman"/>
          <w:noProof/>
          <w:sz w:val="24"/>
        </w:rPr>
        <w:t xml:space="preserve"> zapewniają również ochronę przed zwolnieniem z pracy i niekorzys</w:t>
      </w:r>
      <w:r>
        <w:rPr>
          <w:rFonts w:ascii="Times New Roman" w:hAnsi="Times New Roman"/>
          <w:noProof/>
          <w:sz w:val="24"/>
        </w:rPr>
        <w:t>tnym traktowaniem. Dyrektywa w sprawie przejrzystych i przewidywalnych warunków pracy</w:t>
      </w:r>
      <w:r>
        <w:rPr>
          <w:rStyle w:val="FootnoteReference"/>
          <w:rFonts w:ascii="Times New Roman" w:hAnsi="Times New Roman"/>
          <w:noProof/>
          <w:sz w:val="24"/>
        </w:rPr>
        <w:footnoteReference w:id="37"/>
      </w:r>
      <w:r>
        <w:rPr>
          <w:rFonts w:ascii="Times New Roman" w:hAnsi="Times New Roman"/>
          <w:noProof/>
          <w:sz w:val="24"/>
        </w:rPr>
        <w:t xml:space="preserve"> zapewnia pracownikom prawo do informacji o długości okresu wypowiedzenia i zakazuje zwolnień z powodu korzystania przez pracowników z przysługujących im praw do informac</w:t>
      </w:r>
      <w:r>
        <w:rPr>
          <w:rFonts w:ascii="Times New Roman" w:hAnsi="Times New Roman"/>
          <w:noProof/>
          <w:sz w:val="24"/>
        </w:rPr>
        <w:t>ji. Ponadto dyrektywa w sprawie równowagi między życiem zawodowym a prywatnym</w:t>
      </w:r>
      <w:r>
        <w:rPr>
          <w:rStyle w:val="FootnoteReference"/>
          <w:rFonts w:ascii="Times New Roman" w:hAnsi="Times New Roman"/>
          <w:noProof/>
          <w:sz w:val="24"/>
        </w:rPr>
        <w:footnoteReference w:id="38"/>
      </w:r>
      <w:r>
        <w:rPr>
          <w:rFonts w:ascii="Times New Roman" w:hAnsi="Times New Roman"/>
          <w:noProof/>
          <w:sz w:val="24"/>
        </w:rPr>
        <w:t xml:space="preserve"> zakazuje zwolnień ze względu złożenie wniosku o urlop ojcowski, wychowawczy lub opiekuńczy oraz o elastyczną organizację pracy.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Mocnym argumentem przemawiającym za utrzymaniem z</w:t>
      </w:r>
      <w:r>
        <w:rPr>
          <w:rFonts w:ascii="Times New Roman" w:hAnsi="Times New Roman"/>
          <w:noProof/>
          <w:sz w:val="24"/>
        </w:rPr>
        <w:t>asady jednomyślności w Radzie w tej dziedzinie są silne powiązania z krajowymi systemami ochrony socjalnej i instytucjami rynku pracy, ich różnorodność oraz potrzeba poszanowania różnorodności praktyk krajowych i modeli dialogu społecznego. Ponadto niektór</w:t>
      </w:r>
      <w:r>
        <w:rPr>
          <w:rFonts w:ascii="Times New Roman" w:hAnsi="Times New Roman"/>
          <w:noProof/>
          <w:sz w:val="24"/>
        </w:rPr>
        <w:t xml:space="preserve">e z niedawno przyjętych dyrektyw, o których mowa powyżej, zostaną wdrożone dopiero po upływie okresu przejściowego, co sprawia, że jest zbyt wcześnie na ocenę wyników w tej dziedzinie. </w:t>
      </w:r>
      <w:r>
        <w:rPr>
          <w:rFonts w:ascii="Times New Roman" w:hAnsi="Times New Roman"/>
          <w:b/>
          <w:noProof/>
          <w:sz w:val="24"/>
        </w:rPr>
        <w:t>Obecnie nie ma wyraźnej potrzeby zastosowania klauzuli pomostowej.</w:t>
      </w:r>
    </w:p>
    <w:p w:rsidR="00476B40" w:rsidRDefault="001829CC">
      <w:pPr>
        <w:keepNext/>
        <w:spacing w:after="24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 xml:space="preserve">e) </w:t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Reprezentacja i obrona zbiorowa interesów pracowników i pracodawców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Jeżeli chodzi o reprezentację i obronę zbiorową interesów pracowników i pracodawców, w tym współdecydowanie, w Karcie praw podstawowych Unii Europejskiej i w Europejskim filarze praw socja</w:t>
      </w:r>
      <w:r>
        <w:rPr>
          <w:rFonts w:ascii="Times New Roman" w:hAnsi="Times New Roman"/>
          <w:noProof/>
          <w:sz w:val="24"/>
        </w:rPr>
        <w:t>lnych wyraźnie zapisano ogólne zasady</w:t>
      </w:r>
      <w:r>
        <w:rPr>
          <w:rStyle w:val="FootnoteReference"/>
          <w:rFonts w:ascii="Times New Roman" w:hAnsi="Times New Roman"/>
          <w:noProof/>
          <w:sz w:val="24"/>
        </w:rPr>
        <w:footnoteReference w:id="39"/>
      </w:r>
      <w:r>
        <w:rPr>
          <w:rFonts w:ascii="Times New Roman" w:hAnsi="Times New Roman"/>
          <w:noProof/>
          <w:sz w:val="24"/>
        </w:rPr>
        <w:t>. Jednocześnie uprawnienia UE w tej dziedzinie są ściśle ograniczone przez Traktat, który wyraźnie wyklucza środki dotyczące prawa do zrzeszania się, prawa do strajku oraz prawa lokautu</w:t>
      </w:r>
      <w:r>
        <w:rPr>
          <w:rFonts w:ascii="Times New Roman" w:hAnsi="Times New Roman"/>
          <w:noProof/>
          <w:sz w:val="24"/>
          <w:vertAlign w:val="superscript"/>
        </w:rPr>
        <w:footnoteReference w:id="40"/>
      </w:r>
      <w:r>
        <w:rPr>
          <w:rFonts w:ascii="Times New Roman" w:hAnsi="Times New Roman"/>
          <w:noProof/>
          <w:sz w:val="24"/>
        </w:rPr>
        <w:t>. Ponadto brak jest szczegółowyc</w:t>
      </w:r>
      <w:r>
        <w:rPr>
          <w:rFonts w:ascii="Times New Roman" w:hAnsi="Times New Roman"/>
          <w:noProof/>
          <w:sz w:val="24"/>
        </w:rPr>
        <w:t>h przepisów na szczeblu UE, które regulowałyby tę kwestię w kompleksowy sposób</w:t>
      </w:r>
      <w:r>
        <w:rPr>
          <w:rStyle w:val="FootnoteReference"/>
          <w:rFonts w:ascii="Times New Roman" w:hAnsi="Times New Roman"/>
          <w:noProof/>
          <w:sz w:val="24"/>
        </w:rPr>
        <w:footnoteReference w:id="41"/>
      </w:r>
      <w:r>
        <w:rPr>
          <w:rFonts w:ascii="Times New Roman" w:hAnsi="Times New Roman"/>
          <w:noProof/>
          <w:sz w:val="24"/>
        </w:rPr>
        <w:t xml:space="preserve">. 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Przepisy i tradycje dotyczące reprezentacji i obrony zbiorowej znacznie różnią się w poszczególnych krajach. Między państwami członkowskimi utrzymują się wyraźne różnice pod </w:t>
      </w:r>
      <w:r>
        <w:rPr>
          <w:rFonts w:ascii="Times New Roman" w:hAnsi="Times New Roman"/>
          <w:noProof/>
          <w:sz w:val="24"/>
        </w:rPr>
        <w:t>względem stopnia reprezentatywności partnerów społecznych, ich ogólnego zaangażowania w proces podejmowania decyzji, a także stosowania i centralizacji układów zbiorowych. Ponadto 18 państw członkowskich ma modele reprezentacji pracowników na poziomie zarz</w:t>
      </w:r>
      <w:r>
        <w:rPr>
          <w:rFonts w:ascii="Times New Roman" w:hAnsi="Times New Roman"/>
          <w:noProof/>
          <w:sz w:val="24"/>
        </w:rPr>
        <w:t>ądu spółki, które różnią się znacznie między sobą.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jest nadal zaangażowana we wspieranie budowania zdolności partnerów społecznych, zgodnie z czterostronnym wspólnym oświadczeniem prezydencji Rady Unii Europejskiej, Komisji i europejskich partnerów</w:t>
      </w:r>
      <w:r>
        <w:rPr>
          <w:rFonts w:ascii="Times New Roman" w:hAnsi="Times New Roman"/>
          <w:noProof/>
          <w:sz w:val="24"/>
        </w:rPr>
        <w:t xml:space="preserve"> społecznych w sprawie </w:t>
      </w:r>
      <w:r>
        <w:rPr>
          <w:rFonts w:ascii="Times New Roman" w:hAnsi="Times New Roman"/>
          <w:i/>
          <w:noProof/>
          <w:sz w:val="24"/>
        </w:rPr>
        <w:t>nowego początku dialogu społecznego</w:t>
      </w:r>
      <w:r>
        <w:rPr>
          <w:rStyle w:val="FootnoteReference"/>
          <w:rFonts w:ascii="Times New Roman" w:hAnsi="Times New Roman"/>
          <w:noProof/>
          <w:sz w:val="24"/>
        </w:rPr>
        <w:footnoteReference w:id="42"/>
      </w:r>
      <w:r>
        <w:rPr>
          <w:rFonts w:ascii="Times New Roman" w:hAnsi="Times New Roman"/>
          <w:noProof/>
          <w:sz w:val="24"/>
        </w:rPr>
        <w:t>.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z zadowoleniem przyjęła w dniu 6 lutego 2019 r. autonomiczny unijny program prac na lata 2019–2021</w:t>
      </w:r>
      <w:r>
        <w:rPr>
          <w:rStyle w:val="FootnoteReference"/>
          <w:rFonts w:ascii="Times New Roman" w:hAnsi="Times New Roman"/>
          <w:noProof/>
          <w:sz w:val="24"/>
        </w:rPr>
        <w:footnoteReference w:id="43"/>
      </w:r>
      <w:r>
        <w:rPr>
          <w:rFonts w:ascii="Times New Roman" w:hAnsi="Times New Roman"/>
          <w:noProof/>
          <w:sz w:val="24"/>
        </w:rPr>
        <w:t>, uzgodniony przez unijnych partnerów społecznych, który jest świadectwem ich silnej wol</w:t>
      </w:r>
      <w:r>
        <w:rPr>
          <w:rFonts w:ascii="Times New Roman" w:hAnsi="Times New Roman"/>
          <w:noProof/>
          <w:sz w:val="24"/>
        </w:rPr>
        <w:t>i promowania rozwiązań na rzecz uczciwej, konkurencyjnej i zrównoważonej Europy.</w:t>
      </w:r>
    </w:p>
    <w:p w:rsidR="00476B40" w:rsidRDefault="001829C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Mocnym argumentem przemawiającym za utrzymaniem zasady jednomyślności w Radzie w tej dziedzinie są silne powiązania z krajowymi przepisami i tradycjami w dziedzinie reprezentacji i obrony zbiorowej oraz ich różnorodność. </w:t>
      </w:r>
      <w:r>
        <w:rPr>
          <w:rFonts w:ascii="Times New Roman" w:hAnsi="Times New Roman"/>
          <w:b/>
          <w:noProof/>
          <w:sz w:val="24"/>
        </w:rPr>
        <w:t>Obecnie nie ma wyraźnej potrzeby za</w:t>
      </w:r>
      <w:r>
        <w:rPr>
          <w:rFonts w:ascii="Times New Roman" w:hAnsi="Times New Roman"/>
          <w:b/>
          <w:noProof/>
          <w:sz w:val="24"/>
        </w:rPr>
        <w:t>stosowania klauzuli pomostowej.</w:t>
      </w:r>
    </w:p>
    <w:p w:rsidR="00476B40" w:rsidRDefault="00476B4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76B40" w:rsidRDefault="001829CC">
      <w:pPr>
        <w:pStyle w:val="ListParagraph"/>
        <w:keepNext/>
        <w:numPr>
          <w:ilvl w:val="0"/>
          <w:numId w:val="100"/>
        </w:num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Wnioski i kolejne kroki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dziedzinie polityki społecznej UE posiada już skuteczne, szybkie i elastyczne procesy decyzyjne, które umożliwiają realizację jej celów takich jak promowanie dobrobytu obywateli, wysoce konkurencyj</w:t>
      </w:r>
      <w:r>
        <w:rPr>
          <w:rFonts w:ascii="Times New Roman" w:hAnsi="Times New Roman"/>
          <w:noProof/>
          <w:sz w:val="24"/>
        </w:rPr>
        <w:t>na społeczna gospodarka rynkowa, pełne zatrudnienie i postęp społeczny oraz zwalczanie wykluczenia społecznego i dyskryminacji, a także reagowanie na wyzwania związane z przyszłością rynku pracy w obliczu globalnych tendencji takich jak cyfryzacja, starzen</w:t>
      </w:r>
      <w:r>
        <w:rPr>
          <w:rFonts w:ascii="Times New Roman" w:hAnsi="Times New Roman"/>
          <w:noProof/>
          <w:sz w:val="24"/>
        </w:rPr>
        <w:t>ie się społeczeństwa i migracja.</w:t>
      </w:r>
    </w:p>
    <w:p w:rsidR="00476B40" w:rsidRDefault="001829CC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kontekście analizy przedstawionej w niniejszym komunikacie:</w:t>
      </w:r>
    </w:p>
    <w:p w:rsidR="00476B40" w:rsidRDefault="001829CC">
      <w:pPr>
        <w:pStyle w:val="ListParagraph"/>
        <w:numPr>
          <w:ilvl w:val="0"/>
          <w:numId w:val="105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 obszarach, w których nadal obowiązuje zasada jednomyślności, zastosowanie głosowania większością kwalifikowaną lub zwykłej procedury ustawodawczej mogłoby </w:t>
      </w:r>
      <w:r>
        <w:rPr>
          <w:rFonts w:ascii="Times New Roman" w:hAnsi="Times New Roman"/>
          <w:noProof/>
          <w:sz w:val="24"/>
        </w:rPr>
        <w:t xml:space="preserve">z pewnością sprawić, że podejmowanie decyzji w UE stanie się szybsze, bardziej elastyczne i skuteczniejsze. Sprzyjałoby to także kulturze kompromisu i ułatwiłoby podejmowanie decyzji dostosowanych do potrzeb obywateli i gospodarki w UE jako całości, a tym </w:t>
      </w:r>
      <w:r>
        <w:rPr>
          <w:rFonts w:ascii="Times New Roman" w:hAnsi="Times New Roman"/>
          <w:noProof/>
          <w:sz w:val="24"/>
        </w:rPr>
        <w:t>samym gwarantowałoby sprawiedliwy jednolity rynek;</w:t>
      </w:r>
    </w:p>
    <w:p w:rsidR="00476B40" w:rsidRDefault="001829CC">
      <w:pPr>
        <w:pStyle w:val="ListParagraph"/>
        <w:numPr>
          <w:ilvl w:val="0"/>
          <w:numId w:val="105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mając to na uwadze, możliwe jest zastosowanie wybiórczego i indywidualnego podejścia do stosowania klauzul pomostowych w traktatach. Nie wszystkie obszary polityki społecznej objęte zasadą jednomyślności i</w:t>
      </w:r>
      <w:r>
        <w:rPr>
          <w:rFonts w:ascii="Times New Roman" w:hAnsi="Times New Roman"/>
          <w:noProof/>
          <w:sz w:val="24"/>
        </w:rPr>
        <w:t xml:space="preserve"> specjalną procedurą ustawodawczą są równie ważne dla poprawy zdolności Unii do działania; </w:t>
      </w:r>
    </w:p>
    <w:p w:rsidR="00476B40" w:rsidRDefault="001829CC">
      <w:pPr>
        <w:pStyle w:val="ListParagraph"/>
        <w:numPr>
          <w:ilvl w:val="0"/>
          <w:numId w:val="105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 xml:space="preserve">zdaniem Komisji ważne byłoby rozważenie w najbliższej przyszłości zastosowania ogólnej klauzuli pomostowej w celu ułatwienia podejmowania decyzji w dziedzinie </w:t>
      </w:r>
      <w:r>
        <w:rPr>
          <w:rFonts w:ascii="Times New Roman" w:hAnsi="Times New Roman"/>
          <w:b/>
          <w:noProof/>
          <w:sz w:val="24"/>
        </w:rPr>
        <w:t>niedy</w:t>
      </w:r>
      <w:r>
        <w:rPr>
          <w:rFonts w:ascii="Times New Roman" w:hAnsi="Times New Roman"/>
          <w:b/>
          <w:noProof/>
          <w:sz w:val="24"/>
        </w:rPr>
        <w:t>skryminacji</w:t>
      </w:r>
      <w:r>
        <w:rPr>
          <w:rFonts w:ascii="Times New Roman" w:hAnsi="Times New Roman"/>
          <w:noProof/>
          <w:sz w:val="24"/>
        </w:rPr>
        <w:t xml:space="preserve"> oraz przyjmowania </w:t>
      </w:r>
      <w:r>
        <w:rPr>
          <w:rFonts w:ascii="Times New Roman" w:hAnsi="Times New Roman"/>
          <w:b/>
          <w:noProof/>
          <w:sz w:val="24"/>
        </w:rPr>
        <w:t>zaleceń dotyczących zabezpieczenia społecznego i ochrony socjalnej pracowników</w:t>
      </w:r>
      <w:r>
        <w:rPr>
          <w:rFonts w:ascii="Times New Roman" w:hAnsi="Times New Roman"/>
          <w:noProof/>
          <w:sz w:val="24"/>
        </w:rPr>
        <w:t>. W innych obszarach (warunki zatrudnienia obywateli państw trzecich przebywających legalnie na terytorium Unii; zwolnienia z pracy oraz reprezentac</w:t>
      </w:r>
      <w:r>
        <w:rPr>
          <w:rFonts w:ascii="Times New Roman" w:hAnsi="Times New Roman"/>
          <w:noProof/>
          <w:sz w:val="24"/>
        </w:rPr>
        <w:t>ja i obrona zbiorowa interesów pracowników i pracodawców) nie ma obecnie wyraźnej potrzeby stosowania klauzuli pomostowej, ale Komisja jest gotowa dokonać przeglądu sytuacji w przyszłości;</w:t>
      </w:r>
    </w:p>
    <w:p w:rsidR="00476B40" w:rsidRDefault="001829CC">
      <w:pPr>
        <w:pStyle w:val="ListParagraph"/>
        <w:numPr>
          <w:ilvl w:val="0"/>
          <w:numId w:val="105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uruchomienie klauzuli pomostowej w dziedzinie niedyskryminacji i za</w:t>
      </w:r>
      <w:r>
        <w:rPr>
          <w:rFonts w:ascii="Times New Roman" w:hAnsi="Times New Roman"/>
          <w:noProof/>
          <w:sz w:val="24"/>
        </w:rPr>
        <w:t xml:space="preserve">bezpieczenia społecznego oraz ochrony socjalnej pracowników wymagałoby podjęcia przez Radę Europejską decyzji w tej sprawie zgodnie z procedurą określoną w art. 48 ust. 7 TUE, jak opisano w pkt 4 niniejszego komunikatu. </w:t>
      </w:r>
    </w:p>
    <w:p w:rsidR="00476B40" w:rsidRDefault="001829C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zwraca się do Parlamentu Eu</w:t>
      </w:r>
      <w:r>
        <w:rPr>
          <w:rFonts w:ascii="Times New Roman" w:hAnsi="Times New Roman"/>
          <w:noProof/>
          <w:sz w:val="24"/>
        </w:rPr>
        <w:t xml:space="preserve">ropejskiego, Rady Europejskiej, Rady, Europejskiego Komitetu Ekonomiczno-Społecznego, Komitetu Regionów, partnerów społecznych i wszystkich zainteresowanych stron o rozpoczęcie otwartej debaty na podstawie niniejszego komunikatu na temat powszechniejszego </w:t>
      </w:r>
      <w:r>
        <w:rPr>
          <w:rFonts w:ascii="Times New Roman" w:hAnsi="Times New Roman"/>
          <w:noProof/>
          <w:sz w:val="24"/>
        </w:rPr>
        <w:t>stosowania głosowania większością kwalifikowaną lub zwykłej procedury ustawodawczej w dziedzinie polityki społecznej.</w:t>
      </w:r>
    </w:p>
    <w:p w:rsidR="00476B40" w:rsidRDefault="001829C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***</w:t>
      </w:r>
    </w:p>
    <w:p w:rsidR="00476B40" w:rsidRDefault="00476B40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476B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40" w:rsidRDefault="001829CC">
      <w:pPr>
        <w:spacing w:after="0" w:line="240" w:lineRule="auto"/>
      </w:pPr>
      <w:r>
        <w:separator/>
      </w:r>
    </w:p>
  </w:endnote>
  <w:endnote w:type="continuationSeparator" w:id="0">
    <w:p w:rsidR="00476B40" w:rsidRDefault="001829CC">
      <w:pPr>
        <w:spacing w:after="0" w:line="240" w:lineRule="auto"/>
      </w:pPr>
      <w:r>
        <w:continuationSeparator/>
      </w:r>
    </w:p>
  </w:endnote>
  <w:endnote w:type="continuationNotice" w:id="1">
    <w:p w:rsidR="00476B40" w:rsidRDefault="00476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3">
    <w:altName w:val="MS Gothic"/>
    <w:charset w:val="8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linePro">
    <w:altName w:val="Daxline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EC Square Sans Pro Medium">
    <w:panose1 w:val="020B0500000000020004"/>
    <w:charset w:val="00"/>
    <w:family w:val="swiss"/>
    <w:pitch w:val="variable"/>
    <w:sig w:usb0="A00002BF" w:usb1="5000E0F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476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1829CC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476B40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476B40">
    <w:pPr>
      <w:pStyle w:val="Footer"/>
    </w:pPr>
  </w:p>
  <w:p w:rsidR="00476B40" w:rsidRDefault="00476B4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892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76B40" w:rsidRDefault="001829CC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6B40" w:rsidRDefault="00476B40">
    <w:pPr>
      <w:pStyle w:val="FooterCoverPage"/>
      <w:rPr>
        <w:rFonts w:ascii="Arial" w:hAnsi="Arial" w:cs="Arial"/>
        <w:b/>
        <w:sz w:val="48"/>
      </w:rPr>
    </w:pPr>
  </w:p>
  <w:p w:rsidR="00476B40" w:rsidRDefault="00476B4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476B40">
    <w:pPr>
      <w:pStyle w:val="FooterCover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40" w:rsidRDefault="001829CC">
      <w:pPr>
        <w:spacing w:after="0" w:line="240" w:lineRule="auto"/>
      </w:pPr>
      <w:r>
        <w:separator/>
      </w:r>
    </w:p>
  </w:footnote>
  <w:footnote w:type="continuationSeparator" w:id="0">
    <w:p w:rsidR="00476B40" w:rsidRDefault="001829CC">
      <w:pPr>
        <w:spacing w:after="0" w:line="240" w:lineRule="auto"/>
      </w:pPr>
      <w:r>
        <w:continuationSeparator/>
      </w:r>
    </w:p>
  </w:footnote>
  <w:footnote w:type="continuationNotice" w:id="1">
    <w:p w:rsidR="00476B40" w:rsidRDefault="00476B40">
      <w:pPr>
        <w:spacing w:after="0" w:line="240" w:lineRule="auto"/>
      </w:pPr>
    </w:p>
  </w:footnote>
  <w:footnote w:id="2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lang w:eastAsia="fr-BE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kern w:val="36"/>
        </w:rPr>
        <w:t xml:space="preserve">Więcej informacji na stronie: </w:t>
      </w:r>
    </w:p>
    <w:p w:rsidR="00476B40" w:rsidRDefault="001829CC">
      <w:pPr>
        <w:pStyle w:val="footnotetext1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kern w:val="36"/>
          <w:lang w:eastAsia="fr-BE"/>
        </w:rPr>
      </w:pPr>
      <w:hyperlink r:id="rId1">
        <w:r>
          <w:rPr>
            <w:rStyle w:val="Hyperlink"/>
            <w:rFonts w:ascii="Times New Roman" w:hAnsi="Times New Roman"/>
            <w:kern w:val="36"/>
          </w:rPr>
          <w:t>https://ec.europa.eu/commission/sites/beta-political/files/social_priorities_juncker_commission_en.pdf</w:t>
        </w:r>
      </w:hyperlink>
      <w:r>
        <w:rPr>
          <w:rFonts w:ascii="Times New Roman" w:hAnsi="Times New Roman"/>
          <w:kern w:val="36"/>
        </w:rPr>
        <w:t xml:space="preserve"> oraz w załączniku 2.</w:t>
      </w:r>
    </w:p>
  </w:footnote>
  <w:footnote w:id="3">
    <w:p w:rsidR="00476B40" w:rsidRDefault="001829CC">
      <w:pPr>
        <w:pStyle w:val="Heading1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rStyle w:val="FootnoteReference"/>
          <w:b w:val="0"/>
          <w:sz w:val="20"/>
        </w:rPr>
        <w:footnoteRef/>
      </w:r>
      <w:r>
        <w:rPr>
          <w:b w:val="0"/>
          <w:sz w:val="20"/>
        </w:rPr>
        <w:t xml:space="preserve"> </w:t>
      </w:r>
      <w:r>
        <w:tab/>
      </w:r>
      <w:r>
        <w:rPr>
          <w:b w:val="0"/>
          <w:sz w:val="20"/>
        </w:rPr>
        <w:t>Deklaracj</w:t>
      </w:r>
      <w:r>
        <w:rPr>
          <w:b w:val="0"/>
          <w:sz w:val="20"/>
        </w:rPr>
        <w:t>a przywódców 27 państw członkowskich oraz Rady Europejskiej, Parlamentu Europejskiego i Komisji Europejskiej (Rzym, 25 marca 2017 r.):</w:t>
      </w:r>
      <w:r>
        <w:tab/>
      </w:r>
      <w:r>
        <w:rPr>
          <w:b w:val="0"/>
          <w:sz w:val="20"/>
          <w:szCs w:val="20"/>
        </w:rPr>
        <w:br/>
      </w:r>
      <w:hyperlink r:id="rId2">
        <w:r>
          <w:rPr>
            <w:rStyle w:val="Hyperlink"/>
            <w:b w:val="0"/>
            <w:sz w:val="20"/>
          </w:rPr>
          <w:t>http://europa.eu/rapid/press-release_STA</w:t>
        </w:r>
        <w:r>
          <w:rPr>
            <w:rStyle w:val="Hyperlink"/>
            <w:b w:val="0"/>
            <w:sz w:val="20"/>
          </w:rPr>
          <w:t>TEMENT-17-767_pl.htm</w:t>
        </w:r>
      </w:hyperlink>
    </w:p>
  </w:footnote>
  <w:footnote w:id="4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Filar został przyjęty przez Parlament Europejski, Radę i Komisję na Szczycie Społecznym na rzecz Sprawiedliwego Zatrudnienia i Wzrostu Gospodarczego w Göteborgu (listopad 2017 r.); </w:t>
      </w:r>
      <w:hyperlink r:id="rId3">
        <w:r>
          <w:rPr>
            <w:rStyle w:val="Hyperlink"/>
            <w:rFonts w:ascii="Times New Roman" w:hAnsi="Times New Roman"/>
          </w:rPr>
          <w:t>https://ec.europa.eu/commission/priorities/</w:t>
        </w:r>
        <w:r>
          <w:rPr>
            <w:rStyle w:val="Hyperlink"/>
            <w:rFonts w:ascii="Times New Roman" w:hAnsi="Times New Roman" w:cs="Times New Roman"/>
          </w:rPr>
          <w:br/>
        </w:r>
        <w:r>
          <w:rPr>
            <w:rStyle w:val="Hyperlink"/>
            <w:rFonts w:ascii="Times New Roman" w:hAnsi="Times New Roman"/>
          </w:rPr>
          <w:t>deeper-and-fairer-economic-and-monetary-union/european-pillar-social-rights_en</w:t>
        </w:r>
      </w:hyperlink>
      <w:r>
        <w:rPr>
          <w:rFonts w:ascii="Times New Roman" w:hAnsi="Times New Roman"/>
        </w:rPr>
        <w:t xml:space="preserve"> </w:t>
      </w:r>
    </w:p>
  </w:footnote>
  <w:footnote w:id="5">
    <w:p w:rsidR="00476B40" w:rsidRDefault="001829CC">
      <w:pPr>
        <w:pStyle w:val="Heading1"/>
        <w:spacing w:before="0" w:beforeAutospacing="0" w:after="0" w:afterAutospacing="0"/>
        <w:ind w:left="284" w:hanging="284"/>
        <w:jc w:val="both"/>
      </w:pPr>
      <w:r>
        <w:rPr>
          <w:rStyle w:val="FootnoteReference"/>
          <w:b w:val="0"/>
          <w:kern w:val="0"/>
          <w:sz w:val="20"/>
        </w:rPr>
        <w:footnoteRef/>
      </w:r>
      <w:r>
        <w:rPr>
          <w:b w:val="0"/>
          <w:sz w:val="20"/>
        </w:rPr>
        <w:t xml:space="preserve"> </w:t>
      </w:r>
      <w:r>
        <w:tab/>
      </w:r>
      <w:r>
        <w:rPr>
          <w:b w:val="0"/>
          <w:sz w:val="20"/>
        </w:rPr>
        <w:t xml:space="preserve">W załączniku 2 można znaleźć przegląd </w:t>
      </w:r>
      <w:r>
        <w:rPr>
          <w:b w:val="0"/>
          <w:sz w:val="20"/>
        </w:rPr>
        <w:t>inicjatyw przyjętych w dziedzinie polityki społecznej przez Komisję pod przewodnictwem Jeana-Claude’a Junckera.</w:t>
      </w:r>
    </w:p>
  </w:footnote>
  <w:footnote w:id="6">
    <w:p w:rsidR="00476B40" w:rsidRDefault="001829C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otnoteReference"/>
          <w:rFonts w:ascii="Times New Roman" w:hAnsi="Times New Roman"/>
          <w:color w:val="auto"/>
          <w:sz w:val="20"/>
        </w:rPr>
        <w:footnoteRef/>
      </w:r>
      <w:r>
        <w:rPr>
          <w:rFonts w:ascii="Times New Roman" w:hAnsi="Times New Roman"/>
          <w:color w:val="auto"/>
          <w:sz w:val="20"/>
        </w:rPr>
        <w:t xml:space="preserve"> </w:t>
      </w:r>
      <w:r>
        <w:tab/>
      </w:r>
      <w:r>
        <w:rPr>
          <w:rFonts w:ascii="Times New Roman" w:hAnsi="Times New Roman"/>
          <w:color w:val="auto"/>
          <w:sz w:val="20"/>
        </w:rPr>
        <w:t>Zob. orędzie o stanie Unii przewodniczącego Jeana-Claude’a Junckera z dnia 12 września 2018 r. oraz program prac Komisji na 2019 r. (COM (201</w:t>
      </w:r>
      <w:r>
        <w:rPr>
          <w:rFonts w:ascii="Times New Roman" w:hAnsi="Times New Roman"/>
          <w:color w:val="auto"/>
          <w:sz w:val="20"/>
        </w:rPr>
        <w:t>8) 800 final).</w:t>
      </w:r>
    </w:p>
  </w:footnote>
  <w:footnote w:id="7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COM(2018) 647 final.</w:t>
      </w:r>
    </w:p>
  </w:footnote>
  <w:footnote w:id="8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COM(2019) 8 final.</w:t>
      </w:r>
    </w:p>
  </w:footnote>
  <w:footnote w:id="9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COM(2019) 177.</w:t>
      </w:r>
    </w:p>
  </w:footnote>
  <w:footnote w:id="10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lang w:eastAsia="fr-BE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Art. 154 Traktatu o funkcjonowaniu Unii Europejskiej przewiduje dwuetapową procedurę konsultacji: na pierwszym etapie Komisja konsultuje się z partnerami społecznymi w sprawi</w:t>
      </w:r>
      <w:r>
        <w:rPr>
          <w:rFonts w:ascii="Times New Roman" w:hAnsi="Times New Roman"/>
        </w:rPr>
        <w:t>e możliwego kierunku inicjatywy, natomiast na drugim etapie – w sprawie treści rozważanej inicjatywy. Na obu etapach partnerzy społeczni mogą poinformować Komisję o swojej woli rozpoczęcia procesu negocjacji umowy między partnerami społecznymi w tej dziedz</w:t>
      </w:r>
      <w:r>
        <w:rPr>
          <w:rFonts w:ascii="Times New Roman" w:hAnsi="Times New Roman"/>
        </w:rPr>
        <w:t>inie. W takim przypadku Komisja zawiesza swoją inicjatywę na czas trwania negocjacji. Jeżeli negocjacje zakończą się pomyślnie, partnerzy społeczni mogą wnioskować o wdrożenie umowy przez przedłożenie przez Komisję wniosku dotyczącego decyzji Rady. W przyp</w:t>
      </w:r>
      <w:r>
        <w:rPr>
          <w:rFonts w:ascii="Times New Roman" w:hAnsi="Times New Roman"/>
        </w:rPr>
        <w:t>adku braku umowy między partnerami społecznymi po zakończeniu drugiego etapu konsultacji Komisja może podjąć decyzję o przedłożeniu wniosku ustawodawczego.</w:t>
      </w:r>
    </w:p>
  </w:footnote>
  <w:footnote w:id="11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  <w:color w:val="444444"/>
        </w:rPr>
        <w:t>Art. 155 TFUE.</w:t>
      </w:r>
    </w:p>
  </w:footnote>
  <w:footnote w:id="12">
    <w:p w:rsidR="00476B40" w:rsidRDefault="001829CC">
      <w:pPr>
        <w:pStyle w:val="Default"/>
        <w:keepLines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color w:val="auto"/>
          <w:sz w:val="20"/>
          <w:vertAlign w:val="superscript"/>
        </w:rPr>
        <w:t xml:space="preserve"> </w:t>
      </w:r>
      <w:r>
        <w:tab/>
      </w:r>
      <w:r>
        <w:rPr>
          <w:rFonts w:ascii="Times New Roman" w:hAnsi="Times New Roman"/>
          <w:sz w:val="20"/>
        </w:rPr>
        <w:t>Od czasu wejścia w życie Traktatu z Lizbony w 2009 r. koordynacja systemów zabezpieczenia społecznego państw członkowskich w kontekście swobodnego przepływu pracowników na mocy art. 48 Traktatu o funkcjonowaniu Unii Europejskiej (TFUE) została objęta więks</w:t>
      </w:r>
      <w:r>
        <w:rPr>
          <w:rFonts w:ascii="Times New Roman" w:hAnsi="Times New Roman"/>
          <w:sz w:val="20"/>
        </w:rPr>
        <w:t xml:space="preserve">zością kwalifikowaną i zwykłą procedurą ustawodawczą, zamiast jednomyślności. </w:t>
      </w:r>
      <w:r>
        <w:rPr>
          <w:rFonts w:ascii="Times New Roman" w:hAnsi="Times New Roman"/>
          <w:color w:val="auto"/>
          <w:sz w:val="20"/>
        </w:rPr>
        <w:t>W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color w:val="auto"/>
          <w:sz w:val="20"/>
        </w:rPr>
        <w:t>załączniku 1 przedstawiono przegląd zmian w dorobku prawnym UE w dziedzinie polityki społecznej.</w:t>
      </w:r>
      <w:r>
        <w:rPr>
          <w:rFonts w:ascii="Times New Roman" w:hAnsi="Times New Roman"/>
          <w:sz w:val="20"/>
        </w:rPr>
        <w:t xml:space="preserve"> Zmianie towarzyszyło wprowadzenie klauzuli „hamulca bezpieczeństwa” na podstawi</w:t>
      </w:r>
      <w:r>
        <w:rPr>
          <w:rFonts w:ascii="Times New Roman" w:hAnsi="Times New Roman"/>
          <w:sz w:val="20"/>
        </w:rPr>
        <w:t>e art. 48 TFUE, zgodnie z którą członek Rady może oświadczyć, że projekt aktu ustawodawczego w dziedzinie koordynacji zabezpieczenia społecznego naruszałby istotne aspekty jego systemu zabezpieczenia społecznego (w tym zakres stosowania, koszty lub struktu</w:t>
      </w:r>
      <w:r>
        <w:rPr>
          <w:rFonts w:ascii="Times New Roman" w:hAnsi="Times New Roman"/>
          <w:sz w:val="20"/>
        </w:rPr>
        <w:t xml:space="preserve">rę finansową) lub równowagę finansową systemu, i zażądać przedłożenia danej kwestii Radzie Europejskiej; zwykła procedura ustawodawcza zostaje wówczas zawieszona. Po przeprowadzeniu dyskusji w terminie czterech miesięcy Rada Europejska albo odsyła projekt </w:t>
      </w:r>
      <w:r>
        <w:rPr>
          <w:rFonts w:ascii="Times New Roman" w:hAnsi="Times New Roman"/>
          <w:sz w:val="20"/>
        </w:rPr>
        <w:t>do Rady, co oznacza zakończenie zawieszenia zwykłej procedury ustawodawczej; albo nie podejmuje żadnych działań lub zwraca się do Komisji o przedstawienie nowego wniosku (w takim przypadku początkowo proponowany akt uważa się za nieprzyjęty).</w:t>
      </w:r>
    </w:p>
  </w:footnote>
  <w:footnote w:id="13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Dyrektywa </w:t>
      </w:r>
      <w:r>
        <w:rPr>
          <w:rFonts w:ascii="Times New Roman" w:hAnsi="Times New Roman"/>
        </w:rPr>
        <w:t>Rady 2001/86/WE z dnia 8 października 2001 r. uzupełniająca statut spółki europejskiej w odniesieniu do uczestnictwa pracowników oraz dyrektywa Rady 2003/72/WE z dnia 22 lipca 2003 r. uzupełniająca statut spółdzielni europejskiej w odniesieniu do zaangażow</w:t>
      </w:r>
      <w:r>
        <w:rPr>
          <w:rFonts w:ascii="Times New Roman" w:hAnsi="Times New Roman"/>
        </w:rPr>
        <w:t>ania pracowników.</w:t>
      </w:r>
    </w:p>
  </w:footnote>
  <w:footnote w:id="14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Dyrektywa Parlamentu Europejskiego i Rady 2014/50/UE z dnia 16 kwietnia 2014 r. w sprawie minimalnych wymogów służących zwiększeniu mobilności pracowników między państwami członkowskimi dzięki łatwiejszemu nabywaniu i zachowywaniu upra</w:t>
      </w:r>
      <w:r>
        <w:rPr>
          <w:rFonts w:ascii="Times New Roman" w:hAnsi="Times New Roman"/>
        </w:rPr>
        <w:t>wnień do dodatkowych emerytur</w:t>
      </w:r>
    </w:p>
  </w:footnote>
  <w:footnote w:id="15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Art. 20 TUE, art. 326–334 TFUE.</w:t>
      </w:r>
    </w:p>
  </w:footnote>
  <w:footnote w:id="16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Wniosek dotyczący dyrektywy Rady w sprawie wprowadzenia w życie zasady równego traktowania osób bez względu na religię lub światopogląd, niepełnosprawność, wiek lub orientację seksualną, CO</w:t>
      </w:r>
      <w:r>
        <w:rPr>
          <w:rFonts w:ascii="Times New Roman" w:hAnsi="Times New Roman"/>
        </w:rPr>
        <w:t>M(2008) 426 final z 2.7.2008.</w:t>
      </w:r>
    </w:p>
  </w:footnote>
  <w:footnote w:id="17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Art. 19 ust. 2 TFUE.</w:t>
      </w:r>
    </w:p>
  </w:footnote>
  <w:footnote w:id="18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Dyrektywa Rady 2004/113/WE wprowadzająca w życie zasadę równego traktowania mężczyzn i kobiet w zakresie dostępu do towarów i usług oraz dostarczania towarów i usług; dyrektywa Rady 2000/43/WE wprowa</w:t>
      </w:r>
      <w:r>
        <w:rPr>
          <w:rFonts w:ascii="Times New Roman" w:hAnsi="Times New Roman"/>
        </w:rPr>
        <w:t>dzająca w życie zasadę równego traktowania osób bez względu na pochodzenie rasowe lub etniczne oraz dyrektywa Rady 2000/78/WE ustanawiająca ogólne warunki ramowe równego traktowania w zakresie zatrudnienia i pracy.</w:t>
      </w:r>
    </w:p>
    <w:p w:rsidR="00476B40" w:rsidRDefault="001829CC">
      <w:pPr>
        <w:pStyle w:val="footnotetext1"/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Inne instrumenty zostały przyjęte kwalifi</w:t>
      </w:r>
      <w:r>
        <w:rPr>
          <w:rFonts w:ascii="Times New Roman" w:hAnsi="Times New Roman"/>
        </w:rPr>
        <w:t>kowaną większością głosów, ponieważ opierały się na innym postanowieniu Traktatu, ale dotyczyły podobnych obszarów: dyrektywa 2006/54/WE Parlamentu Europejskiego i Rady w sprawie wprowadzenia w życie zasady równości szans oraz równego traktowania kobiet i </w:t>
      </w:r>
      <w:r>
        <w:rPr>
          <w:rFonts w:ascii="Times New Roman" w:hAnsi="Times New Roman"/>
        </w:rPr>
        <w:t>mężczyzn w dziedzinie zatrudnienia i pracy oraz dyrektywa Parlamentu Europejskiego i Rady 2010/41/UE w sprawie stosowania zasady równego traktowania kobiet i mężczyzn prowadzących działalność na własny rachunek oraz uchylająca dyrektywę Rady 86/613/EWG.</w:t>
      </w:r>
    </w:p>
  </w:footnote>
  <w:footnote w:id="19">
    <w:p w:rsidR="00476B40" w:rsidRDefault="001829C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tab/>
      </w:r>
      <w:r>
        <w:rPr>
          <w:rFonts w:ascii="Times New Roman" w:hAnsi="Times New Roman"/>
          <w:sz w:val="20"/>
        </w:rPr>
        <w:t>Wniosek z 2008 r. dotyczący dyrektywy Rady w sprawie wprowadzenia w życie zasady równego traktowania osób bez względu na religię lub światopogląd, niepełnosprawność, wiek lub orientację seksualną, COM (2008) 426 final, dotyczący tych kwestii i rozszerzają</w:t>
      </w:r>
      <w:r>
        <w:rPr>
          <w:rFonts w:ascii="Times New Roman" w:hAnsi="Times New Roman"/>
          <w:sz w:val="20"/>
        </w:rPr>
        <w:t>cy na obszary inne niż zatrudnienie ochronę przed dyskryminacją ze względu na religię lub przekonania, wiek, niepełnosprawność i orientację seksualną, został zablokowany w Radzie.</w:t>
      </w:r>
    </w:p>
  </w:footnote>
  <w:footnote w:id="20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en-U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W szczególności art. 2 TUE i art. 8 TFUE.</w:t>
      </w:r>
    </w:p>
  </w:footnote>
  <w:footnote w:id="21">
    <w:p w:rsidR="00476B40" w:rsidRDefault="001829C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tab/>
      </w:r>
      <w:r>
        <w:rPr>
          <w:rFonts w:ascii="Times New Roman" w:hAnsi="Times New Roman"/>
          <w:sz w:val="20"/>
        </w:rPr>
        <w:t>Jednym z celów w ramach celu</w:t>
      </w:r>
      <w:r>
        <w:rPr>
          <w:rFonts w:ascii="Times New Roman" w:hAnsi="Times New Roman"/>
          <w:sz w:val="20"/>
        </w:rPr>
        <w:t xml:space="preserve"> 10 (zmniejszenie nierówności w krajach i między krajami) jest zapewnienie równych szans i zmniejszenie nierówności wyników. </w:t>
      </w:r>
      <w: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/>
          <w:sz w:val="20"/>
        </w:rPr>
        <w:t>Cel 10.2: do 2030 roku umożliwić i promować uczestnictwo w życiu społecznym, gospodarczym i politycznym wszystkich ludzi, bez względu na wiek, płeć, niepełnosprawność, rasę, pochodzenie etniczne, narodowość, religię, status ekonomiczny bądź inne czynniki o</w:t>
      </w:r>
      <w:r>
        <w:rPr>
          <w:rFonts w:ascii="Times New Roman" w:hAnsi="Times New Roman"/>
          <w:sz w:val="20"/>
        </w:rPr>
        <w:t xml:space="preserve">raz </w:t>
      </w:r>
      <w: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/>
          <w:sz w:val="20"/>
        </w:rPr>
        <w:t>cel 10.3: zapewnić równe szanse oraz zmniejszać istniejące nierówności poprzez eliminowanie dyskryminujących praw, polityk i praktyk oraz promować odpowiednią legislację, polityki i działania w tym zakresie.</w:t>
      </w:r>
    </w:p>
  </w:footnote>
  <w:footnote w:id="22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Biuro Analiz Parlamentu Europejskiego, </w:t>
      </w:r>
      <w:r>
        <w:rPr>
          <w:rFonts w:ascii="Times New Roman" w:eastAsiaTheme="minorHAnsi" w:hAnsi="Times New Roman"/>
          <w:i/>
        </w:rPr>
        <w:t>Equality and the fight against racism and xenophobia (Cost of non</w:t>
      </w:r>
      <w:r>
        <w:noBreakHyphen/>
      </w:r>
      <w:r>
        <w:rPr>
          <w:rFonts w:ascii="Times New Roman" w:eastAsiaTheme="minorHAnsi" w:hAnsi="Times New Roman"/>
          <w:i/>
        </w:rPr>
        <w:t>Europe report</w:t>
      </w:r>
      <w:r>
        <w:rPr>
          <w:rFonts w:ascii="Times New Roman" w:hAnsi="Times New Roman"/>
        </w:rPr>
        <w:t xml:space="preserve"> (PE 615.660, marzec 2018 r.);</w:t>
      </w:r>
      <w: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 xml:space="preserve"> </w:t>
      </w:r>
      <w:hyperlink r:id="rId4">
        <w:r>
          <w:rPr>
            <w:rStyle w:val="Hyperlink"/>
            <w:rFonts w:ascii="Times New Roman" w:hAnsi="Times New Roman"/>
          </w:rPr>
          <w:t>http://www.europarl.europa.eu/thinkta</w:t>
        </w:r>
        <w:r>
          <w:rPr>
            <w:rStyle w:val="Hyperlink"/>
            <w:rFonts w:ascii="Times New Roman" w:hAnsi="Times New Roman"/>
          </w:rPr>
          <w:t>nk/en/document.html?reference=EPRS_STU(2018)615660</w:t>
        </w:r>
      </w:hyperlink>
    </w:p>
  </w:footnote>
  <w:footnote w:id="23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eastAsiaTheme="minorHAnsi" w:hAnsi="Times New Roman"/>
        </w:rPr>
        <w:t>Art. 13 dyrektywy 2000/43/WE, art. 11 dyrektywy 2010/41/UE, art. 12 dyrektywy 2004/113/WE i art. 20 dyrektywy 2006/54/WE.</w:t>
      </w:r>
    </w:p>
  </w:footnote>
  <w:footnote w:id="24">
    <w:p w:rsidR="00476B40" w:rsidRDefault="001829CC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tab/>
      </w:r>
      <w:r>
        <w:rPr>
          <w:rFonts w:ascii="Times New Roman" w:hAnsi="Times New Roman"/>
          <w:sz w:val="20"/>
        </w:rPr>
        <w:t>Zalecenie Komisji C(2018) 3850 final z 22.6.2018 w sprawie norm dotyczących o</w:t>
      </w:r>
      <w:r>
        <w:rPr>
          <w:rFonts w:ascii="Times New Roman" w:hAnsi="Times New Roman"/>
          <w:sz w:val="20"/>
        </w:rPr>
        <w:t>rganów ds. równości;</w:t>
      </w:r>
      <w:r>
        <w:tab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hyperlink r:id="rId5">
        <w:r>
          <w:rPr>
            <w:rStyle w:val="Hyperlink"/>
            <w:rFonts w:ascii="Times New Roman" w:hAnsi="Times New Roman"/>
            <w:sz w:val="20"/>
          </w:rPr>
          <w:t>https://ec.europa.eu/info/sites/info/files/2_en_act_part1_v4.pdf</w:t>
        </w:r>
      </w:hyperlink>
      <w:r>
        <w:rPr>
          <w:rStyle w:val="Hyperlink"/>
          <w:rFonts w:ascii="Times New Roman" w:hAnsi="Times New Roman"/>
          <w:sz w:val="20"/>
        </w:rPr>
        <w:t>.</w:t>
      </w:r>
    </w:p>
  </w:footnote>
  <w:footnote w:id="25">
    <w:p w:rsidR="00476B40" w:rsidRDefault="001829CC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tab/>
      </w:r>
      <w:r>
        <w:rPr>
          <w:rFonts w:ascii="Times New Roman" w:hAnsi="Times New Roman"/>
          <w:sz w:val="20"/>
        </w:rPr>
        <w:t xml:space="preserve">Eurobarometr 437, </w:t>
      </w:r>
      <w:r>
        <w:rPr>
          <w:rFonts w:ascii="Times New Roman" w:hAnsi="Times New Roman"/>
          <w:i/>
          <w:sz w:val="20"/>
        </w:rPr>
        <w:t>Discrimination in the EU in 2015</w:t>
      </w:r>
      <w:r>
        <w:rPr>
          <w:rFonts w:ascii="Times New Roman" w:hAnsi="Times New Roman"/>
          <w:sz w:val="20"/>
        </w:rPr>
        <w:t xml:space="preserve"> (Dyskryminacja w UE w 2015 r.)</w:t>
      </w:r>
      <w:r>
        <w:rPr>
          <w:rFonts w:ascii="Times New Roman" w:hAnsi="Times New Roman"/>
          <w:sz w:val="20"/>
        </w:rPr>
        <w:t>.</w:t>
      </w:r>
    </w:p>
  </w:footnote>
  <w:footnote w:id="26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6">
        <w:r>
          <w:rPr>
            <w:rFonts w:ascii="Times New Roman" w:hAnsi="Times New Roman"/>
          </w:rPr>
          <w:t>Zob.</w:t>
        </w:r>
      </w:hyperlink>
      <w:r>
        <w:rPr>
          <w:rFonts w:ascii="Times New Roman" w:hAnsi="Times New Roman"/>
        </w:rPr>
        <w:t xml:space="preserve"> przypis 21. </w:t>
      </w:r>
    </w:p>
  </w:footnote>
  <w:footnote w:id="27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Zasady takie przewidziane zostały w art. 153 ust. 1 lit. c) TFUE, natomiast na podstawie art. 48 TFUE Unia może przyjmować środki w dziedzinie zabezpieczenia społecznego, które są niezbędne do zapewnienia swobody przepływu pracowników. Środki te są objęte </w:t>
      </w:r>
      <w:r>
        <w:rPr>
          <w:rFonts w:ascii="Times New Roman" w:hAnsi="Times New Roman"/>
        </w:rPr>
        <w:t xml:space="preserve">głosowaniem większością kwalifikowaną, a zatem nie są przedmiotem niniejszego komunikatu. </w:t>
      </w:r>
    </w:p>
  </w:footnote>
  <w:footnote w:id="28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Dorobek prawny w zakresie legalnej migracji obejmuje następujące przepisy: </w:t>
      </w:r>
    </w:p>
    <w:p w:rsidR="00476B40" w:rsidRDefault="001829CC">
      <w:pPr>
        <w:pStyle w:val="footnotetext1"/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dyrektywa Rady 2003/86/WE z dnia 22 września 2003 r. w sprawie prawa do łączenia rodzi</w:t>
      </w:r>
      <w:r>
        <w:rPr>
          <w:rFonts w:ascii="Times New Roman" w:hAnsi="Times New Roman"/>
        </w:rPr>
        <w:t xml:space="preserve">n; </w:t>
      </w:r>
    </w:p>
    <w:p w:rsidR="00476B40" w:rsidRDefault="001829CC">
      <w:pPr>
        <w:pStyle w:val="footnotetext1"/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dyrektywa Rady 2003/109/WE z dnia 25 listopada 2003 r. dotycząca statusu obywateli państw trzecich będących rezydentami długoterminowymi; </w:t>
      </w:r>
    </w:p>
    <w:p w:rsidR="00476B40" w:rsidRDefault="001829CC">
      <w:pPr>
        <w:pStyle w:val="footnotetext1"/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dyrektywa Rady 2009/50/WE z dnia 25 maja 2009 r. w sprawie warunków wjazdu i pobytu obywateli państw trzecich w c</w:t>
      </w:r>
      <w:r>
        <w:rPr>
          <w:rFonts w:ascii="Times New Roman" w:hAnsi="Times New Roman"/>
        </w:rPr>
        <w:t xml:space="preserve">elu podjęcia pracy w zawodzie wymagającym wysokich kwalifikacji (dyrektywa w sprawie niebieskiej karty UE); </w:t>
      </w:r>
    </w:p>
    <w:p w:rsidR="00476B40" w:rsidRDefault="001829CC">
      <w:pPr>
        <w:pStyle w:val="footnotetext1"/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dyrektywa Parlamentu Europejskiego i Rady 2011/98/UE z dnia 13 grudnia 2011 r. w sprawie procedury jednego wniosku o jedno zezwolenie dla obywateli</w:t>
      </w:r>
      <w:r>
        <w:rPr>
          <w:rFonts w:ascii="Times New Roman" w:hAnsi="Times New Roman"/>
        </w:rPr>
        <w:t xml:space="preserve"> państw trzecich na pobyt i pracę na terytorium państwa członkowskiego oraz w sprawie wspólnego zbioru praw dla pracowników z państw trzecich przebywających legalnie w państwie członkowskim; </w:t>
      </w:r>
    </w:p>
    <w:p w:rsidR="00476B40" w:rsidRDefault="001829CC">
      <w:pPr>
        <w:pStyle w:val="footnotetext1"/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dyrektywa Parlamentu Europejskiego i Rady 2014/36/UE z dnia 26 l</w:t>
      </w:r>
      <w:r>
        <w:rPr>
          <w:rFonts w:ascii="Times New Roman" w:hAnsi="Times New Roman"/>
        </w:rPr>
        <w:t xml:space="preserve">utego 2014 r. w sprawie warunków wjazdu i pobytu obywateli państw trzecich w celu zatrudnienia w charakterze pracownika sezonowego; </w:t>
      </w:r>
    </w:p>
    <w:p w:rsidR="00476B40" w:rsidRDefault="001829CC">
      <w:pPr>
        <w:pStyle w:val="footnotetext1"/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dyrektywa Parlamentu Europejskiego i Rady 2014/66/UE z dnia 15 maja 2014 r. w sprawie warunków wjazdu i pobytu obywateli pa</w:t>
      </w:r>
      <w:r>
        <w:rPr>
          <w:rFonts w:ascii="Times New Roman" w:hAnsi="Times New Roman"/>
        </w:rPr>
        <w:t>ństw trzecich w ramach przeniesienia wewnątrz przedsiębiorstwa; oraz</w:t>
      </w:r>
    </w:p>
    <w:p w:rsidR="00476B40" w:rsidRDefault="001829CC">
      <w:pPr>
        <w:pStyle w:val="footnotetext1"/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dyrektywa Parlamentu Europejskiego i Rady (UE) 2016/801 z dnia 11 maja 2016 r. w sprawie warunków wjazdu i pobytu obywateli państw trzecich w celu prowadzenia badań naukowych, odbycia stu</w:t>
      </w:r>
      <w:r>
        <w:rPr>
          <w:rFonts w:ascii="Times New Roman" w:hAnsi="Times New Roman"/>
        </w:rPr>
        <w:t xml:space="preserve">diów, szkoleń, udziału w wolontariacie, programach wymiany młodzieży szkolnej lub projektach edukacyjnych oraz podjęcia pracy w charakterze </w:t>
      </w:r>
      <w:r>
        <w:rPr>
          <w:rFonts w:ascii="Times New Roman" w:hAnsi="Times New Roman"/>
          <w:i/>
        </w:rPr>
        <w:t>au pair</w:t>
      </w:r>
      <w:r>
        <w:rPr>
          <w:rFonts w:ascii="Times New Roman" w:hAnsi="Times New Roman"/>
        </w:rPr>
        <w:t>.</w:t>
      </w:r>
    </w:p>
    <w:p w:rsidR="00476B40" w:rsidRDefault="001829CC">
      <w:pPr>
        <w:pStyle w:val="FootnoteText"/>
      </w:pPr>
      <w:r>
        <w:t xml:space="preserve"> </w:t>
      </w:r>
    </w:p>
  </w:footnote>
  <w:footnote w:id="29">
    <w:p w:rsidR="00476B40" w:rsidRDefault="001829CC">
      <w:pPr>
        <w:pStyle w:val="FootnoteText"/>
        <w:ind w:left="284" w:hanging="284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Przykładowo w dziedzinie zdrowia i bezpieczeństwa pracowników (dyrektywa ramowa 89/391/EWG i 25 </w:t>
      </w:r>
      <w:r>
        <w:rPr>
          <w:rFonts w:ascii="Times New Roman" w:hAnsi="Times New Roman"/>
        </w:rPr>
        <w:t>dyrektyw pokrewnych) oraz w dziedzinie warunków pracy: dyrektywa 91/533/EWG (informowanie na piśmie); dyrektywa 94/33/WE (praca osób młodych); dyrektywa 2008/104/WE (praca tymczasowa); dyrektywa 2008/94/WE (ochrona pracowników na wypadek niewypłacalności p</w:t>
      </w:r>
      <w:r>
        <w:rPr>
          <w:rFonts w:ascii="Times New Roman" w:hAnsi="Times New Roman"/>
        </w:rPr>
        <w:t>racodawcy); dyrektywa 1997/81/WE (zatrudnienie w niepełnym wymiarze czasu pracy); dyrektywa 1999/70/WE (praca na czas określony); 2002/14/WE (dyrektywa w sprawie informowania i konsultacji); dyrektywa 2003/88/WE (czas pracy).</w:t>
      </w:r>
      <w:r>
        <w:t xml:space="preserve"> </w:t>
      </w:r>
    </w:p>
  </w:footnote>
  <w:footnote w:id="30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Zalecenie Rady z dnia 22 k</w:t>
      </w:r>
      <w:r>
        <w:rPr>
          <w:rFonts w:ascii="Times New Roman" w:hAnsi="Times New Roman"/>
        </w:rPr>
        <w:t>wietnia 2013 r. w sprawie ustanowienia gwarancji dla młodzieży (2013/C 120/01).</w:t>
      </w:r>
    </w:p>
  </w:footnote>
  <w:footnote w:id="31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Style w:val="Emphasis"/>
          <w:rFonts w:ascii="Times New Roman" w:hAnsi="Times New Roman"/>
          <w:i w:val="0"/>
        </w:rPr>
        <w:t>Zalecenie Rady z dnia 15 lutego 2016 r. w sprawie integracji osób długotrwale bezrobotnych na rynku pracy (2016/C 67/01).</w:t>
      </w:r>
    </w:p>
  </w:footnote>
  <w:footnote w:id="32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Zalecenie Rady z dnia 19 grudnia 2016 r. w spraw</w:t>
      </w:r>
      <w:r>
        <w:rPr>
          <w:rFonts w:ascii="Times New Roman" w:hAnsi="Times New Roman"/>
        </w:rPr>
        <w:t>ie ścieżek poprawy umiejętności: nowe możliwości dla dorosłych (2016/C 484/01).</w:t>
      </w:r>
    </w:p>
  </w:footnote>
  <w:footnote w:id="33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eastAsiaTheme="minorHAnsi" w:hAnsi="Times New Roman"/>
        </w:rPr>
        <w:t>Zasada 7 lit. b) w Europejskim filarze praw socjalnych stanowi, że „[w] przypadku zwolnienia z pracy pracownicy mają prawo do uzyskania wcześniej informacji o przyczynach ta</w:t>
      </w:r>
      <w:r>
        <w:rPr>
          <w:rFonts w:ascii="Times New Roman" w:eastAsiaTheme="minorHAnsi" w:hAnsi="Times New Roman"/>
        </w:rPr>
        <w:t>kiego zwolnienia, przysługuje im również rozsądny okres wypowiedzenia. Mają oni prawo do skutecznego i bezstronnego rozstrzygania sporów, a w przypadku nieuzasadnionego zwolnienia z pracy, prawo do dochodzenia roszczeń, w tym do odpowiedniej rekompensaty”.</w:t>
      </w:r>
    </w:p>
  </w:footnote>
  <w:footnote w:id="34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Dyrektywa Rady 97/81/WE z dnia 15 grudnia 1997 r. dotycząca Porozumienia ramowego dotyczącego pracy w niepełnym wymiarze godzin zawartego przez Europejską Unię Konfederacji Przemysłowych i Pracodawców (UNICE), Europejskie Centrum Przedsiębiorstw Public</w:t>
      </w:r>
      <w:r>
        <w:rPr>
          <w:rFonts w:ascii="Times New Roman" w:hAnsi="Times New Roman"/>
        </w:rPr>
        <w:t>znych (CEEP) oraz Europejską Konfederację Związków Zawodowych (ETUC).</w:t>
      </w:r>
    </w:p>
  </w:footnote>
  <w:footnote w:id="35">
    <w:p w:rsidR="00476B40" w:rsidRDefault="001829C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tab/>
      </w:r>
      <w:r>
        <w:rPr>
          <w:rFonts w:ascii="Times New Roman" w:hAnsi="Times New Roman"/>
          <w:sz w:val="20"/>
        </w:rPr>
        <w:t xml:space="preserve">Dyrektywa 2006/54/WE Parlamentu Europejskiego i Rady z dnia 5 lipca 2006 r. w sprawie wprowadzenia w życie zasady równości szans oraz równego traktowania kobiet i mężczyzn </w:t>
      </w:r>
      <w:r>
        <w:rPr>
          <w:rFonts w:ascii="Times New Roman" w:hAnsi="Times New Roman"/>
          <w:sz w:val="20"/>
        </w:rPr>
        <w:t>w dziedzinie zatrudnienia i pracy (wersja przekształcona).</w:t>
      </w:r>
    </w:p>
  </w:footnote>
  <w:footnote w:id="36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  <w:shd w:val="clear" w:color="auto" w:fill="FFFFFF"/>
        </w:rPr>
        <w:t>Dyrektywa Parlamentu Europejskiego i Rady 2010/41/UE z dnia 7 lipca 2010 r. w sprawie stosowania zasady równego traktowania kobiet i mężczyzn prowadzących działalność na własny rachunek oraz uch</w:t>
      </w:r>
      <w:r>
        <w:rPr>
          <w:rFonts w:ascii="Times New Roman" w:hAnsi="Times New Roman"/>
          <w:shd w:val="clear" w:color="auto" w:fill="FFFFFF"/>
        </w:rPr>
        <w:t>ylająca dyrektywę Rady 86/613/EWG.</w:t>
      </w:r>
    </w:p>
  </w:footnote>
  <w:footnote w:id="37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7">
        <w:r>
          <w:rPr>
            <w:rStyle w:val="Hyperlink"/>
            <w:rFonts w:ascii="Times New Roman" w:hAnsi="Times New Roman"/>
          </w:rPr>
          <w:t>COM(2017) 797</w:t>
        </w:r>
      </w:hyperlink>
      <w:r>
        <w:rPr>
          <w:rStyle w:val="Hyperlink"/>
          <w:rFonts w:ascii="Times New Roman" w:hAnsi="Times New Roman"/>
          <w:color w:val="auto"/>
        </w:rPr>
        <w:t>.</w:t>
      </w:r>
    </w:p>
  </w:footnote>
  <w:footnote w:id="38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8">
        <w:r>
          <w:rPr>
            <w:rStyle w:val="Hyperlink"/>
            <w:rFonts w:ascii="Times New Roman" w:hAnsi="Times New Roman"/>
          </w:rPr>
          <w:t>COM(2017) 253</w:t>
        </w:r>
      </w:hyperlink>
      <w:r>
        <w:rPr>
          <w:rFonts w:ascii="Times New Roman" w:hAnsi="Times New Roman"/>
        </w:rPr>
        <w:t>.</w:t>
      </w:r>
    </w:p>
  </w:footnote>
  <w:footnote w:id="39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eastAsiaTheme="minorHAnsi" w:hAnsi="Times New Roman"/>
        </w:rPr>
        <w:t>Zasa</w:t>
      </w:r>
      <w:r>
        <w:rPr>
          <w:rFonts w:ascii="Times New Roman" w:eastAsiaTheme="minorHAnsi" w:hAnsi="Times New Roman"/>
        </w:rPr>
        <w:t>da 8 Europejskiego filaru praw socjalnych stanowi, że „należy prowadzić konsultacje z partnerami społecznymi w sprawie opracowywania i wdrażania polityki gospodarczej i społecznej oraz polityki zatrudnienia zgodnie z praktykami krajowymi. Należy ich zachęc</w:t>
      </w:r>
      <w:r>
        <w:rPr>
          <w:rFonts w:ascii="Times New Roman" w:eastAsiaTheme="minorHAnsi" w:hAnsi="Times New Roman"/>
        </w:rPr>
        <w:t xml:space="preserve">ać do negocjowania i zawierania układów zbiorowych w sprawach, które ich dotyczą, z poszanowaniem ich autonomii i prawa do podejmowania działań zbiorowych. W stosownych przypadkach porozumienia zawarte między partnerami społecznymi są wdrażane na szczeblu </w:t>
      </w:r>
      <w:r>
        <w:rPr>
          <w:rFonts w:ascii="Times New Roman" w:eastAsiaTheme="minorHAnsi" w:hAnsi="Times New Roman"/>
        </w:rPr>
        <w:t>Unii i jej państw członkowskich. Pracownicy lub ich przedstawiciele mają prawo do uzyskiwania informacji i wyrażania swojej opinii w odpowiednim czasie w dotyczących ich kwestiach, w szczególności w odniesieniu do transferów, restrukturyzacji oraz łączenia</w:t>
      </w:r>
      <w:r>
        <w:rPr>
          <w:rFonts w:ascii="Times New Roman" w:eastAsiaTheme="minorHAnsi" w:hAnsi="Times New Roman"/>
        </w:rPr>
        <w:t xml:space="preserve"> przedsiębiorstw, a także zwolnień grupowych. Zachęca się do wspierania zwiększonej zdolności partnerów społecznych do propagowania dialogu społecznego”.</w:t>
      </w:r>
    </w:p>
  </w:footnote>
  <w:footnote w:id="40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Zob. art. 153 ust. 5 TFUE, zgodnie z którym art. 153 TFUE nie stosuje się do wynagrodzeń, prawa zrz</w:t>
      </w:r>
      <w:r>
        <w:rPr>
          <w:rFonts w:ascii="Times New Roman" w:hAnsi="Times New Roman"/>
        </w:rPr>
        <w:t>eszania się, prawa strajku i prawa lokautu.</w:t>
      </w:r>
    </w:p>
  </w:footnote>
  <w:footnote w:id="41">
    <w:p w:rsidR="00476B40" w:rsidRDefault="001829CC">
      <w:pPr>
        <w:pStyle w:val="footnotetex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eastAsiaTheme="minorHAnsi" w:hAnsi="Times New Roman"/>
        </w:rPr>
        <w:t>Aspekty reprezentacji i obrony zbiorowej są uwzględnione w różnym stopniu w ramach szczegółowych instrumentów takich jak dyrektywa 2009/38/WE w sprawie europejskiej rady zakładowej, dyrektywa 2001/23/WE w spra</w:t>
      </w:r>
      <w:r>
        <w:rPr>
          <w:rFonts w:ascii="Times New Roman" w:eastAsiaTheme="minorHAnsi" w:hAnsi="Times New Roman"/>
        </w:rPr>
        <w:t>wie przejmowania przedsiębiorstw, dyrektywa 2001/86/WE uzupełniająca statut spółki europejskiej w odniesieniu do uczestnictwa pracowników, dyrektywa 2003/72/WE w sprawie informacji, konsultacji i praw uczestnictwa pracowników w spółdzielni europejskiej ora</w:t>
      </w:r>
      <w:r>
        <w:rPr>
          <w:rFonts w:ascii="Times New Roman" w:eastAsiaTheme="minorHAnsi" w:hAnsi="Times New Roman"/>
        </w:rPr>
        <w:t>z dyrektywa (UE) 2017/1132 w sprawie niektórych aspektów prawa spółek.</w:t>
      </w:r>
    </w:p>
  </w:footnote>
  <w:footnote w:id="42">
    <w:p w:rsidR="00476B40" w:rsidRDefault="001829C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tab/>
      </w:r>
      <w:r>
        <w:rPr>
          <w:rFonts w:ascii="Times New Roman" w:hAnsi="Times New Roman"/>
          <w:sz w:val="20"/>
        </w:rPr>
        <w:t xml:space="preserve">Nowy początek dialogu społecznego – oświadczenie prezydencji Rady Unii Europejskiej, Komisji Europejskiej i europejskich partnerów społecznych, 16 czerwca 2016 r.; </w:t>
      </w:r>
      <w:hyperlink r:id="rId9">
        <w:r>
          <w:rPr>
            <w:rStyle w:val="Hyperlink"/>
            <w:rFonts w:ascii="Times New Roman" w:hAnsi="Times New Roman"/>
            <w:sz w:val="20"/>
          </w:rPr>
          <w:t>http://ec.europa.eu/social/BlobServlet?docId=15738&amp;langId=en</w:t>
        </w:r>
      </w:hyperlink>
    </w:p>
  </w:footnote>
  <w:footnote w:id="43">
    <w:p w:rsidR="00476B40" w:rsidRDefault="001829C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tab/>
      </w:r>
      <w:r>
        <w:rPr>
          <w:rFonts w:ascii="Times New Roman" w:hAnsi="Times New Roman"/>
          <w:sz w:val="20"/>
        </w:rPr>
        <w:t xml:space="preserve">Europejski dialog społeczny: program prac na lata 2019–2021 (ETUC, BusinessEurope, CEEP i SMEunited); </w:t>
      </w:r>
      <w:hyperlink r:id="rId10">
        <w:r>
          <w:rPr>
            <w:rStyle w:val="Hyperlink"/>
            <w:rFonts w:ascii="Times New Roman" w:hAnsi="Times New Roman"/>
            <w:sz w:val="20"/>
          </w:rPr>
          <w:t>https://www.businesseurope.eu/publications/european-social-dialogue-work-programme-2019-2021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476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476B40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476B40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476B40">
    <w:pPr>
      <w:pStyle w:val="Header"/>
    </w:pPr>
  </w:p>
  <w:p w:rsidR="00476B40" w:rsidRDefault="00476B4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476B40">
    <w:pPr>
      <w:pStyle w:val="HeaderCoverPage"/>
    </w:pPr>
  </w:p>
  <w:p w:rsidR="00476B40" w:rsidRDefault="00476B4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0" w:rsidRDefault="00476B40">
    <w:pPr>
      <w:pStyle w:val="HeaderCover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92C3D4A"/>
    <w:lvl w:ilvl="0">
      <w:start w:val="1"/>
      <w:numFmt w:val="decimal"/>
      <w:pStyle w:val="HeaderSensitivity"/>
      <w:lvlText w:val="%1."/>
      <w:lvlJc w:val="left"/>
      <w:pPr>
        <w:tabs>
          <w:tab w:val="num" w:pos="-426"/>
        </w:tabs>
        <w:ind w:left="-6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426"/>
        </w:tabs>
        <w:ind w:left="36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1" w15:restartNumberingAfterBreak="0">
    <w:nsid w:val="000E522F"/>
    <w:multiLevelType w:val="hybridMultilevel"/>
    <w:tmpl w:val="A142D218"/>
    <w:lvl w:ilvl="0" w:tplc="2218768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4E38CA"/>
    <w:multiLevelType w:val="hybridMultilevel"/>
    <w:tmpl w:val="A076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811E6"/>
    <w:multiLevelType w:val="hybridMultilevel"/>
    <w:tmpl w:val="9E3E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11271"/>
    <w:multiLevelType w:val="hybridMultilevel"/>
    <w:tmpl w:val="5FBABEC0"/>
    <w:lvl w:ilvl="0" w:tplc="4634911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4BF344E"/>
    <w:multiLevelType w:val="hybridMultilevel"/>
    <w:tmpl w:val="C200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01D51"/>
    <w:multiLevelType w:val="multilevel"/>
    <w:tmpl w:val="B92C3D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5442E33"/>
    <w:multiLevelType w:val="hybridMultilevel"/>
    <w:tmpl w:val="22F8E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7D367B"/>
    <w:multiLevelType w:val="hybridMultilevel"/>
    <w:tmpl w:val="9138B546"/>
    <w:lvl w:ilvl="0" w:tplc="4634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02B69"/>
    <w:multiLevelType w:val="hybridMultilevel"/>
    <w:tmpl w:val="1E96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E22F44"/>
    <w:multiLevelType w:val="hybridMultilevel"/>
    <w:tmpl w:val="38685914"/>
    <w:lvl w:ilvl="0" w:tplc="366AD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646D4"/>
    <w:multiLevelType w:val="hybridMultilevel"/>
    <w:tmpl w:val="D4C0633A"/>
    <w:lvl w:ilvl="0" w:tplc="3BD25EBC">
      <w:start w:val="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828D8"/>
    <w:multiLevelType w:val="hybridMultilevel"/>
    <w:tmpl w:val="6A64E9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2E65"/>
    <w:multiLevelType w:val="hybridMultilevel"/>
    <w:tmpl w:val="157C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666FC7"/>
    <w:multiLevelType w:val="hybridMultilevel"/>
    <w:tmpl w:val="D7F2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E7F4D"/>
    <w:multiLevelType w:val="hybridMultilevel"/>
    <w:tmpl w:val="5CDE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00A6C"/>
    <w:multiLevelType w:val="hybridMultilevel"/>
    <w:tmpl w:val="1B2A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26FC2"/>
    <w:multiLevelType w:val="hybridMultilevel"/>
    <w:tmpl w:val="622E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FF3C3A"/>
    <w:multiLevelType w:val="hybridMultilevel"/>
    <w:tmpl w:val="40C65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D13636"/>
    <w:multiLevelType w:val="hybridMultilevel"/>
    <w:tmpl w:val="ECECC9AC"/>
    <w:lvl w:ilvl="0" w:tplc="752802B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D3BC7"/>
    <w:multiLevelType w:val="hybridMultilevel"/>
    <w:tmpl w:val="035A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D65C10"/>
    <w:multiLevelType w:val="hybridMultilevel"/>
    <w:tmpl w:val="2CE6C7FE"/>
    <w:lvl w:ilvl="0" w:tplc="0809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2" w15:restartNumberingAfterBreak="0">
    <w:nsid w:val="14CA3C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5423C2D"/>
    <w:multiLevelType w:val="hybridMultilevel"/>
    <w:tmpl w:val="AD122B7E"/>
    <w:lvl w:ilvl="0" w:tplc="B39606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8E1BDF"/>
    <w:multiLevelType w:val="hybridMultilevel"/>
    <w:tmpl w:val="E282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FF07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7C05BCA"/>
    <w:multiLevelType w:val="hybridMultilevel"/>
    <w:tmpl w:val="6244427E"/>
    <w:lvl w:ilvl="0" w:tplc="46349112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188C759D"/>
    <w:multiLevelType w:val="hybridMultilevel"/>
    <w:tmpl w:val="19D0AD76"/>
    <w:lvl w:ilvl="0" w:tplc="8A320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D335A7"/>
    <w:multiLevelType w:val="hybridMultilevel"/>
    <w:tmpl w:val="E5CC52B6"/>
    <w:lvl w:ilvl="0" w:tplc="080C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07" w:hanging="360"/>
      </w:pPr>
    </w:lvl>
    <w:lvl w:ilvl="2" w:tplc="080C001B" w:tentative="1">
      <w:start w:val="1"/>
      <w:numFmt w:val="lowerRoman"/>
      <w:lvlText w:val="%3."/>
      <w:lvlJc w:val="right"/>
      <w:pPr>
        <w:ind w:left="3927" w:hanging="180"/>
      </w:pPr>
    </w:lvl>
    <w:lvl w:ilvl="3" w:tplc="080C000F" w:tentative="1">
      <w:start w:val="1"/>
      <w:numFmt w:val="decimal"/>
      <w:lvlText w:val="%4."/>
      <w:lvlJc w:val="left"/>
      <w:pPr>
        <w:ind w:left="4647" w:hanging="360"/>
      </w:pPr>
    </w:lvl>
    <w:lvl w:ilvl="4" w:tplc="080C0019" w:tentative="1">
      <w:start w:val="1"/>
      <w:numFmt w:val="lowerLetter"/>
      <w:lvlText w:val="%5."/>
      <w:lvlJc w:val="left"/>
      <w:pPr>
        <w:ind w:left="5367" w:hanging="360"/>
      </w:pPr>
    </w:lvl>
    <w:lvl w:ilvl="5" w:tplc="080C001B" w:tentative="1">
      <w:start w:val="1"/>
      <w:numFmt w:val="lowerRoman"/>
      <w:lvlText w:val="%6."/>
      <w:lvlJc w:val="right"/>
      <w:pPr>
        <w:ind w:left="6087" w:hanging="180"/>
      </w:pPr>
    </w:lvl>
    <w:lvl w:ilvl="6" w:tplc="080C000F" w:tentative="1">
      <w:start w:val="1"/>
      <w:numFmt w:val="decimal"/>
      <w:lvlText w:val="%7."/>
      <w:lvlJc w:val="left"/>
      <w:pPr>
        <w:ind w:left="6807" w:hanging="360"/>
      </w:pPr>
    </w:lvl>
    <w:lvl w:ilvl="7" w:tplc="080C0019" w:tentative="1">
      <w:start w:val="1"/>
      <w:numFmt w:val="lowerLetter"/>
      <w:lvlText w:val="%8."/>
      <w:lvlJc w:val="left"/>
      <w:pPr>
        <w:ind w:left="7527" w:hanging="360"/>
      </w:pPr>
    </w:lvl>
    <w:lvl w:ilvl="8" w:tplc="08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1B5E2B70"/>
    <w:multiLevelType w:val="multilevel"/>
    <w:tmpl w:val="48C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C924753"/>
    <w:multiLevelType w:val="hybridMultilevel"/>
    <w:tmpl w:val="E122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AF2F6E"/>
    <w:multiLevelType w:val="hybridMultilevel"/>
    <w:tmpl w:val="944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B33420"/>
    <w:multiLevelType w:val="hybridMultilevel"/>
    <w:tmpl w:val="F0F472AA"/>
    <w:lvl w:ilvl="0" w:tplc="4634911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1DAB62C8"/>
    <w:multiLevelType w:val="hybridMultilevel"/>
    <w:tmpl w:val="FF1A365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AF67DF"/>
    <w:multiLevelType w:val="multilevel"/>
    <w:tmpl w:val="3A60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F0E20ED"/>
    <w:multiLevelType w:val="hybridMultilevel"/>
    <w:tmpl w:val="3184E7BC"/>
    <w:lvl w:ilvl="0" w:tplc="7FFA41EA">
      <w:start w:val="16"/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FD032EE"/>
    <w:multiLevelType w:val="multilevel"/>
    <w:tmpl w:val="B92C3D4A"/>
    <w:lvl w:ilvl="0">
      <w:start w:val="1"/>
      <w:numFmt w:val="decimal"/>
      <w:lvlText w:val="%1."/>
      <w:lvlJc w:val="left"/>
      <w:pPr>
        <w:tabs>
          <w:tab w:val="num" w:pos="-426"/>
        </w:tabs>
        <w:ind w:left="-6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426"/>
        </w:tabs>
        <w:ind w:left="36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37" w15:restartNumberingAfterBreak="0">
    <w:nsid w:val="202C696B"/>
    <w:multiLevelType w:val="hybridMultilevel"/>
    <w:tmpl w:val="1AC68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7C7A6F"/>
    <w:multiLevelType w:val="hybridMultilevel"/>
    <w:tmpl w:val="5AB8C792"/>
    <w:lvl w:ilvl="0" w:tplc="FF24D428">
      <w:start w:val="1"/>
      <w:numFmt w:val="bullet"/>
      <w:lvlText w:val=""/>
      <w:lvlJc w:val="left"/>
      <w:pPr>
        <w:ind w:left="680" w:hanging="623"/>
      </w:pPr>
      <w:rPr>
        <w:rFonts w:ascii="Symbol" w:hAnsi="Symbol" w:hint="default"/>
      </w:rPr>
    </w:lvl>
    <w:lvl w:ilvl="1" w:tplc="342E3E38">
      <w:start w:val="1"/>
      <w:numFmt w:val="lowerRoman"/>
      <w:lvlText w:val="%2."/>
      <w:lvlJc w:val="right"/>
      <w:pPr>
        <w:ind w:left="907" w:hanging="113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1F736FE"/>
    <w:multiLevelType w:val="hybridMultilevel"/>
    <w:tmpl w:val="CF6C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1B1E2B"/>
    <w:multiLevelType w:val="multilevel"/>
    <w:tmpl w:val="F8F8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229903CD"/>
    <w:multiLevelType w:val="hybridMultilevel"/>
    <w:tmpl w:val="37C61FBE"/>
    <w:lvl w:ilvl="0" w:tplc="FEF004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72534D"/>
    <w:multiLevelType w:val="multilevel"/>
    <w:tmpl w:val="003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937E80"/>
    <w:multiLevelType w:val="hybridMultilevel"/>
    <w:tmpl w:val="5D9EDA26"/>
    <w:lvl w:ilvl="0" w:tplc="CA9AEB32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0A5011"/>
    <w:multiLevelType w:val="multilevel"/>
    <w:tmpl w:val="CB4C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A007555"/>
    <w:multiLevelType w:val="hybridMultilevel"/>
    <w:tmpl w:val="E5CC52B6"/>
    <w:lvl w:ilvl="0" w:tplc="080C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07" w:hanging="360"/>
      </w:pPr>
    </w:lvl>
    <w:lvl w:ilvl="2" w:tplc="080C001B" w:tentative="1">
      <w:start w:val="1"/>
      <w:numFmt w:val="lowerRoman"/>
      <w:lvlText w:val="%3."/>
      <w:lvlJc w:val="right"/>
      <w:pPr>
        <w:ind w:left="3927" w:hanging="180"/>
      </w:pPr>
    </w:lvl>
    <w:lvl w:ilvl="3" w:tplc="080C000F" w:tentative="1">
      <w:start w:val="1"/>
      <w:numFmt w:val="decimal"/>
      <w:lvlText w:val="%4."/>
      <w:lvlJc w:val="left"/>
      <w:pPr>
        <w:ind w:left="4647" w:hanging="360"/>
      </w:pPr>
    </w:lvl>
    <w:lvl w:ilvl="4" w:tplc="080C0019" w:tentative="1">
      <w:start w:val="1"/>
      <w:numFmt w:val="lowerLetter"/>
      <w:lvlText w:val="%5."/>
      <w:lvlJc w:val="left"/>
      <w:pPr>
        <w:ind w:left="5367" w:hanging="360"/>
      </w:pPr>
    </w:lvl>
    <w:lvl w:ilvl="5" w:tplc="080C001B" w:tentative="1">
      <w:start w:val="1"/>
      <w:numFmt w:val="lowerRoman"/>
      <w:lvlText w:val="%6."/>
      <w:lvlJc w:val="right"/>
      <w:pPr>
        <w:ind w:left="6087" w:hanging="180"/>
      </w:pPr>
    </w:lvl>
    <w:lvl w:ilvl="6" w:tplc="080C000F" w:tentative="1">
      <w:start w:val="1"/>
      <w:numFmt w:val="decimal"/>
      <w:lvlText w:val="%7."/>
      <w:lvlJc w:val="left"/>
      <w:pPr>
        <w:ind w:left="6807" w:hanging="360"/>
      </w:pPr>
    </w:lvl>
    <w:lvl w:ilvl="7" w:tplc="080C0019" w:tentative="1">
      <w:start w:val="1"/>
      <w:numFmt w:val="lowerLetter"/>
      <w:lvlText w:val="%8."/>
      <w:lvlJc w:val="left"/>
      <w:pPr>
        <w:ind w:left="7527" w:hanging="360"/>
      </w:pPr>
    </w:lvl>
    <w:lvl w:ilvl="8" w:tplc="08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6" w15:restartNumberingAfterBreak="0">
    <w:nsid w:val="2AC20B5D"/>
    <w:multiLevelType w:val="hybridMultilevel"/>
    <w:tmpl w:val="7F3E0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B73155C"/>
    <w:multiLevelType w:val="hybridMultilevel"/>
    <w:tmpl w:val="09CC3BF6"/>
    <w:lvl w:ilvl="0" w:tplc="7EE8F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3E1182"/>
    <w:multiLevelType w:val="hybridMultilevel"/>
    <w:tmpl w:val="D39CB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2F000002"/>
    <w:multiLevelType w:val="hybridMultilevel"/>
    <w:tmpl w:val="4F5BD66C"/>
    <w:lvl w:ilvl="0" w:tplc="04267A48">
      <w:start w:val="1"/>
      <w:numFmt w:val="decimal"/>
      <w:lvlText w:val="%1."/>
      <w:lvlJc w:val="left"/>
      <w:pPr>
        <w:ind w:left="720" w:hanging="360"/>
        <w:jc w:val="both"/>
      </w:pPr>
    </w:lvl>
    <w:lvl w:ilvl="1" w:tplc="AA4A7F32">
      <w:start w:val="1"/>
      <w:numFmt w:val="lowerLetter"/>
      <w:lvlText w:val="%2."/>
      <w:lvlJc w:val="left"/>
      <w:pPr>
        <w:ind w:left="1440" w:hanging="360"/>
        <w:jc w:val="both"/>
      </w:pPr>
    </w:lvl>
    <w:lvl w:ilvl="2" w:tplc="13BC7BC8">
      <w:start w:val="1"/>
      <w:numFmt w:val="lowerRoman"/>
      <w:lvlText w:val="%3."/>
      <w:lvlJc w:val="right"/>
      <w:pPr>
        <w:ind w:left="2160" w:hanging="180"/>
        <w:jc w:val="both"/>
      </w:pPr>
    </w:lvl>
    <w:lvl w:ilvl="3" w:tplc="3F9E1A52">
      <w:start w:val="1"/>
      <w:numFmt w:val="decimal"/>
      <w:lvlText w:val="%4."/>
      <w:lvlJc w:val="left"/>
      <w:pPr>
        <w:ind w:left="2880" w:hanging="360"/>
        <w:jc w:val="both"/>
      </w:pPr>
    </w:lvl>
    <w:lvl w:ilvl="4" w:tplc="2484438E">
      <w:start w:val="1"/>
      <w:numFmt w:val="lowerLetter"/>
      <w:lvlText w:val="%5."/>
      <w:lvlJc w:val="left"/>
      <w:pPr>
        <w:ind w:left="3600" w:hanging="360"/>
        <w:jc w:val="both"/>
      </w:pPr>
    </w:lvl>
    <w:lvl w:ilvl="5" w:tplc="FED86B08">
      <w:start w:val="1"/>
      <w:numFmt w:val="lowerRoman"/>
      <w:lvlText w:val="%6."/>
      <w:lvlJc w:val="right"/>
      <w:pPr>
        <w:ind w:left="4320" w:hanging="180"/>
        <w:jc w:val="both"/>
      </w:pPr>
    </w:lvl>
    <w:lvl w:ilvl="6" w:tplc="9FA4E3E8">
      <w:start w:val="1"/>
      <w:numFmt w:val="decimal"/>
      <w:lvlText w:val="%7."/>
      <w:lvlJc w:val="left"/>
      <w:pPr>
        <w:ind w:left="5040" w:hanging="360"/>
        <w:jc w:val="both"/>
      </w:pPr>
    </w:lvl>
    <w:lvl w:ilvl="7" w:tplc="CA746D0A">
      <w:start w:val="1"/>
      <w:numFmt w:val="lowerLetter"/>
      <w:lvlText w:val="%8."/>
      <w:lvlJc w:val="left"/>
      <w:pPr>
        <w:ind w:left="5760" w:hanging="360"/>
        <w:jc w:val="both"/>
      </w:pPr>
    </w:lvl>
    <w:lvl w:ilvl="8" w:tplc="850EE29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51" w15:restartNumberingAfterBreak="0">
    <w:nsid w:val="2F000004"/>
    <w:multiLevelType w:val="hybridMultilevel"/>
    <w:tmpl w:val="4118DBC1"/>
    <w:lvl w:ilvl="0" w:tplc="3DAECFF8">
      <w:start w:val="1"/>
      <w:numFmt w:val="decimal"/>
      <w:lvlText w:val="%1."/>
      <w:lvlJc w:val="left"/>
      <w:pPr>
        <w:ind w:left="720" w:hanging="360"/>
        <w:jc w:val="both"/>
      </w:pPr>
    </w:lvl>
    <w:lvl w:ilvl="1" w:tplc="DAFEFFD6">
      <w:start w:val="1"/>
      <w:numFmt w:val="decimal"/>
      <w:lvlText w:val="2.%2"/>
      <w:lvlJc w:val="left"/>
      <w:pPr>
        <w:ind w:left="1440" w:hanging="360"/>
        <w:jc w:val="both"/>
      </w:pPr>
      <w:rPr>
        <w:b w:val="0"/>
        <w:w w:val="100"/>
        <w:sz w:val="20"/>
        <w:szCs w:val="20"/>
        <w:shd w:val="clear" w:color="auto" w:fill="auto"/>
      </w:rPr>
    </w:lvl>
    <w:lvl w:ilvl="2" w:tplc="4E14DF98">
      <w:start w:val="1"/>
      <w:numFmt w:val="lowerRoman"/>
      <w:lvlText w:val="%3."/>
      <w:lvlJc w:val="right"/>
      <w:pPr>
        <w:ind w:left="2160" w:hanging="180"/>
        <w:jc w:val="both"/>
      </w:pPr>
    </w:lvl>
    <w:lvl w:ilvl="3" w:tplc="69DEEEFE">
      <w:start w:val="1"/>
      <w:numFmt w:val="decimal"/>
      <w:lvlText w:val="%4."/>
      <w:lvlJc w:val="left"/>
      <w:pPr>
        <w:ind w:left="2880" w:hanging="360"/>
        <w:jc w:val="both"/>
      </w:pPr>
    </w:lvl>
    <w:lvl w:ilvl="4" w:tplc="09BE224E">
      <w:start w:val="1"/>
      <w:numFmt w:val="lowerLetter"/>
      <w:lvlText w:val="%5."/>
      <w:lvlJc w:val="left"/>
      <w:pPr>
        <w:ind w:left="3600" w:hanging="360"/>
        <w:jc w:val="both"/>
      </w:pPr>
    </w:lvl>
    <w:lvl w:ilvl="5" w:tplc="4D4609CC">
      <w:start w:val="1"/>
      <w:numFmt w:val="lowerRoman"/>
      <w:lvlText w:val="%6."/>
      <w:lvlJc w:val="right"/>
      <w:pPr>
        <w:ind w:left="4320" w:hanging="180"/>
        <w:jc w:val="both"/>
      </w:pPr>
    </w:lvl>
    <w:lvl w:ilvl="6" w:tplc="39AA9914">
      <w:start w:val="1"/>
      <w:numFmt w:val="decimal"/>
      <w:lvlText w:val="%7."/>
      <w:lvlJc w:val="left"/>
      <w:pPr>
        <w:ind w:left="5040" w:hanging="360"/>
        <w:jc w:val="both"/>
      </w:pPr>
    </w:lvl>
    <w:lvl w:ilvl="7" w:tplc="2292B080">
      <w:start w:val="1"/>
      <w:numFmt w:val="lowerLetter"/>
      <w:lvlText w:val="%8."/>
      <w:lvlJc w:val="left"/>
      <w:pPr>
        <w:ind w:left="5760" w:hanging="360"/>
        <w:jc w:val="both"/>
      </w:pPr>
    </w:lvl>
    <w:lvl w:ilvl="8" w:tplc="A718E7E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52" w15:restartNumberingAfterBreak="0">
    <w:nsid w:val="2F5D3C31"/>
    <w:multiLevelType w:val="hybridMultilevel"/>
    <w:tmpl w:val="D958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877928"/>
    <w:multiLevelType w:val="hybridMultilevel"/>
    <w:tmpl w:val="80B055CE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102497D"/>
    <w:multiLevelType w:val="hybridMultilevel"/>
    <w:tmpl w:val="EB8AC5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FF31E4"/>
    <w:multiLevelType w:val="hybridMultilevel"/>
    <w:tmpl w:val="B9881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CAE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2A1E2A"/>
    <w:multiLevelType w:val="hybridMultilevel"/>
    <w:tmpl w:val="DB421648"/>
    <w:lvl w:ilvl="0" w:tplc="5FCCB142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2B302C"/>
    <w:multiLevelType w:val="hybridMultilevel"/>
    <w:tmpl w:val="AF9A16BC"/>
    <w:lvl w:ilvl="0" w:tplc="4634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E26544"/>
    <w:multiLevelType w:val="hybridMultilevel"/>
    <w:tmpl w:val="DB421648"/>
    <w:lvl w:ilvl="0" w:tplc="5FCCB142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B877EA"/>
    <w:multiLevelType w:val="hybridMultilevel"/>
    <w:tmpl w:val="568C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B40091"/>
    <w:multiLevelType w:val="hybridMultilevel"/>
    <w:tmpl w:val="C6F2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300684"/>
    <w:multiLevelType w:val="hybridMultilevel"/>
    <w:tmpl w:val="6490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3C3D2A"/>
    <w:multiLevelType w:val="hybridMultilevel"/>
    <w:tmpl w:val="2FF42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B613782"/>
    <w:multiLevelType w:val="hybridMultilevel"/>
    <w:tmpl w:val="8800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2057F0"/>
    <w:multiLevelType w:val="hybridMultilevel"/>
    <w:tmpl w:val="C64E2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E521C32"/>
    <w:multiLevelType w:val="hybridMultilevel"/>
    <w:tmpl w:val="BC1A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F986FB3"/>
    <w:multiLevelType w:val="hybridMultilevel"/>
    <w:tmpl w:val="E5C8B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FA85E85"/>
    <w:multiLevelType w:val="hybridMultilevel"/>
    <w:tmpl w:val="A9106D0A"/>
    <w:lvl w:ilvl="0" w:tplc="FF24D428">
      <w:start w:val="1"/>
      <w:numFmt w:val="bullet"/>
      <w:lvlText w:val=""/>
      <w:lvlJc w:val="left"/>
      <w:pPr>
        <w:ind w:left="680" w:hanging="62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751A2A"/>
    <w:multiLevelType w:val="hybridMultilevel"/>
    <w:tmpl w:val="C51C3B6C"/>
    <w:lvl w:ilvl="0" w:tplc="4634911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9" w15:restartNumberingAfterBreak="0">
    <w:nsid w:val="40761E77"/>
    <w:multiLevelType w:val="hybridMultilevel"/>
    <w:tmpl w:val="13781EC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08B512E"/>
    <w:multiLevelType w:val="hybridMultilevel"/>
    <w:tmpl w:val="255E10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C5505B"/>
    <w:multiLevelType w:val="hybridMultilevel"/>
    <w:tmpl w:val="09BE057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A7133A"/>
    <w:multiLevelType w:val="hybridMultilevel"/>
    <w:tmpl w:val="98F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FC540A"/>
    <w:multiLevelType w:val="hybridMultilevel"/>
    <w:tmpl w:val="9456348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48032F0"/>
    <w:multiLevelType w:val="hybridMultilevel"/>
    <w:tmpl w:val="40846AE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A22C5B"/>
    <w:multiLevelType w:val="hybridMultilevel"/>
    <w:tmpl w:val="926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E725C9"/>
    <w:multiLevelType w:val="hybridMultilevel"/>
    <w:tmpl w:val="B8AA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BA1F41"/>
    <w:multiLevelType w:val="hybridMultilevel"/>
    <w:tmpl w:val="2AFE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D2721D"/>
    <w:multiLevelType w:val="hybridMultilevel"/>
    <w:tmpl w:val="CCF4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B595FF9"/>
    <w:multiLevelType w:val="hybridMultilevel"/>
    <w:tmpl w:val="C98EE8F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B21DB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4D061850"/>
    <w:multiLevelType w:val="hybridMultilevel"/>
    <w:tmpl w:val="CCC2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1D22F7"/>
    <w:multiLevelType w:val="hybridMultilevel"/>
    <w:tmpl w:val="9196C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411C50"/>
    <w:multiLevelType w:val="hybridMultilevel"/>
    <w:tmpl w:val="C8CC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8E8FFD"/>
    <w:multiLevelType w:val="hybridMultilevel"/>
    <w:tmpl w:val="7B4FA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 w15:restartNumberingAfterBreak="0">
    <w:nsid w:val="5399575F"/>
    <w:multiLevelType w:val="hybridMultilevel"/>
    <w:tmpl w:val="7B5628EC"/>
    <w:lvl w:ilvl="0" w:tplc="1C9004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0913E9"/>
    <w:multiLevelType w:val="hybridMultilevel"/>
    <w:tmpl w:val="FE66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4FC1A34"/>
    <w:multiLevelType w:val="hybridMultilevel"/>
    <w:tmpl w:val="044AE1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030F7F"/>
    <w:multiLevelType w:val="hybridMultilevel"/>
    <w:tmpl w:val="615E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1371E6"/>
    <w:multiLevelType w:val="hybridMultilevel"/>
    <w:tmpl w:val="B542345E"/>
    <w:lvl w:ilvl="0" w:tplc="4634911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0" w15:restartNumberingAfterBreak="0">
    <w:nsid w:val="56E425AF"/>
    <w:multiLevelType w:val="hybridMultilevel"/>
    <w:tmpl w:val="C9D69510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425FC7"/>
    <w:multiLevelType w:val="hybridMultilevel"/>
    <w:tmpl w:val="D6FADA24"/>
    <w:lvl w:ilvl="0" w:tplc="58345FEA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603910"/>
    <w:multiLevelType w:val="hybridMultilevel"/>
    <w:tmpl w:val="BA7C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0C52F4"/>
    <w:multiLevelType w:val="hybridMultilevel"/>
    <w:tmpl w:val="02E8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D1819F0"/>
    <w:multiLevelType w:val="hybridMultilevel"/>
    <w:tmpl w:val="03982196"/>
    <w:lvl w:ilvl="0" w:tplc="FC2234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C51A24"/>
    <w:multiLevelType w:val="multilevel"/>
    <w:tmpl w:val="14B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E8E3E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5EC154ED"/>
    <w:multiLevelType w:val="hybridMultilevel"/>
    <w:tmpl w:val="DEAE7D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F91DED"/>
    <w:multiLevelType w:val="hybridMultilevel"/>
    <w:tmpl w:val="9FE6A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04F0577"/>
    <w:multiLevelType w:val="hybridMultilevel"/>
    <w:tmpl w:val="B8AE9F92"/>
    <w:lvl w:ilvl="0" w:tplc="4D08A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6546DA"/>
    <w:multiLevelType w:val="hybridMultilevel"/>
    <w:tmpl w:val="CC2EB3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1706086"/>
    <w:multiLevelType w:val="hybridMultilevel"/>
    <w:tmpl w:val="860C1C10"/>
    <w:lvl w:ilvl="0" w:tplc="4634911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2" w15:restartNumberingAfterBreak="0">
    <w:nsid w:val="62F82270"/>
    <w:multiLevelType w:val="hybridMultilevel"/>
    <w:tmpl w:val="30442F0A"/>
    <w:lvl w:ilvl="0" w:tplc="4B6851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AA2A91"/>
    <w:multiLevelType w:val="hybridMultilevel"/>
    <w:tmpl w:val="0AFA6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5D028BC"/>
    <w:multiLevelType w:val="hybridMultilevel"/>
    <w:tmpl w:val="E974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740587F"/>
    <w:multiLevelType w:val="hybridMultilevel"/>
    <w:tmpl w:val="5CFE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76C5C39"/>
    <w:multiLevelType w:val="hybridMultilevel"/>
    <w:tmpl w:val="351037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3D3690"/>
    <w:multiLevelType w:val="hybridMultilevel"/>
    <w:tmpl w:val="DB388B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AB0946"/>
    <w:multiLevelType w:val="hybridMultilevel"/>
    <w:tmpl w:val="01C2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DFB13C4"/>
    <w:multiLevelType w:val="hybridMultilevel"/>
    <w:tmpl w:val="07FC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A965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727533C7"/>
    <w:multiLevelType w:val="hybridMultilevel"/>
    <w:tmpl w:val="0F126F9A"/>
    <w:lvl w:ilvl="0" w:tplc="4634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30E3C07"/>
    <w:multiLevelType w:val="hybridMultilevel"/>
    <w:tmpl w:val="6DD64974"/>
    <w:lvl w:ilvl="0" w:tplc="6F8226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3B703DB"/>
    <w:multiLevelType w:val="hybridMultilevel"/>
    <w:tmpl w:val="406C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4CF6B7B"/>
    <w:multiLevelType w:val="hybridMultilevel"/>
    <w:tmpl w:val="E5CC52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D55AF9"/>
    <w:multiLevelType w:val="hybridMultilevel"/>
    <w:tmpl w:val="AD7E6B2A"/>
    <w:lvl w:ilvl="0" w:tplc="4634911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6" w15:restartNumberingAfterBreak="0">
    <w:nsid w:val="761C677B"/>
    <w:multiLevelType w:val="hybridMultilevel"/>
    <w:tmpl w:val="C7BA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7D6058"/>
    <w:multiLevelType w:val="hybridMultilevel"/>
    <w:tmpl w:val="ABD2484A"/>
    <w:lvl w:ilvl="0" w:tplc="4B6851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7956B05"/>
    <w:multiLevelType w:val="multilevel"/>
    <w:tmpl w:val="08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77B3642C"/>
    <w:multiLevelType w:val="hybridMultilevel"/>
    <w:tmpl w:val="6924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8AE02E9"/>
    <w:multiLevelType w:val="hybridMultilevel"/>
    <w:tmpl w:val="673AADF6"/>
    <w:lvl w:ilvl="0" w:tplc="8F74E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C664FA"/>
    <w:multiLevelType w:val="hybridMultilevel"/>
    <w:tmpl w:val="2416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D033B82"/>
    <w:multiLevelType w:val="hybridMultilevel"/>
    <w:tmpl w:val="586A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D556E7A"/>
    <w:multiLevelType w:val="hybridMultilevel"/>
    <w:tmpl w:val="FD98557E"/>
    <w:lvl w:ilvl="0" w:tplc="4634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7E7B56"/>
    <w:multiLevelType w:val="hybridMultilevel"/>
    <w:tmpl w:val="B92EB9FE"/>
    <w:lvl w:ilvl="0" w:tplc="7714AF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F0B2E71"/>
    <w:multiLevelType w:val="hybridMultilevel"/>
    <w:tmpl w:val="AA8C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09"/>
  </w:num>
  <w:num w:numId="5">
    <w:abstractNumId w:val="72"/>
  </w:num>
  <w:num w:numId="6">
    <w:abstractNumId w:val="87"/>
  </w:num>
  <w:num w:numId="7">
    <w:abstractNumId w:val="85"/>
  </w:num>
  <w:num w:numId="8">
    <w:abstractNumId w:val="110"/>
  </w:num>
  <w:num w:numId="9">
    <w:abstractNumId w:val="102"/>
  </w:num>
  <w:num w:numId="10">
    <w:abstractNumId w:val="117"/>
  </w:num>
  <w:num w:numId="11">
    <w:abstractNumId w:val="41"/>
  </w:num>
  <w:num w:numId="12">
    <w:abstractNumId w:val="66"/>
  </w:num>
  <w:num w:numId="13">
    <w:abstractNumId w:val="105"/>
  </w:num>
  <w:num w:numId="14">
    <w:abstractNumId w:val="10"/>
  </w:num>
  <w:num w:numId="15">
    <w:abstractNumId w:val="114"/>
  </w:num>
  <w:num w:numId="16">
    <w:abstractNumId w:val="112"/>
  </w:num>
  <w:num w:numId="17">
    <w:abstractNumId w:val="47"/>
  </w:num>
  <w:num w:numId="18">
    <w:abstractNumId w:val="65"/>
  </w:num>
  <w:num w:numId="19">
    <w:abstractNumId w:val="16"/>
  </w:num>
  <w:num w:numId="20">
    <w:abstractNumId w:val="62"/>
  </w:num>
  <w:num w:numId="21">
    <w:abstractNumId w:val="86"/>
  </w:num>
  <w:num w:numId="22">
    <w:abstractNumId w:val="12"/>
  </w:num>
  <w:num w:numId="23">
    <w:abstractNumId w:val="104"/>
  </w:num>
  <w:num w:numId="24">
    <w:abstractNumId w:val="14"/>
  </w:num>
  <w:num w:numId="25">
    <w:abstractNumId w:val="5"/>
  </w:num>
  <w:num w:numId="26">
    <w:abstractNumId w:val="43"/>
  </w:num>
  <w:num w:numId="27">
    <w:abstractNumId w:val="67"/>
  </w:num>
  <w:num w:numId="28">
    <w:abstractNumId w:val="38"/>
  </w:num>
  <w:num w:numId="29">
    <w:abstractNumId w:val="53"/>
  </w:num>
  <w:num w:numId="30">
    <w:abstractNumId w:val="98"/>
  </w:num>
  <w:num w:numId="31">
    <w:abstractNumId w:val="36"/>
  </w:num>
  <w:num w:numId="32">
    <w:abstractNumId w:val="34"/>
  </w:num>
  <w:num w:numId="33">
    <w:abstractNumId w:val="74"/>
  </w:num>
  <w:num w:numId="34">
    <w:abstractNumId w:val="94"/>
  </w:num>
  <w:num w:numId="35">
    <w:abstractNumId w:val="71"/>
  </w:num>
  <w:num w:numId="36">
    <w:abstractNumId w:val="77"/>
  </w:num>
  <w:num w:numId="37">
    <w:abstractNumId w:val="125"/>
  </w:num>
  <w:num w:numId="38">
    <w:abstractNumId w:val="122"/>
  </w:num>
  <w:num w:numId="39">
    <w:abstractNumId w:val="61"/>
  </w:num>
  <w:num w:numId="40">
    <w:abstractNumId w:val="11"/>
  </w:num>
  <w:num w:numId="41">
    <w:abstractNumId w:val="83"/>
  </w:num>
  <w:num w:numId="42">
    <w:abstractNumId w:val="24"/>
  </w:num>
  <w:num w:numId="43">
    <w:abstractNumId w:val="60"/>
  </w:num>
  <w:num w:numId="44">
    <w:abstractNumId w:val="108"/>
  </w:num>
  <w:num w:numId="45">
    <w:abstractNumId w:val="64"/>
  </w:num>
  <w:num w:numId="46">
    <w:abstractNumId w:val="88"/>
  </w:num>
  <w:num w:numId="47">
    <w:abstractNumId w:val="90"/>
  </w:num>
  <w:num w:numId="48">
    <w:abstractNumId w:val="116"/>
  </w:num>
  <w:num w:numId="49">
    <w:abstractNumId w:val="33"/>
  </w:num>
  <w:num w:numId="50">
    <w:abstractNumId w:val="56"/>
  </w:num>
  <w:num w:numId="51">
    <w:abstractNumId w:val="50"/>
  </w:num>
  <w:num w:numId="52">
    <w:abstractNumId w:val="51"/>
  </w:num>
  <w:num w:numId="53">
    <w:abstractNumId w:val="121"/>
  </w:num>
  <w:num w:numId="54">
    <w:abstractNumId w:val="63"/>
  </w:num>
  <w:num w:numId="55">
    <w:abstractNumId w:val="1"/>
  </w:num>
  <w:num w:numId="56">
    <w:abstractNumId w:val="23"/>
  </w:num>
  <w:num w:numId="57">
    <w:abstractNumId w:val="20"/>
  </w:num>
  <w:num w:numId="58">
    <w:abstractNumId w:val="81"/>
  </w:num>
  <w:num w:numId="59">
    <w:abstractNumId w:val="58"/>
  </w:num>
  <w:num w:numId="60">
    <w:abstractNumId w:val="15"/>
  </w:num>
  <w:num w:numId="61">
    <w:abstractNumId w:val="55"/>
  </w:num>
  <w:num w:numId="62">
    <w:abstractNumId w:val="37"/>
  </w:num>
  <w:num w:numId="63">
    <w:abstractNumId w:val="113"/>
  </w:num>
  <w:num w:numId="64">
    <w:abstractNumId w:val="119"/>
  </w:num>
  <w:num w:numId="65">
    <w:abstractNumId w:val="45"/>
  </w:num>
  <w:num w:numId="66">
    <w:abstractNumId w:val="19"/>
  </w:num>
  <w:num w:numId="67">
    <w:abstractNumId w:val="75"/>
  </w:num>
  <w:num w:numId="68">
    <w:abstractNumId w:val="49"/>
  </w:num>
  <w:num w:numId="69">
    <w:abstractNumId w:val="84"/>
  </w:num>
  <w:num w:numId="70">
    <w:abstractNumId w:val="95"/>
  </w:num>
  <w:num w:numId="71">
    <w:abstractNumId w:val="42"/>
  </w:num>
  <w:num w:numId="72">
    <w:abstractNumId w:val="40"/>
  </w:num>
  <w:num w:numId="73">
    <w:abstractNumId w:val="59"/>
  </w:num>
  <w:num w:numId="74">
    <w:abstractNumId w:val="28"/>
  </w:num>
  <w:num w:numId="75">
    <w:abstractNumId w:val="7"/>
  </w:num>
  <w:num w:numId="76">
    <w:abstractNumId w:val="46"/>
  </w:num>
  <w:num w:numId="77">
    <w:abstractNumId w:val="48"/>
  </w:num>
  <w:num w:numId="78">
    <w:abstractNumId w:val="6"/>
  </w:num>
  <w:num w:numId="79">
    <w:abstractNumId w:val="96"/>
  </w:num>
  <w:num w:numId="80">
    <w:abstractNumId w:val="22"/>
  </w:num>
  <w:num w:numId="81">
    <w:abstractNumId w:val="76"/>
  </w:num>
  <w:num w:numId="82">
    <w:abstractNumId w:val="25"/>
  </w:num>
  <w:num w:numId="83">
    <w:abstractNumId w:val="13"/>
  </w:num>
  <w:num w:numId="84">
    <w:abstractNumId w:val="99"/>
  </w:num>
  <w:num w:numId="85">
    <w:abstractNumId w:val="92"/>
  </w:num>
  <w:num w:numId="86">
    <w:abstractNumId w:val="29"/>
  </w:num>
  <w:num w:numId="87">
    <w:abstractNumId w:val="44"/>
  </w:num>
  <w:num w:numId="88">
    <w:abstractNumId w:val="78"/>
  </w:num>
  <w:num w:numId="8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</w:num>
  <w:num w:numId="91">
    <w:abstractNumId w:val="18"/>
  </w:num>
  <w:num w:numId="92">
    <w:abstractNumId w:val="97"/>
  </w:num>
  <w:num w:numId="93">
    <w:abstractNumId w:val="106"/>
  </w:num>
  <w:num w:numId="94">
    <w:abstractNumId w:val="107"/>
  </w:num>
  <w:num w:numId="95">
    <w:abstractNumId w:val="9"/>
  </w:num>
  <w:num w:numId="96">
    <w:abstractNumId w:val="52"/>
  </w:num>
  <w:num w:numId="97">
    <w:abstractNumId w:val="93"/>
  </w:num>
  <w:num w:numId="98">
    <w:abstractNumId w:val="39"/>
  </w:num>
  <w:num w:numId="99">
    <w:abstractNumId w:val="30"/>
  </w:num>
  <w:num w:numId="100">
    <w:abstractNumId w:val="79"/>
  </w:num>
  <w:num w:numId="101">
    <w:abstractNumId w:val="80"/>
  </w:num>
  <w:num w:numId="102">
    <w:abstractNumId w:val="54"/>
  </w:num>
  <w:num w:numId="103">
    <w:abstractNumId w:val="100"/>
  </w:num>
  <w:num w:numId="104">
    <w:abstractNumId w:val="73"/>
  </w:num>
  <w:num w:numId="105">
    <w:abstractNumId w:val="103"/>
  </w:num>
  <w:num w:numId="106">
    <w:abstractNumId w:val="69"/>
  </w:num>
  <w:num w:numId="107">
    <w:abstractNumId w:val="27"/>
  </w:num>
  <w:num w:numId="108">
    <w:abstractNumId w:val="26"/>
  </w:num>
  <w:num w:numId="109">
    <w:abstractNumId w:val="70"/>
  </w:num>
  <w:num w:numId="110">
    <w:abstractNumId w:val="21"/>
  </w:num>
  <w:num w:numId="111">
    <w:abstractNumId w:val="3"/>
  </w:num>
  <w:num w:numId="112">
    <w:abstractNumId w:val="8"/>
  </w:num>
  <w:num w:numId="113">
    <w:abstractNumId w:val="4"/>
  </w:num>
  <w:num w:numId="114">
    <w:abstractNumId w:val="101"/>
  </w:num>
  <w:num w:numId="115">
    <w:abstractNumId w:val="31"/>
  </w:num>
  <w:num w:numId="116">
    <w:abstractNumId w:val="91"/>
  </w:num>
  <w:num w:numId="117">
    <w:abstractNumId w:val="120"/>
  </w:num>
  <w:num w:numId="118">
    <w:abstractNumId w:val="57"/>
  </w:num>
  <w:num w:numId="119">
    <w:abstractNumId w:val="89"/>
  </w:num>
  <w:num w:numId="120">
    <w:abstractNumId w:val="123"/>
  </w:num>
  <w:num w:numId="121">
    <w:abstractNumId w:val="115"/>
  </w:num>
  <w:num w:numId="122">
    <w:abstractNumId w:val="111"/>
  </w:num>
  <w:num w:numId="123">
    <w:abstractNumId w:val="32"/>
  </w:num>
  <w:num w:numId="124">
    <w:abstractNumId w:val="68"/>
  </w:num>
  <w:num w:numId="125">
    <w:abstractNumId w:val="118"/>
  </w:num>
  <w:num w:numId="126">
    <w:abstractNumId w:val="35"/>
  </w:num>
  <w:num w:numId="127">
    <w:abstractNumId w:val="12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hideSpellingErrors/>
  <w:hideGrammaticalErrors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63CCBC6E-67ED-4747-8AD2-896C1196E266"/>
    <w:docVar w:name="LW_COVERPAGE_TYPE" w:val="1"/>
    <w:docVar w:name="LW_CROSSREFERENCE" w:val="&lt;UNUSED&gt;"/>
    <w:docVar w:name="LW_DocType" w:val="NORMAL"/>
    <w:docVar w:name="LW_EMISSION" w:val="16.4.2019"/>
    <w:docVar w:name="LW_EMISSION_ISODATE" w:val="2019-04-16"/>
    <w:docVar w:name="LW_EMISSION_LOCATION" w:val="STR"/>
    <w:docVar w:name="LW_EMISSION_PREFIX" w:val="Strasburg, dnia "/>
    <w:docVar w:name="LW_EMISSION_SUFFIX" w:val=" r."/>
    <w:docVar w:name="LW_ID_DOCTYPE_NONLW" w:val="CP-00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18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Skuteczniejsze podejmowanie decyzji w dziedzinie polityki spo\u322?ecznej: _x000d__x000d__x000d__x000d__x000d__x000d__x000d__x000d__x000b_obszary, w których mo\u380?na wprowadzi\u263? na wi\u281?ksz\u261? skal\u281? g\u322?osowanie wi\u281?kszo\u347?ci\u261? kwalifikowan\u261?_x000d__x000d__x000d__x000d__x000d__x000d__x000d__x000d__x000b__x000d__x000d__x000d__x000d__x000d__x000d__x000d__x000d__x000d__x000d__x000b__x000d__x000d__x000d__x000d__x000d__x000d__x000d__x000d__x000d__x000d__x000d__x000d__x000d__x000b_"/>
    <w:docVar w:name="LW_TYPE.DOC.CP" w:val="KOMUNIKAT KOMISJI"/>
    <w:docVar w:name="LW_TYPE.DOC.CP.USERTEXT" w:val="DO PARLAMENTU EUROPEJSKIEGO, RADY EUROPEJSKIEJ, RADY, EUROPEJSKIEGO KOMITETU EKONOMICZNO-SPO\u321?ECZNEGO I KOMITETU REGIONÓW_x000b_"/>
    <w:docVar w:name="Stamp" w:val="\\dossiers.dgt.cec.eu.int\dossiers\EMPL\EMPL-2019-00664\EMPL-2019-00664-00-00-EN-EDT-00.201903211446573318664.DOCX"/>
  </w:docVars>
  <w:rsids>
    <w:rsidRoot w:val="00476B40"/>
    <w:rsid w:val="001829CC"/>
    <w:rsid w:val="004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6CDE381-F505-4600-A383-8B87280D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FootnoteReference">
    <w:name w:val="footnote reference"/>
    <w:aliases w:val="Footnote symbol,Footnote reference number,Times 10 Point,Exposant 3 Point,EN Footnote Reference,note TESI,Footnote,BVI fnr,Footnote Reference Number,E FNZ,-E Fußnotenzeichen,Footnote#,Ref,de nota al pie,SUPERS,Footnotes refss,Fussnota"/>
    <w:uiPriority w:val="99"/>
    <w:qFormat/>
    <w:rPr>
      <w:vertAlign w:val="superscript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suppressAutoHyphens/>
      <w:spacing w:after="200" w:line="276" w:lineRule="auto"/>
      <w:ind w:left="720"/>
    </w:pPr>
    <w:rPr>
      <w:rFonts w:ascii="Calibri" w:eastAsia="SimSun" w:hAnsi="Calibri" w:cs="font413"/>
    </w:rPr>
  </w:style>
  <w:style w:type="paragraph" w:customStyle="1" w:styleId="footnotetext1">
    <w:name w:val="footnote text1"/>
    <w:aliases w:val="footnote text,fußn,Fußnote,Footnotes,fn,Fussnote"/>
    <w:basedOn w:val="Normal"/>
    <w:uiPriority w:val="99"/>
    <w:qFormat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font41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uppressAutoHyphens/>
      <w:spacing w:after="0" w:line="240" w:lineRule="auto"/>
    </w:pPr>
    <w:rPr>
      <w:rFonts w:ascii="Calibri" w:eastAsia="SimSun" w:hAnsi="Calibri" w:cs="font413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SimSun" w:hAnsi="Calibri" w:cs="font413"/>
      <w:lang w:eastAsia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uppressAutoHyphens/>
      <w:spacing w:after="0" w:line="240" w:lineRule="auto"/>
    </w:pPr>
    <w:rPr>
      <w:rFonts w:ascii="Calibri" w:eastAsia="SimSun" w:hAnsi="Calibri" w:cs="font413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SimSun" w:hAnsi="Calibri" w:cs="font413"/>
      <w:lang w:eastAsia="pl-P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uppressAutoHyphens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uppressAutoHyphens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 w:hanging="360"/>
      <w:jc w:val="center"/>
    </w:pPr>
    <w:rPr>
      <w:rFonts w:ascii="Times New Roman" w:hAnsi="Times New Roman" w:cs="Times New Roman"/>
      <w:b/>
      <w:sz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Pr>
      <w:rFonts w:ascii="Calibri" w:eastAsia="SimSun" w:hAnsi="Calibri" w:cs="font413"/>
      <w:lang w:eastAsia="pl-PL"/>
    </w:rPr>
  </w:style>
  <w:style w:type="character" w:customStyle="1" w:styleId="FooterSensitivityChar">
    <w:name w:val="Footer Sensitivity Char"/>
    <w:basedOn w:val="ListParagraphChar"/>
    <w:link w:val="FooterSensitivity"/>
    <w:rPr>
      <w:rFonts w:ascii="Times New Roman" w:eastAsia="SimSun" w:hAnsi="Times New Roman" w:cs="Times New Roman"/>
      <w:b/>
      <w:sz w:val="32"/>
      <w:lang w:eastAsia="pl-PL"/>
    </w:rPr>
  </w:style>
  <w:style w:type="paragraph" w:customStyle="1" w:styleId="HeaderSensitivity">
    <w:name w:val="Header Sensitivity"/>
    <w:basedOn w:val="Normal"/>
    <w:link w:val="HeaderSensitivityChar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-426"/>
      </w:tabs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ListParagraphChar"/>
    <w:link w:val="HeaderSensitivity"/>
    <w:rPr>
      <w:rFonts w:ascii="Times New Roman" w:eastAsia="SimSun" w:hAnsi="Times New Roman" w:cs="Times New Roman"/>
      <w:b/>
      <w:sz w:val="32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 w:val="28"/>
      <w:szCs w:val="2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customStyle="1" w:styleId="Date1">
    <w:name w:val="Date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1">
    <w:name w:val="st1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galNumPar">
    <w:name w:val="LegalNumPar"/>
    <w:basedOn w:val="Normal"/>
    <w:pPr>
      <w:numPr>
        <w:numId w:val="68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"/>
    <w:pPr>
      <w:numPr>
        <w:ilvl w:val="1"/>
        <w:numId w:val="68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"/>
    <w:pPr>
      <w:numPr>
        <w:ilvl w:val="2"/>
        <w:numId w:val="68"/>
      </w:numPr>
      <w:spacing w:line="360" w:lineRule="auto"/>
    </w:pPr>
    <w:rPr>
      <w:sz w:val="24"/>
    </w:rPr>
  </w:style>
  <w:style w:type="character" w:customStyle="1" w:styleId="A14">
    <w:name w:val="A14"/>
    <w:uiPriority w:val="99"/>
    <w:rPr>
      <w:rFonts w:cs="DaxlinePro"/>
      <w:color w:val="000000"/>
      <w:sz w:val="10"/>
      <w:szCs w:val="10"/>
    </w:rPr>
  </w:style>
  <w:style w:type="paragraph" w:customStyle="1" w:styleId="Pa22">
    <w:name w:val="Pa22"/>
    <w:basedOn w:val="Default"/>
    <w:next w:val="Default"/>
    <w:uiPriority w:val="99"/>
    <w:pPr>
      <w:spacing w:line="185" w:lineRule="atLeast"/>
    </w:pPr>
    <w:rPr>
      <w:rFonts w:ascii="DaxlinePro" w:eastAsiaTheme="minorHAnsi" w:hAnsi="DaxlinePro" w:cstheme="minorBidi"/>
      <w:color w:val="auto"/>
    </w:rPr>
  </w:style>
  <w:style w:type="paragraph" w:customStyle="1" w:styleId="Pa10">
    <w:name w:val="Pa10"/>
    <w:basedOn w:val="Default"/>
    <w:next w:val="Default"/>
    <w:uiPriority w:val="99"/>
    <w:pPr>
      <w:spacing w:line="185" w:lineRule="atLeast"/>
    </w:pPr>
    <w:rPr>
      <w:rFonts w:ascii="DaxlinePro" w:eastAsiaTheme="minorHAnsi" w:hAnsi="DaxlinePro" w:cstheme="minorBidi"/>
      <w:color w:val="auto"/>
    </w:rPr>
  </w:style>
  <w:style w:type="character" w:customStyle="1" w:styleId="A26">
    <w:name w:val="A26"/>
    <w:uiPriority w:val="99"/>
    <w:rPr>
      <w:rFonts w:cs="DaxlinePro"/>
      <w:color w:val="000000"/>
      <w:sz w:val="18"/>
      <w:szCs w:val="18"/>
      <w:u w:val="single"/>
    </w:rPr>
  </w:style>
  <w:style w:type="character" w:customStyle="1" w:styleId="A27">
    <w:name w:val="A27"/>
    <w:uiPriority w:val="99"/>
    <w:rPr>
      <w:rFonts w:cs="DaxlinePro"/>
      <w:color w:val="000000"/>
    </w:rPr>
  </w:style>
  <w:style w:type="paragraph" w:customStyle="1" w:styleId="Pa41">
    <w:name w:val="Pa41"/>
    <w:basedOn w:val="Default"/>
    <w:next w:val="Default"/>
    <w:uiPriority w:val="99"/>
    <w:pPr>
      <w:spacing w:line="181" w:lineRule="atLeast"/>
    </w:pPr>
    <w:rPr>
      <w:rFonts w:ascii="DaxlinePro" w:eastAsiaTheme="minorHAnsi" w:hAnsi="DaxlinePro" w:cstheme="minorBidi"/>
      <w:color w:val="auto"/>
    </w:rPr>
  </w:style>
  <w:style w:type="table" w:customStyle="1" w:styleId="TableGrid1">
    <w:name w:val="Table Grid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name">
    <w:name w:val="ep_name"/>
    <w:basedOn w:val="DefaultParagraphFont"/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M4">
    <w:name w:val="CM4"/>
    <w:basedOn w:val="Default"/>
    <w:next w:val="Default"/>
    <w:uiPriority w:val="99"/>
    <w:rPr>
      <w:rFonts w:ascii="EUAlbertina" w:eastAsiaTheme="minorHAnsi" w:hAnsi="EUAlbertina" w:cstheme="minorBidi"/>
      <w:color w:val="auto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EC Square Sans Pro" w:eastAsiaTheme="minorHAnsi" w:hAnsi="EC Square Sans Pro" w:cstheme="minorBidi"/>
      <w:color w:val="auto"/>
    </w:rPr>
  </w:style>
  <w:style w:type="character" w:customStyle="1" w:styleId="A1">
    <w:name w:val="A1"/>
    <w:uiPriority w:val="99"/>
    <w:rPr>
      <w:rFonts w:cs="EC Square Sans Pro"/>
      <w:color w:val="000000"/>
    </w:rPr>
  </w:style>
  <w:style w:type="character" w:customStyle="1" w:styleId="art-postdateicon">
    <w:name w:val="art-postdateicon"/>
    <w:basedOn w:val="DefaultParagraphFont"/>
  </w:style>
  <w:style w:type="character" w:customStyle="1" w:styleId="Date2">
    <w:name w:val="Date2"/>
    <w:basedOn w:val="DefaultParagraphFont"/>
  </w:style>
  <w:style w:type="character" w:customStyle="1" w:styleId="entry-date">
    <w:name w:val="entry-date"/>
    <w:basedOn w:val="DefaultParagraphFont"/>
  </w:style>
  <w:style w:type="character" w:customStyle="1" w:styleId="st">
    <w:name w:val="st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idden">
    <w:name w:val="hidden"/>
    <w:basedOn w:val="Normal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spacing w:before="4" w:after="0" w:line="240" w:lineRule="auto"/>
      <w:ind w:left="40"/>
    </w:pPr>
    <w:rPr>
      <w:rFonts w:ascii="EC Square Sans Pro Medium" w:eastAsiaTheme="minorEastAsia" w:hAnsi="EC Square Sans Pro Medium" w:cs="EC Square Sans Pro Medium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EC Square Sans Pro Medium" w:eastAsiaTheme="minorEastAsia" w:hAnsi="EC Square Sans Pro Medium" w:cs="EC Square Sans Pro Medium"/>
      <w:lang w:eastAsia="pl-PL"/>
    </w:rPr>
  </w:style>
  <w:style w:type="numbering" w:styleId="111111">
    <w:name w:val="Outline List 2"/>
    <w:basedOn w:val="NoList"/>
    <w:uiPriority w:val="99"/>
    <w:semiHidden/>
    <w:unhideWhenUsed/>
    <w:pPr>
      <w:numPr>
        <w:numId w:val="12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2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31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3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8788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60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5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1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1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22752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8" w:color="112449"/>
                                                                    <w:left w:val="single" w:sz="6" w:space="8" w:color="112449"/>
                                                                    <w:bottom w:val="single" w:sz="6" w:space="8" w:color="112449"/>
                                                                    <w:right w:val="single" w:sz="6" w:space="8" w:color="112449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D0D6DC"/>
            <w:right w:val="none" w:sz="0" w:space="0" w:color="auto"/>
          </w:divBdr>
        </w:div>
      </w:divsChild>
    </w:div>
    <w:div w:id="454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47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5167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5941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1936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2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13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44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4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0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8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D0D6DC"/>
            <w:right w:val="none" w:sz="0" w:space="0" w:color="auto"/>
          </w:divBdr>
        </w:div>
      </w:divsChild>
    </w:div>
    <w:div w:id="1700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29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239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8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DDE0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10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52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0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9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6634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52017PC0253" TargetMode="External"/><Relationship Id="rId3" Type="http://schemas.openxmlformats.org/officeDocument/2006/relationships/hyperlink" Target="https://ec.europa.eu/commission/priorities/deeper-and-fairer-economic-and-monetary-union/european-pillar-social-rights_en" TargetMode="External"/><Relationship Id="rId7" Type="http://schemas.openxmlformats.org/officeDocument/2006/relationships/hyperlink" Target="https://eur-lex.europa.eu/legal-content/EN/TXT/?uri=CELEX:52017PC0797" TargetMode="External"/><Relationship Id="rId2" Type="http://schemas.openxmlformats.org/officeDocument/2006/relationships/hyperlink" Target="http://europa.eu/rapid/press-release_STATEMENT-17-767_pl.htm" TargetMode="External"/><Relationship Id="rId1" Type="http://schemas.openxmlformats.org/officeDocument/2006/relationships/hyperlink" Target="https://ec.europa.eu/commission/sites/beta-political/files/social_priorities_juncker_commission_en.pdf" TargetMode="External"/><Relationship Id="rId6" Type="http://schemas.openxmlformats.org/officeDocument/2006/relationships/hyperlink" Target="file:///\\net1.cec.eu.int\empl\V\V1\Legal%20affairs\Passerelle%20clause\Communication\See" TargetMode="External"/><Relationship Id="rId5" Type="http://schemas.openxmlformats.org/officeDocument/2006/relationships/hyperlink" Target="https://ec.europa.eu/info/sites/info/files/2_en_act_part1_v4.pdf" TargetMode="External"/><Relationship Id="rId10" Type="http://schemas.openxmlformats.org/officeDocument/2006/relationships/hyperlink" Target="https://www.businesseurope.eu/publications/european-social-dialogue-work-programme-2019-2021" TargetMode="External"/><Relationship Id="rId4" Type="http://schemas.openxmlformats.org/officeDocument/2006/relationships/hyperlink" Target="http://www.europarl.europa.eu/thinktank/en/document.html?reference=EPRS_STU(2018)615660" TargetMode="External"/><Relationship Id="rId9" Type="http://schemas.openxmlformats.org/officeDocument/2006/relationships/hyperlink" Target="http://ec.europa.eu/social/BlobServlet?docId=15738&amp;langId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D8A5C3-7DA3-48DC-BFB8-7DD27C0A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4904</Words>
  <Characters>33004</Characters>
  <Application>Microsoft Office Word</Application>
  <DocSecurity>0</DocSecurity>
  <Lines>515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HEILEMANN Stefanie (SG)</cp:lastModifiedBy>
  <cp:revision>30</cp:revision>
  <cp:lastPrinted>2019-04-11T09:09:00Z</cp:lastPrinted>
  <dcterms:created xsi:type="dcterms:W3CDTF">2019-04-12T11:42:00Z</dcterms:created>
  <dcterms:modified xsi:type="dcterms:W3CDTF">2019-04-24T09:14:00Z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ast edited using">
    <vt:lpwstr>LW 6.0.1, Build 20180503</vt:lpwstr>
  </property>
  <property fmtid="{D5CDD505-2E9C-101B-9397-08002B2CF9AE}" pid="4" name="Created using">
    <vt:lpwstr>LW 6.0.1, Build 20180503</vt:lpwstr>
  </property>
  <property fmtid="{D5CDD505-2E9C-101B-9397-08002B2CF9AE}" pid="5" name="Level of sensitivity">
    <vt:lpwstr>Standard treatment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</Properties>
</file>