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3D" w:rsidRDefault="0057067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CD93DB8-AA92-417F-8679-D7E840868C02" style="width:450.6pt;height:460.55pt">
            <v:imagedata r:id="rId7" o:title=""/>
          </v:shape>
        </w:pict>
      </w:r>
    </w:p>
    <w:bookmarkEnd w:id="0"/>
    <w:p w:rsidR="00416E3D" w:rsidRDefault="00416E3D">
      <w:pPr>
        <w:rPr>
          <w:rFonts w:ascii="Times New Roman" w:hAnsi="Times New Roman" w:cs="Times New Roman"/>
          <w:noProof/>
        </w:rPr>
        <w:sectPr w:rsidR="00416E3D">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1"/>
          <w:cols w:space="720"/>
          <w:docGrid w:linePitch="360"/>
        </w:sectPr>
      </w:pPr>
    </w:p>
    <w:p w:rsidR="00416E3D" w:rsidRDefault="0057067C">
      <w:pPr>
        <w:spacing w:after="240" w:line="240" w:lineRule="auto"/>
        <w:jc w:val="both"/>
        <w:rPr>
          <w:rFonts w:ascii="Times New Roman" w:hAnsi="Times New Roman" w:cs="Times New Roman"/>
          <w:b/>
          <w:noProof/>
          <w:sz w:val="24"/>
          <w:szCs w:val="24"/>
        </w:rPr>
      </w:pPr>
      <w:r>
        <w:rPr>
          <w:rFonts w:ascii="Times New Roman" w:hAnsi="Times New Roman"/>
          <w:b/>
          <w:noProof/>
          <w:sz w:val="24"/>
        </w:rPr>
        <w:lastRenderedPageBreak/>
        <w:t xml:space="preserve">Παράρτημα 1: </w:t>
      </w:r>
      <w:r>
        <w:rPr>
          <w:noProof/>
        </w:rPr>
        <w:tab/>
      </w:r>
      <w:r>
        <w:rPr>
          <w:rFonts w:ascii="Times New Roman" w:hAnsi="Times New Roman"/>
          <w:b/>
          <w:noProof/>
          <w:sz w:val="24"/>
        </w:rPr>
        <w:t>Ανασκόπηση</w:t>
      </w:r>
    </w:p>
    <w:p w:rsidR="00416E3D" w:rsidRDefault="0057067C">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Οι ιδρυτικές Συνθήκες αναθέτουν στην ΕΕ κοινωνική αποστολή, και μάλιστα από τη σύστασή της, αν και η ειδική ενωσιακή </w:t>
      </w:r>
      <w:r>
        <w:rPr>
          <w:rFonts w:ascii="Times New Roman" w:hAnsi="Times New Roman"/>
          <w:noProof/>
          <w:sz w:val="24"/>
        </w:rPr>
        <w:t>νομοθεσία αναπτύχθηκε σταδιακά: η κοινωνική πολιτική, με την ευρεία έννοια του όρου, ξεκίνησε ως ένα μέσο που θα εξασφάλιζε την ολοκλήρωση της αγοράς και έχει εξελιχθεί σε έναν τρόπο επίτευξης κοινωνικών αποτελεσμάτων ως αυτοσκοπών. Κατά τη διάρκεια 60 χρό</w:t>
      </w:r>
      <w:r>
        <w:rPr>
          <w:rFonts w:ascii="Times New Roman" w:hAnsi="Times New Roman"/>
          <w:noProof/>
          <w:sz w:val="24"/>
        </w:rPr>
        <w:t>νων ευρωπαϊκής ολοκλήρωσης, η κοινωνική πολιτική έχει αποκτήσει ολοένα και πιο κομβική σημασία για την ΕΕ, κάτι που αντανακλάται σε κάθε αναθεώρηση των Συνθηκών.</w:t>
      </w:r>
    </w:p>
    <w:p w:rsidR="00416E3D" w:rsidRDefault="0057067C">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Σύμφωνα με τη </w:t>
      </w:r>
      <w:r>
        <w:rPr>
          <w:rFonts w:ascii="Times New Roman" w:hAnsi="Times New Roman"/>
          <w:b/>
          <w:noProof/>
          <w:sz w:val="24"/>
        </w:rPr>
        <w:t>Συνθήκη της Ρώμης</w:t>
      </w:r>
      <w:r>
        <w:rPr>
          <w:rFonts w:ascii="Times New Roman" w:hAnsi="Times New Roman"/>
          <w:noProof/>
          <w:sz w:val="24"/>
        </w:rPr>
        <w:t xml:space="preserve"> (1957), το μεγαλύτερο μέρος των εξουσιών όσον αφορά την κοινων</w:t>
      </w:r>
      <w:r>
        <w:rPr>
          <w:rFonts w:ascii="Times New Roman" w:hAnsi="Times New Roman"/>
          <w:noProof/>
          <w:sz w:val="24"/>
        </w:rPr>
        <w:t>ική πολιτική παρέμεινε εκτός του πεδίου εφαρμογής της κοινοτικής δράσης, το οποίο περιοριζόταν στην προώθηση της στενής συνεργασίας μεταξύ των κρατών μελών με τη στήριξη του Ευρωπαϊκού Κοινωνικού Ταμείου. Η Επιτροπή είχε το δικαίωμα να εκδώσει γνωμοδοτήσει</w:t>
      </w:r>
      <w:r>
        <w:rPr>
          <w:rFonts w:ascii="Times New Roman" w:hAnsi="Times New Roman"/>
          <w:noProof/>
          <w:sz w:val="24"/>
        </w:rPr>
        <w:t>ς σχετικά με την υγεία και την ασφάλεια στον χώρο εργασίας. Η Συνθήκη καθιέρωσε την ελεύθερη κυκλοφορία των εργαζομένων και την υποχρέωση θέσπισης μέτρων για τον συντονισμό της κοινωνικής ασφάλισης. Σ’ αυτούς τους τομείς, οι αποφάσεις λαμβάνονταν ομόφωνα σ</w:t>
      </w:r>
      <w:r>
        <w:rPr>
          <w:rFonts w:ascii="Times New Roman" w:hAnsi="Times New Roman"/>
          <w:noProof/>
          <w:sz w:val="24"/>
        </w:rPr>
        <w:t>το Συμβούλιο, χωρίς το Κοινοβούλιο να μπορεί να διαδραματίσει κάποιο ρόλο.</w:t>
      </w:r>
    </w:p>
    <w:p w:rsidR="00416E3D" w:rsidRDefault="0057067C">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κοινωνική πολιτική αναπτύχθηκε με την </w:t>
      </w:r>
      <w:r>
        <w:rPr>
          <w:rFonts w:ascii="Times New Roman" w:hAnsi="Times New Roman"/>
          <w:b/>
          <w:noProof/>
          <w:sz w:val="24"/>
        </w:rPr>
        <w:t>Ενιαία Ευρωπαϊκή Πράξη</w:t>
      </w:r>
      <w:r>
        <w:rPr>
          <w:rFonts w:ascii="Times New Roman" w:hAnsi="Times New Roman"/>
          <w:noProof/>
          <w:sz w:val="24"/>
        </w:rPr>
        <w:t xml:space="preserve"> το 1986, η οποία προέβλεπε τη δυνατότητα θέσπισης ελάχιστων απαιτήσεων για την υγεία και την ασφάλεια των εργαζομένων </w:t>
      </w:r>
      <w:r>
        <w:rPr>
          <w:rFonts w:ascii="Times New Roman" w:hAnsi="Times New Roman"/>
          <w:noProof/>
          <w:sz w:val="24"/>
        </w:rPr>
        <w:t>και όριζε ότι το Συμβούλιο θα αποφασίζει με ειδική πλειοψηφία, σε συνεργασία με το Κοινοβούλιο.</w:t>
      </w:r>
    </w:p>
    <w:p w:rsidR="00416E3D" w:rsidRDefault="0057067C">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Οι τομείς ενωσιακής δράσης στο πλαίσιο της κοινωνικής πολιτικής επεκτάθηκαν με το κοινωνικό πρωτόκολλο της </w:t>
      </w:r>
      <w:r>
        <w:rPr>
          <w:rFonts w:ascii="Times New Roman" w:hAnsi="Times New Roman"/>
          <w:b/>
          <w:noProof/>
          <w:sz w:val="24"/>
        </w:rPr>
        <w:t>Συνθήκης του Μάαστριχτ</w:t>
      </w:r>
      <w:r>
        <w:rPr>
          <w:rFonts w:ascii="Times New Roman" w:hAnsi="Times New Roman"/>
          <w:noProof/>
          <w:sz w:val="24"/>
        </w:rPr>
        <w:t xml:space="preserve"> το 1992 και, έκτοτε, έχουν παρ</w:t>
      </w:r>
      <w:r>
        <w:rPr>
          <w:rFonts w:ascii="Times New Roman" w:hAnsi="Times New Roman"/>
          <w:noProof/>
          <w:sz w:val="24"/>
        </w:rPr>
        <w:t xml:space="preserve">αμείνει ουσιαστικά αμετάβλητοι. Το κοινωνικό πρωτόκολλο προέβλεπε την </w:t>
      </w:r>
      <w:r>
        <w:rPr>
          <w:rFonts w:ascii="Times New Roman" w:hAnsi="Times New Roman"/>
          <w:b/>
          <w:noProof/>
          <w:sz w:val="24"/>
        </w:rPr>
        <w:t>ψηφοφορία με ειδική πλειοψηφία</w:t>
      </w:r>
      <w:r>
        <w:rPr>
          <w:rFonts w:ascii="Times New Roman" w:hAnsi="Times New Roman"/>
          <w:noProof/>
          <w:sz w:val="24"/>
        </w:rPr>
        <w:t xml:space="preserve"> σχετικά με:</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τους όρους εργασίας,</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την ενημέρωση και τη διαβούλευση των εργαζομένων,</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την ισότητα ευκαιριών για άνδρες και γυναίκες, και </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την ένταξη των ατόμων που είναι αποκλεισμένα από την αγορά εργασίας. </w:t>
      </w:r>
    </w:p>
    <w:p w:rsidR="00416E3D" w:rsidRDefault="0057067C">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Προέβλεπε ότι το Συμβούλιο θα αποφασίζει με </w:t>
      </w:r>
      <w:r>
        <w:rPr>
          <w:rFonts w:ascii="Times New Roman" w:hAnsi="Times New Roman"/>
          <w:b/>
          <w:noProof/>
          <w:sz w:val="24"/>
        </w:rPr>
        <w:t>ομοφωνία</w:t>
      </w:r>
      <w:r>
        <w:rPr>
          <w:rFonts w:ascii="Times New Roman" w:hAnsi="Times New Roman"/>
          <w:noProof/>
          <w:sz w:val="24"/>
        </w:rPr>
        <w:t xml:space="preserve"> για θέματα που αφορούν:</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την κοινωνική ασφάλιση και την κοινωνική προστασία των εργαζομένων, </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τις απολύσεις, </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την εκπροσώπηση και τη συλλογική υπεράσπιση των συμφερόντων των εργαζομένων και των εργοδοτών, συμπεριλαμβανομένης της συνδιαχείρισης, και </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τους όρους απασχόλησης για τους υπηκόους τρίτων χωρών που διαμένουν νόμιμα στην ΕΕ. </w:t>
      </w:r>
    </w:p>
    <w:p w:rsidR="00416E3D" w:rsidRDefault="0057067C">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Στους τελευταίους αυτούς τομείς</w:t>
      </w:r>
      <w:r>
        <w:rPr>
          <w:rFonts w:ascii="Times New Roman" w:hAnsi="Times New Roman"/>
          <w:noProof/>
          <w:sz w:val="24"/>
        </w:rPr>
        <w:t xml:space="preserve"> προβλεπόταν ότι θα ζητείται η γνώμη του Κοινοβουλίου (κάτι που αποτελεί πλέον την ειδική νομοθετική διαδικασία). Ειδικότερα, </w:t>
      </w:r>
      <w:r>
        <w:rPr>
          <w:rFonts w:ascii="Times New Roman" w:hAnsi="Times New Roman"/>
          <w:b/>
          <w:noProof/>
          <w:sz w:val="24"/>
        </w:rPr>
        <w:t>αποκλείονταν</w:t>
      </w:r>
      <w:r>
        <w:rPr>
          <w:rFonts w:ascii="Times New Roman" w:hAnsi="Times New Roman"/>
          <w:noProof/>
          <w:sz w:val="24"/>
        </w:rPr>
        <w:t>:</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οι αμοιβές,</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το δικαίωμα του συνεταιρίζεσθαι,</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το δικαίωμα για απεργία· και </w:t>
      </w:r>
    </w:p>
    <w:p w:rsidR="00416E3D" w:rsidRDefault="0057067C">
      <w:pPr>
        <w:pStyle w:val="ListParagraph"/>
        <w:numPr>
          <w:ilvl w:val="0"/>
          <w:numId w:val="1"/>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το δικαίωμα για ανταπεργία (λοκ άουτ).</w:t>
      </w:r>
    </w:p>
    <w:p w:rsidR="00416E3D" w:rsidRDefault="0057067C">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rPr>
        <w:t>Το</w:t>
      </w:r>
      <w:r>
        <w:rPr>
          <w:rFonts w:ascii="Times New Roman" w:hAnsi="Times New Roman"/>
          <w:noProof/>
          <w:sz w:val="24"/>
        </w:rPr>
        <w:t xml:space="preserve"> πρωτόκολλο ενσωματώθηκε στη </w:t>
      </w:r>
      <w:r>
        <w:rPr>
          <w:rFonts w:ascii="Times New Roman" w:hAnsi="Times New Roman"/>
          <w:b/>
          <w:noProof/>
          <w:sz w:val="24"/>
        </w:rPr>
        <w:t>Συνθήκη του Άμστερνταμ</w:t>
      </w:r>
      <w:r>
        <w:rPr>
          <w:rFonts w:ascii="Times New Roman" w:hAnsi="Times New Roman"/>
          <w:noProof/>
          <w:sz w:val="24"/>
        </w:rPr>
        <w:t xml:space="preserve"> το 1997, καθιστώντας τις διατάξεις εφαρμοστέες σε όλα τα κράτη μέλη και αποτελώντας τη βάση για τον ισχύοντα τίτλο X της ΣΛΕΕ. Έτσι δημιουργήθηκε νέα νομική βάση για την καταπολέμηση των διακρίσεων, η οπο</w:t>
      </w:r>
      <w:r>
        <w:rPr>
          <w:rFonts w:ascii="Times New Roman" w:hAnsi="Times New Roman"/>
          <w:noProof/>
          <w:sz w:val="24"/>
        </w:rPr>
        <w:t>ία παραμένει αμετάβλητη: το άρθρο 13 της Συνθήκης για την ίδρυση της Ευρωπαϊκής Κοινότητας (νυν άρθρο 19 παράγραφος 1 της ΣΛΕΕ) προβλέπει ότι το Συμβούλιο, αποφασίζοντας ομόφωνα κατόπιν πρότασης της Επιτροπής και έπειτα από διαβούλευση με το Κοινοβούλιο, μ</w:t>
      </w:r>
      <w:r>
        <w:rPr>
          <w:rFonts w:ascii="Times New Roman" w:hAnsi="Times New Roman"/>
          <w:noProof/>
          <w:sz w:val="24"/>
        </w:rPr>
        <w:t>πορεί να αναλάβει κατάλληλη δράση για την καταπολέμηση των διακρίσεων λόγω φύλου, φυλετικής ή εθνοτικής καταγωγής, θρησκείας ή πεποιθήσεων, αναπηρίας ή γενετήσιου προσανατολισμού.</w:t>
      </w:r>
    </w:p>
    <w:p w:rsidR="00416E3D" w:rsidRDefault="0057067C">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w:t>
      </w:r>
      <w:r>
        <w:rPr>
          <w:rFonts w:ascii="Times New Roman" w:hAnsi="Times New Roman"/>
          <w:b/>
          <w:noProof/>
          <w:sz w:val="24"/>
        </w:rPr>
        <w:t>Συνθήκη της Νίκαιας</w:t>
      </w:r>
      <w:r>
        <w:rPr>
          <w:rFonts w:ascii="Times New Roman" w:hAnsi="Times New Roman"/>
          <w:noProof/>
          <w:sz w:val="24"/>
        </w:rPr>
        <w:t xml:space="preserve"> το 2001 εισήγαγε δύο νέους τομείς συνεργασίας στο άρθρ</w:t>
      </w:r>
      <w:r>
        <w:rPr>
          <w:rFonts w:ascii="Times New Roman" w:hAnsi="Times New Roman"/>
          <w:noProof/>
          <w:sz w:val="24"/>
        </w:rPr>
        <w:t>ο 137 [νυν στοιχεία ι) και ια) του άρθρου 153 παράγραφος 1 της ΣΛΕΕ], παρέχοντας στην Ένωση την εξουσία να υποστηρίζει και να συμπληρώνει τις δραστηριότητες των κρατών μελών στους εξής τομείς:</w:t>
      </w:r>
    </w:p>
    <w:p w:rsidR="00416E3D" w:rsidRDefault="0057067C">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την καταπολέμηση του κοινωνικού αποκλεισμού, και </w:t>
      </w:r>
    </w:p>
    <w:p w:rsidR="00416E3D" w:rsidRDefault="0057067C">
      <w:pPr>
        <w:pStyle w:val="ListParagraph"/>
        <w:numPr>
          <w:ilvl w:val="0"/>
          <w:numId w:val="2"/>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τον εκσυγχρον</w:t>
      </w:r>
      <w:r>
        <w:rPr>
          <w:rFonts w:ascii="Times New Roman" w:hAnsi="Times New Roman"/>
          <w:noProof/>
          <w:sz w:val="24"/>
        </w:rPr>
        <w:t xml:space="preserve">ισμό των συστημάτων κοινωνικής προστασίας. </w:t>
      </w:r>
    </w:p>
    <w:p w:rsidR="00416E3D" w:rsidRDefault="0057067C">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Δεν προέβλεπε την εξουσία έκδοσης οδηγιών για τον καθορισμό ελάχιστων προτύπων στους συγκεκριμένους τομείς</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Επίσης, η Συνθήκη δεν τροποποίησε καμία από τις υφιστάμενες απαιτήσεις ομοφωνίας στον τομέα της κοινωνι</w:t>
      </w:r>
      <w:r>
        <w:rPr>
          <w:rFonts w:ascii="Times New Roman" w:hAnsi="Times New Roman"/>
          <w:noProof/>
          <w:sz w:val="24"/>
        </w:rPr>
        <w:t xml:space="preserve">κής πολιτικής, αλλά εισήγαγε την </w:t>
      </w:r>
      <w:r>
        <w:rPr>
          <w:rFonts w:ascii="Times New Roman" w:hAnsi="Times New Roman"/>
          <w:b/>
          <w:noProof/>
          <w:sz w:val="24"/>
        </w:rPr>
        <w:t>ειδική «ρήτρα γέφυρας»</w:t>
      </w:r>
      <w:r>
        <w:rPr>
          <w:rFonts w:ascii="Times New Roman" w:hAnsi="Times New Roman"/>
          <w:noProof/>
          <w:sz w:val="24"/>
        </w:rPr>
        <w:t xml:space="preserve"> (νυν άρθρο 153 παράγραφος 2 της ΣΛΕΕ).</w:t>
      </w:r>
    </w:p>
    <w:p w:rsidR="00416E3D" w:rsidRDefault="0057067C">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w:t>
      </w:r>
      <w:r>
        <w:rPr>
          <w:rFonts w:ascii="Times New Roman" w:hAnsi="Times New Roman"/>
          <w:b/>
          <w:noProof/>
          <w:sz w:val="24"/>
        </w:rPr>
        <w:t>Συνθήκη της Λισαβόνας</w:t>
      </w:r>
      <w:r>
        <w:rPr>
          <w:rFonts w:ascii="Times New Roman" w:hAnsi="Times New Roman"/>
          <w:noProof/>
          <w:sz w:val="24"/>
        </w:rPr>
        <w:t>, η οποία τέθηκε σε ισχύ την 1η Δεκεμβρίου 2009, έθεσε ως στόχο της Ένωσης την επίτευξη ιδιαίτερα ανταγωνιστικής κοινωνικής οικονομίας της</w:t>
      </w:r>
      <w:r>
        <w:rPr>
          <w:rFonts w:ascii="Times New Roman" w:hAnsi="Times New Roman"/>
          <w:noProof/>
          <w:sz w:val="24"/>
        </w:rPr>
        <w:t xml:space="preserve"> αγοράς. Αποφασίστηκε ότι τα μέτρα για τον </w:t>
      </w:r>
      <w:r>
        <w:rPr>
          <w:rFonts w:ascii="Times New Roman" w:hAnsi="Times New Roman"/>
          <w:b/>
          <w:noProof/>
          <w:sz w:val="24"/>
        </w:rPr>
        <w:t>συντονισμό της κοινωνικής ασφάλισης στο πλαίσιο της ελεύθερης κυκλοφορίας των εργαζομένων</w:t>
      </w:r>
      <w:r>
        <w:rPr>
          <w:rFonts w:ascii="Times New Roman" w:hAnsi="Times New Roman"/>
          <w:noProof/>
          <w:sz w:val="24"/>
        </w:rPr>
        <w:t xml:space="preserve"> (άρθρο 48 της ΣΛΕΕ) θα θεσπίζονται κατόπιν ψηφοφορίας με ειδική πλειοψηφία και στο πλαίσιο της συνήθους νομοθετικής διαδικα</w:t>
      </w:r>
      <w:r>
        <w:rPr>
          <w:rFonts w:ascii="Times New Roman" w:hAnsi="Times New Roman"/>
          <w:noProof/>
          <w:sz w:val="24"/>
        </w:rPr>
        <w:t xml:space="preserve">σίας, και όχι με ομοφωνία. </w:t>
      </w:r>
    </w:p>
    <w:p w:rsidR="00416E3D" w:rsidRDefault="0057067C">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Οι απαιτήσεις για ομοφωνία και διαβούλευση με το Κοινοβούλιο διατηρήθηκαν στους ακόλουθους τομείς [οι οποίοι πλέον καλύπτονται από το άρθρο 153 παράγραφος 1 στοιχεία γ), δ), στ) και ζ) και το άρθρο 19 της ΣΛΕΕ)]:</w:t>
      </w:r>
    </w:p>
    <w:p w:rsidR="00416E3D" w:rsidRDefault="0057067C">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την κοινωνική </w:t>
      </w:r>
      <w:r>
        <w:rPr>
          <w:rFonts w:ascii="Times New Roman" w:hAnsi="Times New Roman"/>
          <w:noProof/>
          <w:sz w:val="24"/>
        </w:rPr>
        <w:t>ασφάλιση και την κοινωνική προστασία των εργαζομένων (εκτός των διασυνοριακών καταστάσεων),</w:t>
      </w:r>
    </w:p>
    <w:p w:rsidR="00416E3D" w:rsidRDefault="0057067C">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τις απολύσεις, </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την εκπροσώπηση και τη συλλογική υπεράσπιση των συμφερόντων των εργαζομένων και των εργοδοτών, συμπεριλαμβανομένης της συνδιαχείρισης, </w:t>
      </w:r>
    </w:p>
    <w:p w:rsidR="00416E3D" w:rsidRDefault="0057067C">
      <w:pPr>
        <w:pStyle w:val="ListParagraph"/>
        <w:numPr>
          <w:ilvl w:val="0"/>
          <w:numId w:val="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τους όρους α</w:t>
      </w:r>
      <w:r>
        <w:rPr>
          <w:rFonts w:ascii="Times New Roman" w:hAnsi="Times New Roman"/>
          <w:noProof/>
          <w:sz w:val="24"/>
        </w:rPr>
        <w:t xml:space="preserve">πασχόλησης για τους υπηκόους τρίτων χωρών που διαμένουν νόμιμα στην ΕΕ, και </w:t>
      </w:r>
    </w:p>
    <w:p w:rsidR="00416E3D" w:rsidRDefault="0057067C">
      <w:pPr>
        <w:pStyle w:val="ListParagraph"/>
        <w:numPr>
          <w:ilvl w:val="0"/>
          <w:numId w:val="3"/>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τα μέτρα για την καταπολέμηση των διακρίσεων. </w:t>
      </w:r>
    </w:p>
    <w:p w:rsidR="00416E3D" w:rsidRDefault="0057067C">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Ταυτόχρονα, στο άρθρο 48 παράγραφος 7 της ΣΕΕ εισήχθη η </w:t>
      </w:r>
      <w:r>
        <w:rPr>
          <w:rFonts w:ascii="Times New Roman" w:hAnsi="Times New Roman"/>
          <w:b/>
          <w:noProof/>
          <w:sz w:val="24"/>
        </w:rPr>
        <w:t>γενική «ρήτρα γέφυρας»</w:t>
      </w:r>
      <w:r>
        <w:rPr>
          <w:rFonts w:ascii="Times New Roman" w:hAnsi="Times New Roman"/>
          <w:noProof/>
          <w:sz w:val="24"/>
        </w:rPr>
        <w:t>, με την οποία παρέχεται η δυνατότητα μετάβασης από τη</w:t>
      </w:r>
      <w:r>
        <w:rPr>
          <w:rFonts w:ascii="Times New Roman" w:hAnsi="Times New Roman"/>
          <w:noProof/>
          <w:sz w:val="24"/>
        </w:rPr>
        <w:t>ν ομοφωνία στην ειδική πλειοψηφία ή από την ειδική στη συνήθη νομοθετική διαδικασία σε τομείς που δεν υπόκεινται στη συγκεκριμένη «ρήτρα γέφυρας», όπως η απαγόρευση των διακρίσεων και η κοινωνική ασφάλιση και η κοινωνική προστασία των εργαζομένων.</w:t>
      </w:r>
    </w:p>
    <w:p w:rsidR="00416E3D" w:rsidRDefault="0057067C">
      <w:pPr>
        <w:spacing w:after="240" w:line="240" w:lineRule="auto"/>
        <w:rPr>
          <w:rFonts w:ascii="Times New Roman" w:eastAsia="Times New Roman" w:hAnsi="Times New Roman" w:cs="Times New Roman"/>
          <w:noProof/>
          <w:sz w:val="24"/>
          <w:szCs w:val="24"/>
        </w:rPr>
      </w:pPr>
      <w:r>
        <w:rPr>
          <w:noProof/>
        </w:rPr>
        <w:br w:type="page"/>
      </w:r>
    </w:p>
    <w:p w:rsidR="00416E3D" w:rsidRDefault="0057067C">
      <w:pPr>
        <w:spacing w:after="240" w:line="240" w:lineRule="auto"/>
        <w:ind w:left="284" w:hanging="284"/>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lastRenderedPageBreak/>
        <w:t>Παράρτ</w:t>
      </w:r>
      <w:r>
        <w:rPr>
          <w:rFonts w:ascii="Times New Roman" w:hAnsi="Times New Roman"/>
          <w:b/>
          <w:noProof/>
          <w:color w:val="000000" w:themeColor="text1"/>
          <w:sz w:val="24"/>
        </w:rPr>
        <w:t>ημα 2:</w:t>
      </w:r>
      <w:r>
        <w:rPr>
          <w:noProof/>
        </w:rPr>
        <w:tab/>
      </w:r>
      <w:r>
        <w:rPr>
          <w:rFonts w:ascii="Times New Roman" w:hAnsi="Times New Roman"/>
          <w:b/>
          <w:noProof/>
          <w:color w:val="000000" w:themeColor="text1"/>
          <w:sz w:val="24"/>
        </w:rPr>
        <w:t>Νομικές πράξεις που προτάθηκαν στο πλαίσιο της κοινωνικής πολιτικής την περίοδο 2014-2019</w:t>
      </w:r>
    </w:p>
    <w:p w:rsidR="00416E3D" w:rsidRDefault="0057067C">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Η παρούσα Επιτροπή υπέβαλε 27 νομοθετικές προτάσεις για τον εκσυγχρονισμό της κοινωνικής οικονομίας της αγοράς της ΕΕ και τη βαθμολόγηση της Ευρώπης με «κοινωνικό τριπλό Α». Έχει επιτευχθεί συμφωνία για τις 24 από αυτές τις προτάσεις, ενώ οι υπόλοιπες τρει</w:t>
      </w:r>
      <w:r>
        <w:rPr>
          <w:rFonts w:ascii="Times New Roman" w:hAnsi="Times New Roman"/>
          <w:noProof/>
          <w:color w:val="000000" w:themeColor="text1"/>
          <w:sz w:val="24"/>
        </w:rPr>
        <w:t xml:space="preserve">ς βρίσκονται υπό συζήτηση. </w:t>
      </w:r>
    </w:p>
    <w:tbl>
      <w:tblPr>
        <w:tblStyle w:val="TableGrid"/>
        <w:tblW w:w="9180" w:type="dxa"/>
        <w:tblLook w:val="04A0" w:firstRow="1" w:lastRow="0" w:firstColumn="1" w:lastColumn="0" w:noHBand="0" w:noVBand="1"/>
      </w:tblPr>
      <w:tblGrid>
        <w:gridCol w:w="684"/>
        <w:gridCol w:w="6937"/>
        <w:gridCol w:w="1559"/>
      </w:tblGrid>
      <w:tr w:rsidR="00416E3D">
        <w:trPr>
          <w:trHeight w:val="259"/>
        </w:trPr>
        <w:tc>
          <w:tcPr>
            <w:tcW w:w="684" w:type="dxa"/>
            <w:vAlign w:val="center"/>
          </w:tcPr>
          <w:p w:rsidR="00416E3D" w:rsidRDefault="0057067C">
            <w:pPr>
              <w:jc w:val="center"/>
              <w:rPr>
                <w:rFonts w:ascii="Times New Roman" w:hAnsi="Times New Roman" w:cs="Times New Roman"/>
                <w:b/>
                <w:noProof/>
                <w:sz w:val="20"/>
                <w:szCs w:val="20"/>
              </w:rPr>
            </w:pPr>
            <w:r>
              <w:rPr>
                <w:rFonts w:ascii="Times New Roman" w:hAnsi="Times New Roman"/>
                <w:b/>
                <w:noProof/>
                <w:sz w:val="20"/>
              </w:rPr>
              <w:t>Αριθ.</w:t>
            </w:r>
          </w:p>
        </w:tc>
        <w:tc>
          <w:tcPr>
            <w:tcW w:w="6937" w:type="dxa"/>
            <w:vAlign w:val="center"/>
          </w:tcPr>
          <w:p w:rsidR="00416E3D" w:rsidRDefault="0057067C">
            <w:pPr>
              <w:jc w:val="center"/>
              <w:rPr>
                <w:rFonts w:ascii="Times New Roman" w:hAnsi="Times New Roman" w:cs="Times New Roman"/>
                <w:b/>
                <w:noProof/>
                <w:sz w:val="20"/>
                <w:szCs w:val="20"/>
              </w:rPr>
            </w:pPr>
            <w:r>
              <w:rPr>
                <w:rFonts w:ascii="Times New Roman" w:hAnsi="Times New Roman"/>
                <w:b/>
                <w:noProof/>
                <w:sz w:val="20"/>
              </w:rPr>
              <w:t>Συνοπτικός τίτλος</w:t>
            </w:r>
          </w:p>
        </w:tc>
        <w:tc>
          <w:tcPr>
            <w:tcW w:w="1559" w:type="dxa"/>
            <w:vAlign w:val="center"/>
          </w:tcPr>
          <w:p w:rsidR="00416E3D" w:rsidRDefault="0057067C">
            <w:pPr>
              <w:jc w:val="center"/>
              <w:rPr>
                <w:rFonts w:ascii="Times New Roman" w:hAnsi="Times New Roman" w:cs="Times New Roman"/>
                <w:b/>
                <w:noProof/>
                <w:sz w:val="20"/>
                <w:szCs w:val="20"/>
              </w:rPr>
            </w:pPr>
            <w:r>
              <w:rPr>
                <w:rFonts w:ascii="Times New Roman" w:hAnsi="Times New Roman"/>
                <w:b/>
                <w:noProof/>
                <w:sz w:val="20"/>
              </w:rPr>
              <w:t xml:space="preserve">Δημοσίευση </w:t>
            </w:r>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1</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 xml:space="preserve">Κανονισμός (ΕΕ) 2015/779 για την τροποποίηση του κανονισμού (ΕΕ) αριθ. 1304/2013, όσον αφορά πρόσθετο ποσό αρχικής προχρηματοδότησης το οποίο καταβάλλεται στα επιχειρησιακά προγράμματα που </w:t>
            </w:r>
            <w:r>
              <w:rPr>
                <w:rFonts w:ascii="Times New Roman" w:hAnsi="Times New Roman"/>
                <w:noProof/>
                <w:sz w:val="20"/>
              </w:rPr>
              <w:t>υποστηρίζονται από την πρωτοβουλία για την απασχόληση των νέων</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14">
              <w:r>
                <w:rPr>
                  <w:rStyle w:val="Hyperlink"/>
                  <w:rFonts w:ascii="Times New Roman" w:hAnsi="Times New Roman"/>
                  <w:noProof/>
                  <w:sz w:val="20"/>
                </w:rPr>
                <w:t>ΕΕ L 126</w:t>
              </w:r>
            </w:hyperlink>
            <w:r>
              <w:rPr>
                <w:rFonts w:ascii="Times New Roman" w:hAnsi="Times New Roman"/>
                <w:noProof/>
                <w:sz w:val="20"/>
              </w:rPr>
              <w:t xml:space="preserve"> της 21.5.2015, σ. 1</w:t>
            </w:r>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2</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Σύσταση του Συμβουλίου για την ένταξη των μακροχρονίως ανέργων στην αγορ</w:t>
            </w:r>
            <w:r>
              <w:rPr>
                <w:rFonts w:ascii="Times New Roman" w:hAnsi="Times New Roman"/>
                <w:noProof/>
                <w:sz w:val="20"/>
              </w:rPr>
              <w:t>ά εργασίας</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15">
              <w:r>
                <w:rPr>
                  <w:rStyle w:val="Hyperlink"/>
                  <w:rFonts w:ascii="Times New Roman" w:hAnsi="Times New Roman"/>
                  <w:noProof/>
                  <w:sz w:val="20"/>
                </w:rPr>
                <w:t>ΕΕ C 67</w:t>
              </w:r>
            </w:hyperlink>
            <w:r>
              <w:rPr>
                <w:rFonts w:ascii="Times New Roman" w:hAnsi="Times New Roman"/>
                <w:noProof/>
                <w:sz w:val="20"/>
              </w:rPr>
              <w:t xml:space="preserve"> της 20.2.2016, σ. 1</w:t>
            </w:r>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3</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Απόφαση (ΕΕ) 2015/1848 του Συμβουλίου σχετικά με τις κατευθυντήριες γραμμές για τις πολιτικές απασχόλησης των κρατών μελών γι</w:t>
            </w:r>
            <w:r>
              <w:rPr>
                <w:rFonts w:ascii="Times New Roman" w:hAnsi="Times New Roman"/>
                <w:noProof/>
                <w:sz w:val="20"/>
              </w:rPr>
              <w:t>α το 2015</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16">
              <w:r>
                <w:rPr>
                  <w:rStyle w:val="Hyperlink"/>
                  <w:rFonts w:ascii="Times New Roman" w:hAnsi="Times New Roman"/>
                  <w:noProof/>
                  <w:sz w:val="20"/>
                </w:rPr>
                <w:t>ΕΕ L 268</w:t>
              </w:r>
            </w:hyperlink>
            <w:r>
              <w:rPr>
                <w:rFonts w:ascii="Times New Roman" w:hAnsi="Times New Roman"/>
                <w:noProof/>
                <w:sz w:val="20"/>
              </w:rPr>
              <w:t xml:space="preserve"> της 15.10.2015, σ. 28</w:t>
            </w:r>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4</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 xml:space="preserve">Απόφαση (ΕΕ) 2016/1838 του Συμβουλίου σχετικά με τις κατευθυντήριες γραμμές για τις πολιτικές απασχόλησης των κρατών μελών </w:t>
            </w:r>
            <w:r>
              <w:rPr>
                <w:rFonts w:ascii="Times New Roman" w:hAnsi="Times New Roman"/>
                <w:noProof/>
                <w:sz w:val="20"/>
              </w:rPr>
              <w:t>για το 2016</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17">
              <w:r>
                <w:rPr>
                  <w:rStyle w:val="Hyperlink"/>
                  <w:rFonts w:ascii="Times New Roman" w:hAnsi="Times New Roman"/>
                  <w:noProof/>
                  <w:sz w:val="20"/>
                </w:rPr>
                <w:t>ΕΕ L 280</w:t>
              </w:r>
            </w:hyperlink>
            <w:r>
              <w:rPr>
                <w:rFonts w:ascii="Times New Roman" w:hAnsi="Times New Roman"/>
                <w:noProof/>
                <w:sz w:val="20"/>
              </w:rPr>
              <w:t xml:space="preserve"> της 18.10.2016, σ. 30</w:t>
            </w:r>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5</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 xml:space="preserve">Οδηγία (ΕΕ) 2017/2398 για την τροποποίηση της οδηγίας 2004/37/ΕΚ σχετικά με την προστασία των εργαζομένων από τους </w:t>
            </w:r>
            <w:r>
              <w:rPr>
                <w:rFonts w:ascii="Times New Roman" w:hAnsi="Times New Roman"/>
                <w:noProof/>
                <w:sz w:val="20"/>
              </w:rPr>
              <w:t>κινδύνους που συνδέονται με την έκθεση σε καρκινογόνους ή μεταλλαξιογόνους παράγοντες κατά την εργασία</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18">
              <w:r>
                <w:rPr>
                  <w:rStyle w:val="Hyperlink"/>
                  <w:rFonts w:ascii="Times New Roman" w:hAnsi="Times New Roman"/>
                  <w:noProof/>
                  <w:sz w:val="20"/>
                </w:rPr>
                <w:t>ΕΕ L 345</w:t>
              </w:r>
            </w:hyperlink>
            <w:r>
              <w:rPr>
                <w:rFonts w:ascii="Times New Roman" w:hAnsi="Times New Roman"/>
                <w:noProof/>
                <w:sz w:val="20"/>
              </w:rPr>
              <w:t xml:space="preserve"> της 27.12.2017, σ. 87</w:t>
            </w:r>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6</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Σύσταση του Συμβουλίου σχετικά</w:t>
            </w:r>
            <w:r>
              <w:rPr>
                <w:rFonts w:ascii="Times New Roman" w:hAnsi="Times New Roman"/>
                <w:noProof/>
                <w:sz w:val="20"/>
              </w:rPr>
              <w:t xml:space="preserve"> με το ευρωπαϊκό πλαίσιο επαγγελματικών προσόντων για τη διά βίου μάθηση και με την κατάργηση της σύστασης του Ευρωπαϊκού Κοινοβουλίου και του Συμβουλίου, της 23ης Απριλίου 2008, σχετικά με τη θέσπιση του ευρωπαϊκού πλαισίου επαγγελματικών προσόντων για τη</w:t>
            </w:r>
            <w:r>
              <w:rPr>
                <w:rFonts w:ascii="Times New Roman" w:hAnsi="Times New Roman"/>
                <w:noProof/>
                <w:sz w:val="20"/>
              </w:rPr>
              <w:t xml:space="preserve"> διά βίου μάθηση</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19">
              <w:r>
                <w:rPr>
                  <w:rStyle w:val="Hyperlink"/>
                  <w:rFonts w:ascii="Times New Roman" w:hAnsi="Times New Roman"/>
                  <w:noProof/>
                  <w:sz w:val="20"/>
                </w:rPr>
                <w:t>ΕΕ C 189</w:t>
              </w:r>
            </w:hyperlink>
            <w:r>
              <w:rPr>
                <w:rFonts w:ascii="Times New Roman" w:hAnsi="Times New Roman"/>
                <w:noProof/>
                <w:sz w:val="20"/>
              </w:rPr>
              <w:t xml:space="preserve"> της 15.6.2017, σ. 15</w:t>
            </w:r>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7</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Σύσταση του Συμβουλίου όσον αφορά τις Διαδρομές Αναβάθμισης των Δεξιοτήτων: Νέες Ευκαιρίες για Ενηλίκους</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20">
              <w:r>
                <w:rPr>
                  <w:rStyle w:val="Hyperlink"/>
                  <w:rFonts w:ascii="Times New Roman" w:hAnsi="Times New Roman"/>
                  <w:noProof/>
                  <w:sz w:val="20"/>
                </w:rPr>
                <w:t>ΕΕ C 484</w:t>
              </w:r>
            </w:hyperlink>
            <w:r>
              <w:rPr>
                <w:rFonts w:ascii="Times New Roman" w:hAnsi="Times New Roman"/>
                <w:noProof/>
                <w:sz w:val="20"/>
              </w:rPr>
              <w:t xml:space="preserve"> της 24.12.2016, σ. 1</w:t>
            </w:r>
          </w:p>
        </w:tc>
        <w:bookmarkStart w:id="1" w:name="_GoBack"/>
        <w:bookmarkEnd w:id="1"/>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8</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Οδηγία (ΕΕ) 2017/159 του Συμβουλίου για την υλοποίηση της συμφωνίας για την εφαρμογή της σύμβασης της Διεθνούς Οργάνωσης Εργασίας του 20</w:t>
            </w:r>
            <w:r>
              <w:rPr>
                <w:rFonts w:ascii="Times New Roman" w:hAnsi="Times New Roman"/>
                <w:noProof/>
                <w:sz w:val="20"/>
              </w:rPr>
              <w:t>07 σχετικά με την εργασία στον τομέα της αλιείας που συνάφθηκε στις 21 Μαΐου 2012 μεταξύ της Γενικής Συνομοσπονδίας Γεωργικών Συνεταιρισμών της Ευρωπαϊκής Ένωσης (COGECA), της Ευρωπαϊκής Ομοσπονδίας των Ενώσεων Εργαζομένων στις Μεταφορές (ETF) και της Ένωσ</w:t>
            </w:r>
            <w:r>
              <w:rPr>
                <w:rFonts w:ascii="Times New Roman" w:hAnsi="Times New Roman"/>
                <w:noProof/>
                <w:sz w:val="20"/>
              </w:rPr>
              <w:t>ης Εθνικών Οργανώσεων Επιχειρήσεων Αλιείας της Ευρωπαϊκής Ένωσης (Europêche)</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21">
              <w:r>
                <w:rPr>
                  <w:rStyle w:val="Hyperlink"/>
                  <w:rFonts w:ascii="Times New Roman" w:hAnsi="Times New Roman"/>
                  <w:noProof/>
                  <w:sz w:val="20"/>
                </w:rPr>
                <w:t>ΕΕ L 25</w:t>
              </w:r>
            </w:hyperlink>
            <w:r>
              <w:rPr>
                <w:rFonts w:ascii="Times New Roman" w:hAnsi="Times New Roman"/>
                <w:noProof/>
                <w:sz w:val="20"/>
              </w:rPr>
              <w:t xml:space="preserve"> της 31.1.2017, σ. 12</w:t>
            </w:r>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9</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Οδηγία (ΕΕ) 2018/957 για την τροποποίηση της οδηγίας 96/71</w:t>
            </w:r>
            <w:r>
              <w:rPr>
                <w:rFonts w:ascii="Times New Roman" w:hAnsi="Times New Roman"/>
                <w:noProof/>
                <w:sz w:val="20"/>
              </w:rPr>
              <w:t>/ΕΚ σχετικά με την απόσπαση εργαζομένων στο πλαίσιο παροχής υπηρεσιών</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22">
              <w:r>
                <w:rPr>
                  <w:rStyle w:val="Hyperlink"/>
                  <w:rFonts w:ascii="Times New Roman" w:hAnsi="Times New Roman"/>
                  <w:noProof/>
                  <w:sz w:val="20"/>
                </w:rPr>
                <w:t>ΕΕ L 173</w:t>
              </w:r>
            </w:hyperlink>
            <w:r>
              <w:rPr>
                <w:rFonts w:ascii="Times New Roman" w:hAnsi="Times New Roman"/>
                <w:noProof/>
                <w:color w:val="000000" w:themeColor="text1"/>
                <w:sz w:val="20"/>
              </w:rPr>
              <w:t xml:space="preserve"> της 9.7.2018, σ. 16</w:t>
            </w:r>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10</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 xml:space="preserve">Κανονισμός (ΕΕ) 2017/2305 του Ευρωπαϊκού Κοινοβουλίου και του </w:t>
            </w:r>
            <w:r>
              <w:rPr>
                <w:rFonts w:ascii="Times New Roman" w:hAnsi="Times New Roman"/>
                <w:noProof/>
                <w:sz w:val="20"/>
              </w:rPr>
              <w:t>Συμβουλίου για την τροποποίηση του κανονισμού (ΕΕ) αριθ. 1303/2013 όσον αφορά τις αλλαγές σχετικά με τους πόρους για την οικονομική, κοινωνική και εδαφική συνοχή, καθώς και τους πόρους για τον στόχο «Επενδύσεις στην ανάπτυξη και την απασχόληση» και τον στό</w:t>
            </w:r>
            <w:r>
              <w:rPr>
                <w:rFonts w:ascii="Times New Roman" w:hAnsi="Times New Roman"/>
                <w:noProof/>
                <w:sz w:val="20"/>
              </w:rPr>
              <w:t>χο «Ευρωπαϊκή εδαφική συνεργασία»</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23">
              <w:r>
                <w:rPr>
                  <w:rStyle w:val="Hyperlink"/>
                  <w:rFonts w:ascii="Times New Roman" w:hAnsi="Times New Roman"/>
                  <w:noProof/>
                  <w:sz w:val="20"/>
                </w:rPr>
                <w:t>ΕΕ L 335</w:t>
              </w:r>
            </w:hyperlink>
            <w:r>
              <w:rPr>
                <w:rFonts w:ascii="Times New Roman" w:hAnsi="Times New Roman"/>
                <w:noProof/>
                <w:sz w:val="20"/>
              </w:rPr>
              <w:t xml:space="preserve"> της 15.12.2017, σ. 1</w:t>
            </w:r>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11</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Οδηγία (ΕΕ) 2018/131 του Συμβουλίου για την εφαρμογή της συμφωνίας που συνήψαν η Ένωση Εφοπλιστών τ</w:t>
            </w:r>
            <w:r>
              <w:rPr>
                <w:rFonts w:ascii="Times New Roman" w:hAnsi="Times New Roman"/>
                <w:noProof/>
                <w:sz w:val="20"/>
              </w:rPr>
              <w:t xml:space="preserve">ης Ευρωπαϊκής Κοινότητας (ECSA) και η </w:t>
            </w:r>
            <w:r>
              <w:rPr>
                <w:rFonts w:ascii="Times New Roman" w:hAnsi="Times New Roman"/>
                <w:noProof/>
                <w:sz w:val="20"/>
              </w:rPr>
              <w:lastRenderedPageBreak/>
              <w:t>Ευρωπαϊκή Ομοσπονδία των Ενώσεων Εργαζομένων στις Μεταφορές (ETF) σχετικά με την τροποποίηση της οδηγίας 2009/13/ΕΚ του Συμβουλίου σύμφωνα με τις τροποποιήσεις του 2014 στη σύμβαση ναυτικής εργασίας του 2006, όπως εγκρ</w:t>
            </w:r>
            <w:r>
              <w:rPr>
                <w:rFonts w:ascii="Times New Roman" w:hAnsi="Times New Roman"/>
                <w:noProof/>
                <w:sz w:val="20"/>
              </w:rPr>
              <w:t>ίθηκαν από τη Διεθνή διάσκεψη Εργασίας στις 11 Ιουνίου 2014</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24">
              <w:r>
                <w:rPr>
                  <w:rStyle w:val="Hyperlink"/>
                  <w:rFonts w:ascii="Times New Roman" w:hAnsi="Times New Roman"/>
                  <w:noProof/>
                  <w:sz w:val="20"/>
                </w:rPr>
                <w:t>ΕΕ L 22</w:t>
              </w:r>
            </w:hyperlink>
            <w:r>
              <w:rPr>
                <w:rFonts w:ascii="Times New Roman" w:hAnsi="Times New Roman"/>
                <w:noProof/>
                <w:sz w:val="20"/>
              </w:rPr>
              <w:t xml:space="preserve"> της 26.1.2018, σ. 28</w:t>
            </w:r>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12</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 xml:space="preserve">Σύσταση του Συμβουλίου σχετικά με ένα ευρωπαϊκό πλαίσιο για ποιοτικά και </w:t>
            </w:r>
            <w:r>
              <w:rPr>
                <w:rFonts w:ascii="Times New Roman" w:hAnsi="Times New Roman"/>
                <w:noProof/>
                <w:sz w:val="20"/>
              </w:rPr>
              <w:t>αποτελεσματικά προγράμματα μαθητείας</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25">
              <w:r>
                <w:rPr>
                  <w:rStyle w:val="Hyperlink"/>
                  <w:rFonts w:ascii="Times New Roman" w:hAnsi="Times New Roman"/>
                  <w:noProof/>
                  <w:sz w:val="20"/>
                </w:rPr>
                <w:t>ΕΕ C 153</w:t>
              </w:r>
            </w:hyperlink>
            <w:r>
              <w:rPr>
                <w:rFonts w:ascii="Times New Roman" w:hAnsi="Times New Roman"/>
                <w:noProof/>
                <w:sz w:val="20"/>
              </w:rPr>
              <w:t xml:space="preserve"> της 2.5.2018, σ. 1</w:t>
            </w:r>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13</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 xml:space="preserve">Απόφαση (ΕΕ) 2018/646 για ένα κοινό πλαίσιο για την παροχή καλύτερων υπηρεσιών για τις δεξιότητες </w:t>
            </w:r>
            <w:r>
              <w:rPr>
                <w:rFonts w:ascii="Times New Roman" w:hAnsi="Times New Roman"/>
                <w:noProof/>
                <w:sz w:val="20"/>
              </w:rPr>
              <w:t>και τα επαγγελματικά προσόντα (Europass) και για την κατάργηση της απόφασης αριθ. 2241/2004/ΕΚ</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26">
              <w:r>
                <w:rPr>
                  <w:rStyle w:val="Hyperlink"/>
                  <w:rFonts w:ascii="Times New Roman" w:hAnsi="Times New Roman"/>
                  <w:noProof/>
                  <w:sz w:val="20"/>
                </w:rPr>
                <w:t>ΕΕ L 112</w:t>
              </w:r>
            </w:hyperlink>
            <w:r>
              <w:rPr>
                <w:rFonts w:ascii="Times New Roman" w:hAnsi="Times New Roman"/>
                <w:noProof/>
                <w:sz w:val="20"/>
              </w:rPr>
              <w:t xml:space="preserve"> της 2.5.2018, σ. 42</w:t>
            </w:r>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14</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Απόφαση (ΕΕ) 2018/1215 του Συμβουλίου σ</w:t>
            </w:r>
            <w:r>
              <w:rPr>
                <w:rFonts w:ascii="Times New Roman" w:hAnsi="Times New Roman"/>
                <w:noProof/>
                <w:sz w:val="20"/>
              </w:rPr>
              <w:t>χετικά με τις κατευθυντήριες γραμμές για τις πολιτικές απασχόλησης των κρατών μελών</w:t>
            </w:r>
          </w:p>
        </w:tc>
        <w:tc>
          <w:tcPr>
            <w:tcW w:w="1559" w:type="dxa"/>
            <w:vAlign w:val="center"/>
          </w:tcPr>
          <w:p w:rsidR="00416E3D" w:rsidRDefault="0057067C" w:rsidP="0057067C">
            <w:pPr>
              <w:spacing w:after="120"/>
              <w:rPr>
                <w:rFonts w:ascii="Times New Roman" w:hAnsi="Times New Roman" w:cs="Times New Roman"/>
                <w:noProof/>
                <w:sz w:val="20"/>
                <w:szCs w:val="20"/>
              </w:rPr>
            </w:pPr>
            <w:hyperlink r:id="rId27">
              <w:r>
                <w:rPr>
                  <w:rStyle w:val="Hyperlink"/>
                  <w:rFonts w:ascii="Times New Roman" w:hAnsi="Times New Roman"/>
                  <w:noProof/>
                  <w:color w:val="0000FF"/>
                  <w:sz w:val="20"/>
                </w:rPr>
                <w:t>ΕΕ L 224</w:t>
              </w:r>
            </w:hyperlink>
            <w:r>
              <w:rPr>
                <w:rFonts w:ascii="Times New Roman" w:hAnsi="Times New Roman"/>
                <w:noProof/>
                <w:sz w:val="20"/>
              </w:rPr>
              <w:t xml:space="preserve"> της 5.9.2018, σ. 4</w:t>
            </w:r>
          </w:p>
        </w:tc>
      </w:tr>
      <w:tr w:rsidR="00416E3D">
        <w:trPr>
          <w:trHeight w:val="273"/>
        </w:trPr>
        <w:tc>
          <w:tcPr>
            <w:tcW w:w="684" w:type="dxa"/>
          </w:tcPr>
          <w:p w:rsidR="00416E3D" w:rsidRDefault="0057067C">
            <w:pPr>
              <w:jc w:val="center"/>
              <w:rPr>
                <w:rFonts w:ascii="Times New Roman" w:hAnsi="Times New Roman" w:cs="Times New Roman"/>
                <w:noProof/>
                <w:sz w:val="20"/>
                <w:szCs w:val="20"/>
              </w:rPr>
            </w:pPr>
            <w:r>
              <w:rPr>
                <w:rFonts w:ascii="Times New Roman" w:hAnsi="Times New Roman"/>
                <w:noProof/>
                <w:sz w:val="20"/>
              </w:rPr>
              <w:t>15</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Κανονισμό</w:t>
            </w:r>
            <w:r>
              <w:rPr>
                <w:rFonts w:ascii="Times New Roman" w:hAnsi="Times New Roman"/>
                <w:noProof/>
                <w:sz w:val="20"/>
              </w:rPr>
              <w:t>ς (EE) 2019/128 σχετικά με την ίδρυση Ευρωπαϊκού Κέντρου για την Ανάπτυξη της Επαγγελματικής Κατάρτισης (Cedefop) και την κατάργηση του κανονισμού (ΕΟΚ) αριθ. 337/75 του Συμβουλίου</w:t>
            </w:r>
          </w:p>
        </w:tc>
        <w:tc>
          <w:tcPr>
            <w:tcW w:w="1559" w:type="dxa"/>
          </w:tcPr>
          <w:p w:rsidR="00416E3D" w:rsidRDefault="0057067C" w:rsidP="0057067C">
            <w:pPr>
              <w:spacing w:after="120"/>
              <w:rPr>
                <w:rFonts w:ascii="Times New Roman" w:hAnsi="Times New Roman" w:cs="Times New Roman"/>
                <w:noProof/>
                <w:sz w:val="20"/>
                <w:szCs w:val="20"/>
              </w:rPr>
            </w:pPr>
            <w:hyperlink r:id="rId28">
              <w:r>
                <w:rPr>
                  <w:rStyle w:val="Hyperlink"/>
                  <w:rFonts w:ascii="Times New Roman" w:hAnsi="Times New Roman"/>
                  <w:noProof/>
                  <w:sz w:val="20"/>
                  <w:bdr w:val="none" w:sz="0" w:space="0" w:color="auto" w:frame="1"/>
                </w:rPr>
                <w:t>ΕΕ L 30</w:t>
              </w:r>
            </w:hyperlink>
            <w:r>
              <w:rPr>
                <w:rStyle w:val="epname"/>
                <w:rFonts w:ascii="Times New Roman" w:hAnsi="Times New Roman"/>
                <w:noProof/>
                <w:sz w:val="20"/>
                <w:bdr w:val="none" w:sz="0" w:space="0" w:color="auto" w:frame="1"/>
              </w:rPr>
              <w:t xml:space="preserve"> της 31.1.2019, σ. 90</w:t>
            </w:r>
          </w:p>
        </w:tc>
      </w:tr>
      <w:tr w:rsidR="00416E3D">
        <w:trPr>
          <w:trHeight w:val="259"/>
        </w:trPr>
        <w:tc>
          <w:tcPr>
            <w:tcW w:w="684" w:type="dxa"/>
          </w:tcPr>
          <w:p w:rsidR="00416E3D" w:rsidRDefault="0057067C">
            <w:pPr>
              <w:jc w:val="center"/>
              <w:rPr>
                <w:rFonts w:ascii="Times New Roman" w:hAnsi="Times New Roman" w:cs="Times New Roman"/>
                <w:noProof/>
                <w:sz w:val="20"/>
                <w:szCs w:val="20"/>
              </w:rPr>
            </w:pPr>
            <w:r>
              <w:rPr>
                <w:rFonts w:ascii="Times New Roman" w:hAnsi="Times New Roman"/>
                <w:noProof/>
                <w:sz w:val="20"/>
              </w:rPr>
              <w:t>16</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Κανονισμός (EE) 2019/127 σχετικά με την ίδρυση του Ευρωπαϊκού Ιδρύματος για τη Βελτίωση των Συνθηκών Διαβίωσης και Εργασίας (Eurofound) και την κατάργηση του κανονισμού (ΕΟΚ) αριθ. 1365/75 του Συμβουλίου</w:t>
            </w:r>
          </w:p>
        </w:tc>
        <w:tc>
          <w:tcPr>
            <w:tcW w:w="1559" w:type="dxa"/>
          </w:tcPr>
          <w:p w:rsidR="00416E3D" w:rsidRDefault="0057067C" w:rsidP="0057067C">
            <w:pPr>
              <w:spacing w:after="120"/>
              <w:rPr>
                <w:rFonts w:ascii="Times New Roman" w:hAnsi="Times New Roman" w:cs="Times New Roman"/>
                <w:noProof/>
                <w:sz w:val="20"/>
                <w:szCs w:val="20"/>
              </w:rPr>
            </w:pPr>
            <w:hyperlink r:id="rId29">
              <w:r>
                <w:rPr>
                  <w:rStyle w:val="Hyperlink"/>
                  <w:rFonts w:ascii="Times New Roman" w:hAnsi="Times New Roman"/>
                  <w:noProof/>
                  <w:sz w:val="20"/>
                  <w:bdr w:val="none" w:sz="0" w:space="0" w:color="auto" w:frame="1"/>
                </w:rPr>
                <w:t>ΕΕ L 30</w:t>
              </w:r>
            </w:hyperlink>
            <w:r>
              <w:rPr>
                <w:rStyle w:val="epname"/>
                <w:rFonts w:ascii="Times New Roman" w:hAnsi="Times New Roman"/>
                <w:noProof/>
                <w:sz w:val="20"/>
                <w:bdr w:val="none" w:sz="0" w:space="0" w:color="auto" w:frame="1"/>
              </w:rPr>
              <w:t xml:space="preserve"> της 31.1.2019, σ. 74</w:t>
            </w:r>
          </w:p>
        </w:tc>
      </w:tr>
      <w:tr w:rsidR="00416E3D">
        <w:trPr>
          <w:trHeight w:val="273"/>
        </w:trPr>
        <w:tc>
          <w:tcPr>
            <w:tcW w:w="684" w:type="dxa"/>
          </w:tcPr>
          <w:p w:rsidR="00416E3D" w:rsidRDefault="0057067C">
            <w:pPr>
              <w:jc w:val="center"/>
              <w:rPr>
                <w:rFonts w:ascii="Times New Roman" w:hAnsi="Times New Roman" w:cs="Times New Roman"/>
                <w:noProof/>
                <w:sz w:val="20"/>
                <w:szCs w:val="20"/>
              </w:rPr>
            </w:pPr>
            <w:r>
              <w:rPr>
                <w:rFonts w:ascii="Times New Roman" w:hAnsi="Times New Roman"/>
                <w:noProof/>
                <w:sz w:val="20"/>
              </w:rPr>
              <w:t>17</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 xml:space="preserve">Κανονισμός (EE) 2019/126 σχετικά με την ίδρυση του Ευρωπαϊκού Οργανισμού για την Ασφάλεια και την Υγεία στην Εργασία (EU-OSHA) και την κατάργηση του κανονισμού (ΕΚ) αριθ. 2062/94 του Συμβουλίου </w:t>
            </w:r>
          </w:p>
        </w:tc>
        <w:tc>
          <w:tcPr>
            <w:tcW w:w="1559" w:type="dxa"/>
          </w:tcPr>
          <w:p w:rsidR="00416E3D" w:rsidRDefault="0057067C" w:rsidP="0057067C">
            <w:pPr>
              <w:spacing w:after="120"/>
              <w:rPr>
                <w:rFonts w:ascii="Times New Roman" w:hAnsi="Times New Roman" w:cs="Times New Roman"/>
                <w:noProof/>
                <w:sz w:val="20"/>
                <w:szCs w:val="20"/>
              </w:rPr>
            </w:pPr>
            <w:hyperlink r:id="rId30">
              <w:r>
                <w:rPr>
                  <w:rStyle w:val="Hyperlink"/>
                  <w:rFonts w:ascii="Times New Roman" w:hAnsi="Times New Roman"/>
                  <w:noProof/>
                  <w:sz w:val="20"/>
                  <w:bdr w:val="none" w:sz="0" w:space="0" w:color="auto" w:frame="1"/>
                </w:rPr>
                <w:t>ΕΕ L 30</w:t>
              </w:r>
            </w:hyperlink>
            <w:r>
              <w:rPr>
                <w:rStyle w:val="epname"/>
                <w:rFonts w:ascii="Times New Roman" w:hAnsi="Times New Roman"/>
                <w:noProof/>
                <w:sz w:val="20"/>
                <w:bdr w:val="none" w:sz="0" w:space="0" w:color="auto" w:frame="1"/>
              </w:rPr>
              <w:t xml:space="preserve"> της 31.1.2019, σ. 58</w:t>
            </w:r>
          </w:p>
        </w:tc>
      </w:tr>
      <w:tr w:rsidR="00416E3D">
        <w:trPr>
          <w:trHeight w:val="273"/>
        </w:trPr>
        <w:tc>
          <w:tcPr>
            <w:tcW w:w="684" w:type="dxa"/>
          </w:tcPr>
          <w:p w:rsidR="00416E3D" w:rsidRDefault="0057067C">
            <w:pPr>
              <w:jc w:val="center"/>
              <w:rPr>
                <w:rFonts w:ascii="Times New Roman" w:hAnsi="Times New Roman" w:cs="Times New Roman"/>
                <w:noProof/>
                <w:sz w:val="20"/>
                <w:szCs w:val="20"/>
              </w:rPr>
            </w:pPr>
            <w:r>
              <w:rPr>
                <w:rFonts w:ascii="Times New Roman" w:hAnsi="Times New Roman"/>
                <w:noProof/>
                <w:sz w:val="20"/>
              </w:rPr>
              <w:t>18</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Οδηγία (ΕΕ) 2019/130</w:t>
            </w:r>
            <w:r>
              <w:rPr>
                <w:rStyle w:val="epname"/>
                <w:rFonts w:ascii="Times New Roman" w:hAnsi="Times New Roman"/>
                <w:noProof/>
                <w:color w:val="505154"/>
                <w:sz w:val="20"/>
                <w:bdr w:val="none" w:sz="0" w:space="0" w:color="auto" w:frame="1"/>
              </w:rPr>
              <w:t xml:space="preserve"> </w:t>
            </w:r>
            <w:r>
              <w:rPr>
                <w:rFonts w:ascii="Times New Roman" w:hAnsi="Times New Roman"/>
                <w:noProof/>
                <w:sz w:val="20"/>
              </w:rPr>
              <w:t>για την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w:t>
            </w:r>
            <w:r>
              <w:rPr>
                <w:rFonts w:ascii="Times New Roman" w:hAnsi="Times New Roman"/>
                <w:noProof/>
                <w:sz w:val="20"/>
              </w:rPr>
              <w:t>ντες κατά την εργασία</w:t>
            </w:r>
          </w:p>
        </w:tc>
        <w:tc>
          <w:tcPr>
            <w:tcW w:w="1559" w:type="dxa"/>
          </w:tcPr>
          <w:p w:rsidR="00416E3D" w:rsidRDefault="0057067C" w:rsidP="0057067C">
            <w:pPr>
              <w:spacing w:after="120"/>
              <w:rPr>
                <w:rFonts w:ascii="Times New Roman" w:hAnsi="Times New Roman" w:cs="Times New Roman"/>
                <w:noProof/>
                <w:sz w:val="20"/>
                <w:szCs w:val="20"/>
              </w:rPr>
            </w:pPr>
            <w:hyperlink r:id="rId31">
              <w:r>
                <w:rPr>
                  <w:rStyle w:val="Hyperlink"/>
                  <w:rFonts w:ascii="Times New Roman" w:hAnsi="Times New Roman"/>
                  <w:noProof/>
                  <w:sz w:val="20"/>
                  <w:bdr w:val="none" w:sz="0" w:space="0" w:color="auto" w:frame="1"/>
                </w:rPr>
                <w:t>ΕΕ L 30</w:t>
              </w:r>
            </w:hyperlink>
            <w:r>
              <w:rPr>
                <w:rStyle w:val="epname"/>
                <w:rFonts w:ascii="Times New Roman" w:hAnsi="Times New Roman"/>
                <w:noProof/>
                <w:sz w:val="20"/>
                <w:bdr w:val="none" w:sz="0" w:space="0" w:color="auto" w:frame="1"/>
              </w:rPr>
              <w:t xml:space="preserve"> της 31.1.2019, σ. 112</w:t>
            </w:r>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19</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 xml:space="preserve">Πρόταση οδηγίας για την προσέγγιση των νομοθετικών, κανονιστικών και διοικητικών διατάξεων των κρατών μελών </w:t>
            </w:r>
            <w:r>
              <w:rPr>
                <w:rFonts w:ascii="Times New Roman" w:hAnsi="Times New Roman"/>
                <w:noProof/>
                <w:sz w:val="20"/>
              </w:rPr>
              <w:t>όσον αφορά τις απαιτήσεις προσβασιμότητας για τα προϊόντα και τις υπηρεσίες</w:t>
            </w:r>
          </w:p>
        </w:tc>
        <w:tc>
          <w:tcPr>
            <w:tcW w:w="1559" w:type="dxa"/>
            <w:vAlign w:val="center"/>
          </w:tcPr>
          <w:p w:rsidR="00416E3D" w:rsidRDefault="0057067C" w:rsidP="0057067C">
            <w:pPr>
              <w:pStyle w:val="Default"/>
              <w:spacing w:after="120"/>
              <w:jc w:val="both"/>
              <w:rPr>
                <w:rFonts w:ascii="Times New Roman" w:hAnsi="Times New Roman" w:cs="Times New Roman"/>
                <w:noProof/>
                <w:sz w:val="20"/>
                <w:szCs w:val="20"/>
              </w:rPr>
            </w:pPr>
            <w:hyperlink r:id="rId32">
              <w:r>
                <w:rPr>
                  <w:rStyle w:val="Hyperlink"/>
                  <w:rFonts w:ascii="Times New Roman" w:hAnsi="Times New Roman"/>
                  <w:noProof/>
                  <w:sz w:val="20"/>
                </w:rPr>
                <w:t>COM(2015) 615</w:t>
              </w:r>
            </w:hyperlink>
            <w:r>
              <w:rPr>
                <w:rFonts w:ascii="Times New Roman" w:hAnsi="Times New Roman"/>
                <w:noProof/>
                <w:sz w:val="20"/>
              </w:rPr>
              <w:t xml:space="preserve"> </w:t>
            </w:r>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20</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 xml:space="preserve">Πρόταση κανονισμού σχετικά με την τροποποίηση του κανονισμού (ΕΚ) αριθ. </w:t>
            </w:r>
            <w:r>
              <w:rPr>
                <w:rFonts w:ascii="Times New Roman" w:hAnsi="Times New Roman"/>
                <w:noProof/>
                <w:sz w:val="20"/>
              </w:rPr>
              <w:t>883/2004 για τον συντονισμό των συστημάτων κοινωνικής ασφάλειας και του κανονισμού (ΕΚ) αριθ. 987/2009 για καθορισμό της διαδικασίας εφαρμογής του κανονισμού (ΕΚ) αριθ. 883/2004</w:t>
            </w:r>
          </w:p>
        </w:tc>
        <w:tc>
          <w:tcPr>
            <w:tcW w:w="1559" w:type="dxa"/>
            <w:vAlign w:val="center"/>
          </w:tcPr>
          <w:p w:rsidR="00416E3D" w:rsidRDefault="0057067C" w:rsidP="0057067C">
            <w:pPr>
              <w:pStyle w:val="Default"/>
              <w:spacing w:after="120"/>
              <w:jc w:val="both"/>
              <w:rPr>
                <w:rFonts w:ascii="Times New Roman" w:hAnsi="Times New Roman" w:cs="Times New Roman"/>
                <w:noProof/>
                <w:sz w:val="20"/>
                <w:szCs w:val="20"/>
              </w:rPr>
            </w:pPr>
            <w:hyperlink r:id="rId33">
              <w:r>
                <w:rPr>
                  <w:rFonts w:ascii="Times New Roman" w:hAnsi="Times New Roman"/>
                  <w:noProof/>
                  <w:color w:val="0000FF"/>
                  <w:sz w:val="20"/>
                  <w:u w:val="single"/>
                </w:rPr>
                <w:t>COM(2016) 815</w:t>
              </w:r>
            </w:hyperlink>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21</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Πρόταση οδηγίας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p>
        </w:tc>
        <w:tc>
          <w:tcPr>
            <w:tcW w:w="1559" w:type="dxa"/>
            <w:vAlign w:val="center"/>
          </w:tcPr>
          <w:p w:rsidR="00416E3D" w:rsidRDefault="0057067C" w:rsidP="0057067C">
            <w:pPr>
              <w:pStyle w:val="Default"/>
              <w:spacing w:after="120"/>
              <w:jc w:val="both"/>
              <w:rPr>
                <w:rFonts w:ascii="Times New Roman" w:hAnsi="Times New Roman" w:cs="Times New Roman"/>
                <w:noProof/>
                <w:sz w:val="20"/>
                <w:szCs w:val="20"/>
              </w:rPr>
            </w:pPr>
            <w:hyperlink r:id="rId34">
              <w:r>
                <w:rPr>
                  <w:rStyle w:val="Hyperlink"/>
                  <w:rFonts w:ascii="Times New Roman" w:hAnsi="Times New Roman"/>
                  <w:noProof/>
                  <w:sz w:val="20"/>
                </w:rPr>
                <w:t>COM(2017) 253</w:t>
              </w:r>
            </w:hyperlink>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22</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Πρόταση οδηγίας του Ευρωπαϊκού Κοινοβουλίου και του Συμβουλίου για διαφανείς και προβλέψιμους όρους εργασίας στην Ευρωπαϊκή Ένωσης</w:t>
            </w:r>
          </w:p>
        </w:tc>
        <w:tc>
          <w:tcPr>
            <w:tcW w:w="1559" w:type="dxa"/>
            <w:vAlign w:val="center"/>
          </w:tcPr>
          <w:p w:rsidR="00416E3D" w:rsidRDefault="0057067C" w:rsidP="0057067C">
            <w:pPr>
              <w:pStyle w:val="Default"/>
              <w:spacing w:after="120"/>
              <w:jc w:val="both"/>
              <w:rPr>
                <w:rFonts w:ascii="Times New Roman" w:hAnsi="Times New Roman" w:cs="Times New Roman"/>
                <w:noProof/>
                <w:sz w:val="20"/>
                <w:szCs w:val="20"/>
              </w:rPr>
            </w:pPr>
            <w:hyperlink r:id="rId35">
              <w:r>
                <w:rPr>
                  <w:rStyle w:val="Hyperlink"/>
                  <w:rFonts w:ascii="Times New Roman" w:hAnsi="Times New Roman"/>
                  <w:noProof/>
                  <w:sz w:val="20"/>
                </w:rPr>
                <w:t>COM(2017) 797</w:t>
              </w:r>
            </w:hyperlink>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23</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Πρόταση κανονισμού του Ευρωπαϊκού Κοινοβουλίου και Συμβουλίου για την ίδρυση Ευρωπαϊκής Αρχής Εργασίας</w:t>
            </w:r>
          </w:p>
        </w:tc>
        <w:tc>
          <w:tcPr>
            <w:tcW w:w="1559" w:type="dxa"/>
            <w:vAlign w:val="center"/>
          </w:tcPr>
          <w:p w:rsidR="00416E3D" w:rsidRDefault="0057067C" w:rsidP="0057067C">
            <w:pPr>
              <w:spacing w:after="120"/>
              <w:jc w:val="both"/>
              <w:rPr>
                <w:rFonts w:ascii="Times New Roman" w:hAnsi="Times New Roman" w:cs="Times New Roman"/>
                <w:noProof/>
                <w:sz w:val="20"/>
                <w:szCs w:val="20"/>
              </w:rPr>
            </w:pPr>
            <w:hyperlink r:id="rId36">
              <w:r>
                <w:rPr>
                  <w:rStyle w:val="Hyperlink"/>
                  <w:rFonts w:ascii="Times New Roman" w:hAnsi="Times New Roman"/>
                  <w:noProof/>
                  <w:sz w:val="20"/>
                </w:rPr>
                <w:t>COM(2018) 131</w:t>
              </w:r>
            </w:hyperlink>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24</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Πρόταση σύστασης σχετικά με την πρόσβαση στην κοινωνική προστασία για τους εργαζομένους και τους αυτοαπασχολουμένους</w:t>
            </w:r>
          </w:p>
        </w:tc>
        <w:tc>
          <w:tcPr>
            <w:tcW w:w="1559" w:type="dxa"/>
            <w:vAlign w:val="center"/>
          </w:tcPr>
          <w:p w:rsidR="00416E3D" w:rsidRDefault="0057067C" w:rsidP="0057067C">
            <w:pPr>
              <w:pStyle w:val="Default"/>
              <w:spacing w:after="120"/>
              <w:jc w:val="both"/>
              <w:rPr>
                <w:rFonts w:ascii="Times New Roman" w:hAnsi="Times New Roman" w:cs="Times New Roman"/>
                <w:noProof/>
                <w:sz w:val="20"/>
                <w:szCs w:val="20"/>
              </w:rPr>
            </w:pPr>
            <w:hyperlink r:id="rId37">
              <w:r>
                <w:rPr>
                  <w:rStyle w:val="Hyperlink"/>
                  <w:rFonts w:ascii="Times New Roman" w:hAnsi="Times New Roman"/>
                  <w:noProof/>
                  <w:sz w:val="20"/>
                </w:rPr>
                <w:t>COM(2018) 132</w:t>
              </w:r>
            </w:hyperlink>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25</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Πρόταση οδηγίας για την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w:t>
            </w:r>
          </w:p>
        </w:tc>
        <w:tc>
          <w:tcPr>
            <w:tcW w:w="1559" w:type="dxa"/>
            <w:vAlign w:val="center"/>
          </w:tcPr>
          <w:p w:rsidR="00416E3D" w:rsidRDefault="0057067C" w:rsidP="0057067C">
            <w:pPr>
              <w:pStyle w:val="Default"/>
              <w:spacing w:after="120"/>
              <w:jc w:val="both"/>
              <w:rPr>
                <w:rFonts w:ascii="Times New Roman" w:hAnsi="Times New Roman" w:cs="Times New Roman"/>
                <w:noProof/>
                <w:sz w:val="20"/>
                <w:szCs w:val="20"/>
              </w:rPr>
            </w:pPr>
            <w:hyperlink r:id="rId38">
              <w:r>
                <w:rPr>
                  <w:rStyle w:val="Hyperlink"/>
                  <w:rFonts w:ascii="Times New Roman" w:hAnsi="Times New Roman"/>
                  <w:noProof/>
                  <w:sz w:val="20"/>
                </w:rPr>
                <w:t>COM(2018) 171</w:t>
              </w:r>
            </w:hyperlink>
          </w:p>
        </w:tc>
      </w:tr>
      <w:tr w:rsidR="00416E3D">
        <w:trPr>
          <w:trHeight w:val="259"/>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t>26</w:t>
            </w:r>
          </w:p>
        </w:tc>
        <w:tc>
          <w:tcPr>
            <w:tcW w:w="6937" w:type="dxa"/>
          </w:tcPr>
          <w:p w:rsidR="00416E3D" w:rsidRDefault="0057067C" w:rsidP="0057067C">
            <w:pPr>
              <w:spacing w:after="120"/>
              <w:jc w:val="both"/>
              <w:rPr>
                <w:rFonts w:ascii="Times New Roman" w:hAnsi="Times New Roman" w:cs="Times New Roman"/>
                <w:noProof/>
                <w:sz w:val="20"/>
                <w:szCs w:val="20"/>
              </w:rPr>
            </w:pPr>
            <w:r>
              <w:rPr>
                <w:rFonts w:ascii="Times New Roman" w:hAnsi="Times New Roman"/>
                <w:noProof/>
                <w:sz w:val="20"/>
              </w:rPr>
              <w:t>Πρόταση κανονισμού για το Ευρωπαϊκό Ταμείο Προσαρμογής στην Παγκοσμιοποίηση (ΕΤΠ)</w:t>
            </w:r>
          </w:p>
        </w:tc>
        <w:tc>
          <w:tcPr>
            <w:tcW w:w="1559" w:type="dxa"/>
            <w:vAlign w:val="center"/>
          </w:tcPr>
          <w:p w:rsidR="00416E3D" w:rsidRDefault="0057067C" w:rsidP="0057067C">
            <w:pPr>
              <w:pStyle w:val="Default"/>
              <w:spacing w:after="120"/>
              <w:jc w:val="both"/>
              <w:rPr>
                <w:rFonts w:ascii="Times New Roman" w:hAnsi="Times New Roman" w:cs="Times New Roman"/>
                <w:noProof/>
                <w:sz w:val="20"/>
                <w:szCs w:val="20"/>
              </w:rPr>
            </w:pPr>
            <w:hyperlink r:id="rId39">
              <w:r>
                <w:rPr>
                  <w:rStyle w:val="Hyperlink"/>
                  <w:rFonts w:ascii="Times New Roman" w:hAnsi="Times New Roman"/>
                  <w:noProof/>
                  <w:sz w:val="20"/>
                </w:rPr>
                <w:t>COM(2018) 380</w:t>
              </w:r>
            </w:hyperlink>
          </w:p>
        </w:tc>
      </w:tr>
      <w:tr w:rsidR="00416E3D">
        <w:trPr>
          <w:trHeight w:val="273"/>
        </w:trPr>
        <w:tc>
          <w:tcPr>
            <w:tcW w:w="684" w:type="dxa"/>
            <w:vAlign w:val="center"/>
          </w:tcPr>
          <w:p w:rsidR="00416E3D" w:rsidRDefault="0057067C">
            <w:pPr>
              <w:jc w:val="center"/>
              <w:rPr>
                <w:rFonts w:ascii="Times New Roman" w:hAnsi="Times New Roman" w:cs="Times New Roman"/>
                <w:noProof/>
                <w:sz w:val="20"/>
                <w:szCs w:val="20"/>
              </w:rPr>
            </w:pPr>
            <w:r>
              <w:rPr>
                <w:rFonts w:ascii="Times New Roman" w:hAnsi="Times New Roman"/>
                <w:noProof/>
                <w:sz w:val="20"/>
              </w:rPr>
              <w:lastRenderedPageBreak/>
              <w:t>27</w:t>
            </w:r>
          </w:p>
        </w:tc>
        <w:tc>
          <w:tcPr>
            <w:tcW w:w="6937" w:type="dxa"/>
          </w:tcPr>
          <w:p w:rsidR="00416E3D" w:rsidRDefault="0057067C">
            <w:pPr>
              <w:jc w:val="both"/>
              <w:rPr>
                <w:rFonts w:ascii="Times New Roman" w:hAnsi="Times New Roman" w:cs="Times New Roman"/>
                <w:noProof/>
                <w:sz w:val="20"/>
                <w:szCs w:val="20"/>
              </w:rPr>
            </w:pPr>
            <w:r>
              <w:rPr>
                <w:rFonts w:ascii="Times New Roman" w:hAnsi="Times New Roman"/>
                <w:noProof/>
                <w:sz w:val="20"/>
              </w:rPr>
              <w:t>Πρόταση κανονισμού για το Ευρωπαϊκό Κοινωνικό Ταμείο+ (ΕΚΤ+)</w:t>
            </w:r>
          </w:p>
        </w:tc>
        <w:tc>
          <w:tcPr>
            <w:tcW w:w="1559" w:type="dxa"/>
            <w:vAlign w:val="center"/>
          </w:tcPr>
          <w:p w:rsidR="00416E3D" w:rsidRDefault="0057067C">
            <w:pPr>
              <w:jc w:val="both"/>
              <w:rPr>
                <w:rFonts w:ascii="Times New Roman" w:hAnsi="Times New Roman" w:cs="Times New Roman"/>
                <w:noProof/>
                <w:sz w:val="20"/>
                <w:szCs w:val="20"/>
              </w:rPr>
            </w:pPr>
            <w:hyperlink r:id="rId40">
              <w:r>
                <w:rPr>
                  <w:rStyle w:val="Hyperlink"/>
                  <w:rFonts w:ascii="Times New Roman" w:hAnsi="Times New Roman"/>
                  <w:noProof/>
                  <w:sz w:val="20"/>
                </w:rPr>
                <w:t>COM(2018) 382</w:t>
              </w:r>
            </w:hyperlink>
          </w:p>
        </w:tc>
      </w:tr>
    </w:tbl>
    <w:p w:rsidR="00416E3D" w:rsidRDefault="00416E3D">
      <w:pPr>
        <w:rPr>
          <w:rFonts w:ascii="Times New Roman" w:hAnsi="Times New Roman" w:cs="Times New Roman"/>
          <w:noProof/>
          <w:sz w:val="24"/>
          <w:szCs w:val="24"/>
        </w:rPr>
      </w:pPr>
    </w:p>
    <w:sectPr w:rsidR="00416E3D">
      <w:headerReference w:type="even" r:id="rId41"/>
      <w:headerReference w:type="default" r:id="rId42"/>
      <w:footerReference w:type="even" r:id="rId43"/>
      <w:footerReference w:type="default" r:id="rId44"/>
      <w:headerReference w:type="first" r:id="rId45"/>
      <w:footerReference w:type="first" r:id="rId46"/>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3D" w:rsidRDefault="0057067C">
      <w:pPr>
        <w:spacing w:after="0" w:line="240" w:lineRule="auto"/>
      </w:pPr>
      <w:r>
        <w:separator/>
      </w:r>
    </w:p>
  </w:endnote>
  <w:endnote w:type="continuationSeparator" w:id="0">
    <w:p w:rsidR="00416E3D" w:rsidRDefault="0057067C">
      <w:pPr>
        <w:spacing w:after="0" w:line="240" w:lineRule="auto"/>
      </w:pPr>
      <w:r>
        <w:continuationSeparator/>
      </w:r>
    </w:p>
  </w:endnote>
  <w:endnote w:type="continuationNotice" w:id="1">
    <w:p w:rsidR="00416E3D" w:rsidRDefault="00416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13">
    <w:altName w:val="MS Gothic"/>
    <w:charset w:val="8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57067C">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786329"/>
      <w:docPartObj>
        <w:docPartGallery w:val="Page Numbers (Bottom of Page)"/>
        <w:docPartUnique/>
      </w:docPartObj>
    </w:sdtPr>
    <w:sdtEndPr>
      <w:rPr>
        <w:rFonts w:ascii="Times New Roman" w:hAnsi="Times New Roman" w:cs="Times New Roman"/>
        <w:noProof/>
      </w:rPr>
    </w:sdtEndPr>
    <w:sdtContent>
      <w:p w:rsidR="00416E3D" w:rsidRDefault="0057067C">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rsidR="00416E3D" w:rsidRDefault="00416E3D">
    <w:pPr>
      <w:pStyle w:val="FooterCoverPage"/>
      <w:rPr>
        <w:rFonts w:ascii="Arial" w:hAnsi="Arial" w:cs="Arial"/>
        <w:b/>
        <w:sz w:val="4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FooterCover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3D" w:rsidRDefault="0057067C">
      <w:pPr>
        <w:spacing w:after="0" w:line="240" w:lineRule="auto"/>
      </w:pPr>
      <w:r>
        <w:separator/>
      </w:r>
    </w:p>
  </w:footnote>
  <w:footnote w:type="continuationSeparator" w:id="0">
    <w:p w:rsidR="00416E3D" w:rsidRDefault="0057067C">
      <w:pPr>
        <w:spacing w:after="0" w:line="240" w:lineRule="auto"/>
      </w:pPr>
      <w:r>
        <w:continuationSeparator/>
      </w:r>
    </w:p>
  </w:footnote>
  <w:footnote w:type="continuationNotice" w:id="1">
    <w:p w:rsidR="00416E3D" w:rsidRDefault="00416E3D">
      <w:pPr>
        <w:spacing w:after="0" w:line="240" w:lineRule="auto"/>
      </w:pPr>
    </w:p>
  </w:footnote>
  <w:footnote w:id="2">
    <w:p w:rsidR="00416E3D" w:rsidRDefault="0057067C">
      <w:pPr>
        <w:pStyle w:val="footnotetext1"/>
        <w:spacing w:after="0" w:line="240" w:lineRule="auto"/>
        <w:ind w:left="284" w:hanging="284"/>
        <w:jc w:val="both"/>
        <w:rPr>
          <w:rFonts w:ascii="Times New Roman" w:eastAsiaTheme="minorHAnsi" w:hAnsi="Times New Roman" w:cs="Times New Roman"/>
          <w:lang w:eastAsia="en-US"/>
        </w:rPr>
      </w:pPr>
      <w:r>
        <w:rPr>
          <w:rStyle w:val="FootnoteReference"/>
          <w:rFonts w:ascii="Times New Roman" w:hAnsi="Times New Roman"/>
        </w:rPr>
        <w:footnoteRef/>
      </w:r>
      <w:r>
        <w:rPr>
          <w:rFonts w:ascii="Times New Roman" w:hAnsi="Times New Roman"/>
        </w:rPr>
        <w:t xml:space="preserve"> </w:t>
      </w:r>
      <w:r>
        <w:tab/>
      </w:r>
      <w:r>
        <w:rPr>
          <w:rFonts w:ascii="Times New Roman" w:eastAsiaTheme="minorHAnsi" w:hAnsi="Times New Roman"/>
        </w:rPr>
        <w:t xml:space="preserve">Ο </w:t>
      </w:r>
      <w:r>
        <w:rPr>
          <w:rFonts w:ascii="Times New Roman" w:eastAsiaTheme="minorHAnsi" w:hAnsi="Times New Roman"/>
        </w:rPr>
        <w:t>τομέας της κοινωνικής ασφάλισης και της κοινωνικής προστασίας των εργαζομένων [άρθρο 153 παράγραφος 1 στοιχείο γ) της ΣΛΕΕ] επικαλύπτει τον τομέα του εκσυγχρονισμού των συστημάτων κοινωνικής προστασίας [άρθρο 153 παράγραφος 1 στοιχείο ια) της ΣΛΕΕ]. Στις π</w:t>
      </w:r>
      <w:r>
        <w:rPr>
          <w:rFonts w:ascii="Times New Roman" w:eastAsiaTheme="minorHAnsi" w:hAnsi="Times New Roman"/>
        </w:rPr>
        <w:t>εριπτώσεις αυτές, το στοιχείο ια) ορίζει ότι εφαρμόζεται με την επιφύλαξη του στοιχείου 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D" w:rsidRDefault="00416E3D">
    <w:pPr>
      <w:pStyle w:val="HeaderCoverPa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
    <w:docVar w:name="LW_ANNEX_NBR_FIRST" w:val="1"/>
    <w:docVar w:name="LW_ANNEX_NBR_LAST" w:val="2"/>
    <w:docVar w:name="LW_ANNEX_UNIQUE" w:val="0"/>
    <w:docVar w:name="LW_CORRIGENDUM" w:val="&lt;UNUSED&gt;"/>
    <w:docVar w:name="LW_COVERPAGE_EXISTS" w:val="True"/>
    <w:docVar w:name="LW_COVERPAGE_GUID" w:val="ECD93DB8-AA92-417F-8679-D7E840868C02"/>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Στρασβούργο, "/>
    <w:docVar w:name="LW_EMISSION_SUFFIX" w:val="&lt;EMPTY&gt;"/>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13?\u960?\u959?\u964?\u949?\u955?\u949?\u963?\u956?\u945?\u964?\u953?\u954?\u972?\u964?\u949?\u961?\u951? \u955?\u942?\u968?\u951? \u945?\u960?\u959?\u966?\u940?\u963?\u949?\u969?\u957? \u963?\u964?\u951?\u957? \u954?\u959?\u953?\u957?\u969?\u957?\u953?\u954?\u942? \u960?\u959?\u955?\u953?\u964?\u953?\u954?\u942?: _x000b__x000b_\u928?\u961?\u959?\u963?\u948?\u953?\u959?\u961?\u953?\u963?\u956?\u972?\u962? \u964?\u959?\u956?\u941?\u969?\u957? \u947?\u953?\u945? \u949?\u957?\u953?\u963?\u967?\u965?\u956?\u941?\u957?\u951? \u956?\u949?\u964?\u940?\u946?\u945?\u963?\u951? \u963?\u964?\u951?\u957? \u968?\u951?\u966?\u959?\u966?\u959?\u961?\u943?\u945? \u956?\u949? \u949?\u953?\u948?\u953?\u954?\u942? \u960?\u955?\u949?\u953?\u959?\u968?\u951?\u966?\u943?\u945?_x000b_"/>
    <w:docVar w:name="LW_PART_NBR" w:val="&lt;UNUSED&gt;"/>
    <w:docVar w:name="LW_PART_NBR_TOTAL" w:val="&lt;UNUSED&gt;"/>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928?\u913?\u929?\u913?\u929?\u932?\u919?\u924?\u913?\u932?\u913?_x000b_"/>
    <w:docVar w:name="LW_TYPEACTEPRINCIPAL.CP" w:val="\u913?\u925?\u913?\u922?\u927?\u921?\u925?\u937?\u931?\u919?\u931? \u932?\u919?\u931? \u917?\u928?\u921?\u932?\u929?\u927?\u928?H\u931? \u928?\u929?\u927?\u931? \u932?\u927? \u917?\u933?\u929?\u937?\u928?\u913?\u938?\u922?\u927? \u922?\u927?\u921?\u925?\u927?\u914?\u927?\u933?\u923?\u921?\u927?, \u932?\u927? \u917?\u933?\u929?\u937?\u928?\u913?\u938?\u922?\u927? \u931?\u933?\u924?\u914?\u927?\u933?\u923?\u921?\u927?, \u932?\u927? \u931?\u933?\u924?\u914?\u927?\u933?\u923?\u921?\u927?, \u932?\u919?\u925? \u917?\u933?\u929?\u937?\u928?\u913?\u938?\u922?\u919? \u922?\u913?\u921? \u922?\u927?\u921?\u925?\u937?\u925?\u921?\u922?\u919? \u927?\u921?\u922?\u927?\u925?\u927?\u924?\u921?\u922?\u919? \u917?\u928?\u921?\u932?\u929?\u927?\u928?\u919? \u922?\u913?\u921? \u932?\u919?\u925? \u917?\u928?\u921?\u932?\u929?\u927?\u928?\u919? \u932?\u937?\u925? \u928?\u917?\u929?\u921?\u934?\u917?\u929?\u917?\u921?\u937?\u925?"/>
  </w:docVars>
  <w:rsids>
    <w:rsidRoot w:val="00416E3D"/>
    <w:rsid w:val="00416E3D"/>
    <w:rsid w:val="00570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CE41150-817A-4539-AE21-895F19CC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HeaderChar">
    <w:name w:val="Header Char"/>
    <w:basedOn w:val="DefaultParagraphFont"/>
    <w:link w:val="Header"/>
    <w:uiPriority w:val="99"/>
    <w:rPr>
      <w:rFonts w:ascii="Calibri" w:eastAsia="SimSun" w:hAnsi="Calibri" w:cs="font413"/>
      <w:lang w:eastAsia="el-GR"/>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rPr>
  </w:style>
  <w:style w:type="character" w:customStyle="1" w:styleId="FooterChar">
    <w:name w:val="Footer Char"/>
    <w:basedOn w:val="DefaultParagraphFont"/>
    <w:link w:val="Footer"/>
    <w:uiPriority w:val="99"/>
    <w:rPr>
      <w:rFonts w:ascii="Calibri" w:eastAsia="SimSun" w:hAnsi="Calibri" w:cs="font413"/>
      <w:lang w:eastAsia="el-G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el-GR"/>
    </w:rPr>
  </w:style>
  <w:style w:type="character" w:customStyle="1" w:styleId="epname">
    <w:name w:val="ep_nam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lex.europa.eu/legal-content/EL/ALL/?uri=OJ:L:2017:345:TOC" TargetMode="External"/><Relationship Id="rId26" Type="http://schemas.openxmlformats.org/officeDocument/2006/relationships/hyperlink" Target="https://eur-lex.europa.eu/legal-content/EL/ALL/?uri=OJ:L:2018:112:TOC" TargetMode="External"/><Relationship Id="rId39" Type="http://schemas.openxmlformats.org/officeDocument/2006/relationships/hyperlink" Target="https://eur-lex.europa.eu/legal-content/EL/HIS/?uri=CELEX:52018PC0380" TargetMode="External"/><Relationship Id="rId3" Type="http://schemas.openxmlformats.org/officeDocument/2006/relationships/settings" Target="settings.xml"/><Relationship Id="rId21" Type="http://schemas.openxmlformats.org/officeDocument/2006/relationships/hyperlink" Target="https://eur-lex.europa.eu/legal-content/EL/ALL/?uri=OJ:L:2017:025:TOC" TargetMode="External"/><Relationship Id="rId34" Type="http://schemas.openxmlformats.org/officeDocument/2006/relationships/hyperlink" Target="https://eur-lex.europa.eu/legal-content/EL/TXT/?uri=CELEX:52017PC0253"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s://eur-lex.europa.eu/legal-content/EL/ALL/?uri=OJ:L:2016:280:TOC" TargetMode="External"/><Relationship Id="rId25" Type="http://schemas.openxmlformats.org/officeDocument/2006/relationships/hyperlink" Target="https://eur-lex.europa.eu/legal-content/EL/ALL/?uri=OJ:C:2018:153:TOC" TargetMode="External"/><Relationship Id="rId33" Type="http://schemas.openxmlformats.org/officeDocument/2006/relationships/hyperlink" Target="https://eur-lex.europa.eu/legal-content/EL/TXT/?uri=CELEX:52016PC0815" TargetMode="External"/><Relationship Id="rId38" Type="http://schemas.openxmlformats.org/officeDocument/2006/relationships/hyperlink" Target="https://eur-lex.europa.eu/legal-content/EL/TXT/?uri=CELEX:52018PC0171"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eur-lex.europa.eu/legal-content/EL/ALL/?uri=OJ:L:2015:268:TOC" TargetMode="External"/><Relationship Id="rId20" Type="http://schemas.openxmlformats.org/officeDocument/2006/relationships/hyperlink" Target="https://eur-lex.europa.eu/legal-content/EL/ALL/?uri=OJ:C:2016:484:TOC" TargetMode="External"/><Relationship Id="rId29" Type="http://schemas.openxmlformats.org/officeDocument/2006/relationships/hyperlink" Target="https://eur-lex.europa.eu/legal-content/EL/TXT/?uri=OJ:L:2019:030:TOC"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ur-lex.europa.eu/legal-content/EL/ALL/?uri=OJ:L:2018:022:TOC" TargetMode="External"/><Relationship Id="rId32" Type="http://schemas.openxmlformats.org/officeDocument/2006/relationships/hyperlink" Target="https://eur-lex.europa.eu/legal-content/EL/TXT/?uri=CELEX:52015PC0615" TargetMode="External"/><Relationship Id="rId37" Type="http://schemas.openxmlformats.org/officeDocument/2006/relationships/hyperlink" Target="https://eur-lex.europa.eu/legal-content/EL/TXT/?uri=CELEX:52018DC0132" TargetMode="External"/><Relationship Id="rId40" Type="http://schemas.openxmlformats.org/officeDocument/2006/relationships/hyperlink" Target="https://eur-lex.europa.eu/legal-content/EL/TXT/?uri=CELEX:52018PC0382" TargetMode="Externa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eur-lex.europa.eu/legal-content/EL/ALL/?uri=OJ:C:2016:067:TOC" TargetMode="External"/><Relationship Id="rId23" Type="http://schemas.openxmlformats.org/officeDocument/2006/relationships/hyperlink" Target="https://eur-lex.europa.eu/legal-content/EL/ALL/?uri=OJ:L:2017:335:TOC" TargetMode="External"/><Relationship Id="rId28" Type="http://schemas.openxmlformats.org/officeDocument/2006/relationships/hyperlink" Target="https://eur-lex.europa.eu/legal-content/EL/TXT/?uri=OJ:L:2019:030:TOC" TargetMode="External"/><Relationship Id="rId36" Type="http://schemas.openxmlformats.org/officeDocument/2006/relationships/hyperlink" Target="https://eur-lex.europa.eu/legal-content/EL/TXT/?uri=CELEX:52018PC0131" TargetMode="External"/><Relationship Id="rId10" Type="http://schemas.openxmlformats.org/officeDocument/2006/relationships/footer" Target="footer1.xml"/><Relationship Id="rId19" Type="http://schemas.openxmlformats.org/officeDocument/2006/relationships/hyperlink" Target="https://eur-lex.europa.eu/legal-content/EL/ALL/?uri=OJ:C:2017:189:TOC" TargetMode="External"/><Relationship Id="rId31" Type="http://schemas.openxmlformats.org/officeDocument/2006/relationships/hyperlink" Target="https://eur-lex.europa.eu/legal-content/EL/TXT/?uri=OJ:L:2019:030:TOC"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ur-lex.europa.eu/legal-content/EL/ALL/?uri=OJ:L:2015:126:TOC" TargetMode="External"/><Relationship Id="rId22" Type="http://schemas.openxmlformats.org/officeDocument/2006/relationships/hyperlink" Target="https://eur-lex.europa.eu/legal-content/EL/TXT/?uri=OJ:L:2018:173:TOC" TargetMode="External"/><Relationship Id="rId27" Type="http://schemas.openxmlformats.org/officeDocument/2006/relationships/hyperlink" Target="https://eur-lex.europa.eu/legal-content/EL/TXT/?uri=uriserv:OJ.L_.2018.224.01.0004.01.ELL&amp;toc=OJ:L:2018:224:TOC" TargetMode="External"/><Relationship Id="rId30" Type="http://schemas.openxmlformats.org/officeDocument/2006/relationships/hyperlink" Target="https://eur-lex.europa.eu/legal-content/EL/TXT/?uri=OJ:L:2019:030:TOC" TargetMode="External"/><Relationship Id="rId35" Type="http://schemas.openxmlformats.org/officeDocument/2006/relationships/hyperlink" Target="https://eur-lex.europa.eu/legal-content/EL/TXT/?uri=CELEX:52017PC0797" TargetMode="External"/><Relationship Id="rId43" Type="http://schemas.openxmlformats.org/officeDocument/2006/relationships/footer" Target="footer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1955</Words>
  <Characters>12281</Characters>
  <Application>Microsoft Office Word</Application>
  <DocSecurity>0</DocSecurity>
  <Lines>323</Lines>
  <Paragraphs>195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 Marie Olga (EMPL)</dc:creator>
  <cp:keywords/>
  <dc:description/>
  <cp:lastModifiedBy>HEILEMANN Stefanie (SG)</cp:lastModifiedBy>
  <cp:revision>12</cp:revision>
  <dcterms:created xsi:type="dcterms:W3CDTF">2019-04-11T15:13:00Z</dcterms:created>
  <dcterms:modified xsi:type="dcterms:W3CDTF">2019-04-24T09:22:00Z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