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4B24BED-50C0-42DD-B231-8616EE0D4A2C" style="width:450.85pt;height:433.7pt">
            <v:imagedata r:id="rId8" o:title=""/>
          </v:shape>
        </w:pict>
      </w:r>
    </w:p>
    <w:bookmarkEnd w:id="0"/>
    <w:p>
      <w:pPr>
        <w:rPr>
          <w:rFonts w:ascii="Times New Roman" w:hAnsi="Times New Roman" w:cs="Times New Roman"/>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priedas. </w:t>
      </w:r>
      <w:r>
        <w:rPr>
          <w:noProof/>
        </w:rPr>
        <w:tab/>
      </w:r>
      <w:r>
        <w:rPr>
          <w:rFonts w:ascii="Times New Roman" w:hAnsi="Times New Roman"/>
          <w:b/>
          <w:noProof/>
          <w:sz w:val="24"/>
        </w:rPr>
        <w:t>Praėjusių laikotarpių apžvalga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sutartimis Europos Sąjungai pavesta socialinė misija. Taip buvo nuo pat pradžių, nors konkretūs ES teisės aktai buvo rengiami laipsniškai: socialinė politika plačiąja prasme prasidėjo kaip priemonė rinkos integracijai užtikrinti ir išsivystė taip, kad socialiniai rezultatai patys savaime tapo priemonėmis. Per 60 Europos integracijos metų socialinė politika tapo vis svarbesnė ES ir tai atspindėta kiekvienoje Sutarties peržiūroje.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Pagal </w:t>
      </w:r>
      <w:r>
        <w:rPr>
          <w:rFonts w:ascii="Times New Roman" w:hAnsi="Times New Roman"/>
          <w:b/>
          <w:noProof/>
          <w:sz w:val="24"/>
        </w:rPr>
        <w:t>Romos sutartį</w:t>
      </w:r>
      <w:r>
        <w:rPr>
          <w:rFonts w:ascii="Times New Roman" w:hAnsi="Times New Roman"/>
          <w:noProof/>
          <w:sz w:val="24"/>
        </w:rPr>
        <w:t xml:space="preserve"> (1957 m.) didžioji dauguma įgaliojimų socialinės politikos srityje nebuvo Bendrijos veiksmų dalis; tie veiksmai apėmė tik valstybių narių glaudaus bendradarbiavimo skatinimą pasitelkiant Europos socialinį fondą. Komisija galėjo skelbti nuomones apie sveikatą ir saugą darbe. Sutartyje nustatyta darbuotojų judėjimo laisvė ir įpareigojimas priimti priemones, skirtas socialinės apsaugos koordinavimui. Šiose srityse sprendimai buvo priimami vienbalsiai Taryboje, o Parlamentui neteko jokio vaidmens.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Socialinė politika vystėsi 1986 m. priėmus </w:t>
      </w:r>
      <w:r>
        <w:rPr>
          <w:rFonts w:ascii="Times New Roman" w:hAnsi="Times New Roman"/>
          <w:b/>
          <w:noProof/>
          <w:sz w:val="24"/>
        </w:rPr>
        <w:t>Suvestinį Europos aktą</w:t>
      </w:r>
      <w:r>
        <w:rPr>
          <w:rFonts w:ascii="Times New Roman" w:hAnsi="Times New Roman"/>
          <w:noProof/>
          <w:sz w:val="24"/>
        </w:rPr>
        <w:t>; juo buvo sukurta galimybė nustatyti būtiniausius darbuotojų sveikatos ir saugos reikalavimus, dėl kurių Taryba priėmė sprendimą kvalifikuota balsų dauguma ir buvo bendradarbiaujama su Parlamentu.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 veiksmų socialinėje politikoje sritys išplėstos 1992 m. </w:t>
      </w:r>
      <w:r>
        <w:rPr>
          <w:rFonts w:ascii="Times New Roman" w:hAnsi="Times New Roman"/>
          <w:b/>
          <w:noProof/>
          <w:sz w:val="24"/>
        </w:rPr>
        <w:t>Mastrichto sutarties</w:t>
      </w:r>
      <w:r>
        <w:rPr>
          <w:rFonts w:ascii="Times New Roman" w:hAnsi="Times New Roman"/>
          <w:noProof/>
          <w:sz w:val="24"/>
        </w:rPr>
        <w:t xml:space="preserve"> socialiniame protokole ir nuo to laiko iš esmės nekito. Socialiniame protokole nustatyta, kad </w:t>
      </w:r>
      <w:r>
        <w:rPr>
          <w:rFonts w:ascii="Times New Roman" w:hAnsi="Times New Roman"/>
          <w:b/>
          <w:noProof/>
          <w:sz w:val="24"/>
        </w:rPr>
        <w:t>kvalifikuota balsų dauguma</w:t>
      </w:r>
      <w:r>
        <w:rPr>
          <w:rFonts w:ascii="Times New Roman" w:hAnsi="Times New Roman"/>
          <w:noProof/>
          <w:sz w:val="24"/>
        </w:rPr>
        <w:t xml:space="preserve"> priimami sprendimai dėl:</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darbo sąlygų,</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darbuotojų informavimo ir konsultavimo,</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moterų ir vyrų lygių galimybių ir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iš darbo rinkos išstumtų asmenų integracijos.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Jame nustatyta, kad Taryba turi balsuoti </w:t>
      </w:r>
      <w:r>
        <w:rPr>
          <w:rFonts w:ascii="Times New Roman" w:hAnsi="Times New Roman"/>
          <w:b/>
          <w:noProof/>
          <w:sz w:val="24"/>
        </w:rPr>
        <w:t>vienbalsiai</w:t>
      </w:r>
      <w:r>
        <w:rPr>
          <w:rFonts w:ascii="Times New Roman" w:hAnsi="Times New Roman"/>
          <w:noProof/>
          <w:sz w:val="24"/>
        </w:rPr>
        <w:t xml:space="preserve"> dėl klausimų, susijusių su:</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darbuotojų socialiniu draudimu ir socialine apsauga,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atleidimu,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atstovavimu darbuotojų ir darbdavių interesams bei šių interesų ir bendrų sprendimų kolektyviniu gynimu, ir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 teritorijoje tesėtai gyvenančių trečiųjų šalių piliečių įdarbinimo sąlygomis.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Pastarosiose srityse turėjo būti konsultuojamasi su Parlamentu (dabar tai yra speciali teisėkūros procedūra). Į jas konkrečiai </w:t>
      </w:r>
      <w:r>
        <w:rPr>
          <w:rFonts w:ascii="Times New Roman" w:hAnsi="Times New Roman"/>
          <w:b/>
          <w:noProof/>
          <w:sz w:val="24"/>
        </w:rPr>
        <w:t>neįtraukta</w:t>
      </w:r>
      <w:r>
        <w:rPr>
          <w:rFonts w:ascii="Times New Roman" w:hAnsi="Times New Roman"/>
          <w:noProof/>
          <w:sz w:val="24"/>
        </w:rPr>
        <w:t>:</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darbo užmokestis,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teisė jungtis į asociacijas,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teisė streikuoti ir </w:t>
      </w:r>
    </w:p>
    <w:p>
      <w:pPr>
        <w:pStyle w:val="ListParagraph"/>
        <w:numPr>
          <w:ilvl w:val="0"/>
          <w:numId w:val="1"/>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teisė imtis lokautų.</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1997 m. šis protokolas buvo integruotas į </w:t>
      </w:r>
      <w:r>
        <w:rPr>
          <w:rFonts w:ascii="Times New Roman" w:hAnsi="Times New Roman"/>
          <w:b/>
          <w:noProof/>
          <w:sz w:val="24"/>
        </w:rPr>
        <w:t>Amsterdamo sutartį</w:t>
      </w:r>
      <w:r>
        <w:rPr>
          <w:rFonts w:ascii="Times New Roman" w:hAnsi="Times New Roman"/>
          <w:noProof/>
          <w:sz w:val="24"/>
        </w:rPr>
        <w:t xml:space="preserve"> ir nuo tada nuostatos taikomos visoms valstybėms narėms ir sudaro SESV dabartinės X antraštinės dalies pagrindą. Taip buvo sukurtas naujas kovos su diskriminacija teisinis pagrindas, kuris ir dabar yra nepakitęs: Europos Bendrijos steigimo sutarties 13 straipsnyje (dabartinėje SESV 19 </w:t>
      </w:r>
      <w:r>
        <w:rPr>
          <w:rFonts w:ascii="Times New Roman" w:hAnsi="Times New Roman"/>
          <w:noProof/>
          <w:sz w:val="24"/>
        </w:rPr>
        <w:lastRenderedPageBreak/>
        <w:t>straipsnio 1 dalyje) nustatyta, kad Taryba, remdamasi Komisijos pasiūlymu ir pasikonsultavusi su Parlamentu, gali vieningai imtis atitinkamų veiksmų, siekdama kovoti su diskriminacija dėl lyties, rasinės arba etninės kilmės, religijos ar tikėjimo, negalios arba seksualinės orientacijos.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2001 m. </w:t>
      </w:r>
      <w:r>
        <w:rPr>
          <w:rFonts w:ascii="Times New Roman" w:hAnsi="Times New Roman"/>
          <w:b/>
          <w:noProof/>
          <w:sz w:val="24"/>
        </w:rPr>
        <w:t>Nicos sutartimi</w:t>
      </w:r>
      <w:r>
        <w:rPr>
          <w:rFonts w:ascii="Times New Roman" w:hAnsi="Times New Roman"/>
          <w:noProof/>
          <w:sz w:val="24"/>
        </w:rPr>
        <w:t xml:space="preserve"> į jos 137 straipsnį (dabar SESV 153 straipsnio 1 dalies j ir k punktai) įtrauktos dvi naujos bendradarbiavimo sritys, o Sąjungai suteikti įgaliojimai remti ir papildyti valstybių narių veiklą šiose srityse:</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kova su socialine atskirtimi ir </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socialinės apsaugos sistemų modernizavimas.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Joje nesuteikti įgaliojimai priimti direktyvas, kuriomis nustatomi būtiniausi standartai šiose srityse</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Sutartimi taip pat nepakeista jokių galiojančių vienbalsiškumo reikalavimų, bet nustatyta </w:t>
      </w:r>
      <w:r>
        <w:rPr>
          <w:rFonts w:ascii="Times New Roman" w:hAnsi="Times New Roman"/>
          <w:b/>
          <w:noProof/>
          <w:sz w:val="24"/>
        </w:rPr>
        <w:t>specialioji nuostata dėl pereigos</w:t>
      </w:r>
      <w:r>
        <w:rPr>
          <w:rFonts w:ascii="Times New Roman" w:hAnsi="Times New Roman"/>
          <w:noProof/>
          <w:sz w:val="24"/>
        </w:rPr>
        <w:t xml:space="preserve"> (dabar SESV 153 straipsnio 2 dalis).</w:t>
      </w:r>
    </w:p>
    <w:p>
      <w:p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Lisabonos sutartyje</w:t>
      </w:r>
      <w:r>
        <w:rPr>
          <w:rFonts w:ascii="Times New Roman" w:hAnsi="Times New Roman"/>
          <w:noProof/>
          <w:sz w:val="24"/>
        </w:rPr>
        <w:t xml:space="preserve"> (kuri įsigaliojo 2009 m. gruodžio 1 d.) nustatytas Sąjungos tikslas – sukurti labai konkurencingą socialinę rinkos ekonomiką. Priimant priemones dėl </w:t>
      </w:r>
      <w:r>
        <w:rPr>
          <w:rFonts w:ascii="Times New Roman" w:hAnsi="Times New Roman"/>
          <w:b/>
          <w:noProof/>
          <w:sz w:val="24"/>
        </w:rPr>
        <w:t>socialinės apsaugos koordinavimo, susijusio su laisvu darbuotojų judėjimu</w:t>
      </w:r>
      <w:r>
        <w:rPr>
          <w:rFonts w:ascii="Times New Roman" w:hAnsi="Times New Roman"/>
          <w:noProof/>
          <w:sz w:val="24"/>
        </w:rPr>
        <w:t xml:space="preserve"> (SESV 48 straipsnis), vietoje vienbalsiškumo pradėta taikyti kvalifikuotą balsų daugumą ir įprastą teisėkūros procedūrą.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Vienbalsiškumo ir konsultavimosi su Parlamentu reikalavimai išliko šiose srityse (dabar joms taikomi SESV 153 straipsnio 1 dalies c, d, f ir g punktai ir 19 straipsnis):</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darbuotojų socialinis draudimas ir socialinė apsauga (išskyrus tarpvalstybinius atvejus),</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atleidimas,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atstovavimas darbuotojų ir darbdavių interesams bei šių interesų ir bendrų sprendimų kolektyvinis gynimas,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Sąjungos teritorijoje teisėtai gyvenančių trečiųjų šalių piliečių įdarbinimo sąlygos, ir </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kovos su diskriminacija priemonės.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Tuo pačiu metu ES sutarties 48 straipsnio 7 dalyje nustatyta </w:t>
      </w:r>
      <w:r>
        <w:rPr>
          <w:rFonts w:ascii="Times New Roman" w:hAnsi="Times New Roman"/>
          <w:b/>
          <w:noProof/>
          <w:sz w:val="24"/>
        </w:rPr>
        <w:t>bendroji nuostata dėl pereigos</w:t>
      </w:r>
      <w:r>
        <w:rPr>
          <w:rFonts w:ascii="Times New Roman" w:hAnsi="Times New Roman"/>
          <w:noProof/>
          <w:sz w:val="24"/>
        </w:rPr>
        <w:t>, kuria sukurta galimybė nuo vienbalsiškumo pereiti prie kvalifikuotos balsų daugumos arba nuo specialios teisėkūros procedūros prie įprastos tose srityse, kurioms netaikoma specialioji nuostata dėl pereigos, pavyzdžiui, nediskriminavimas ir darbuotojų socialinis draudimas ir socialinė apsauga.</w:t>
      </w:r>
    </w:p>
    <w:p>
      <w:pPr>
        <w:spacing w:after="240" w:line="240" w:lineRule="auto"/>
        <w:rPr>
          <w:rFonts w:ascii="Times New Roman" w:eastAsia="Times New Roman" w:hAnsi="Times New Roman" w:cs="Times New Roman"/>
          <w:noProof/>
          <w:sz w:val="24"/>
          <w:szCs w:val="24"/>
        </w:rPr>
      </w:pPr>
      <w:r>
        <w:rPr>
          <w:noProof/>
        </w:rPr>
        <w:br w:type="page"/>
      </w:r>
    </w:p>
    <w:p>
      <w:pPr>
        <w:spacing w:after="240" w:line="240" w:lineRule="auto"/>
        <w:ind w:left="284" w:hanging="284"/>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2 priedas.</w:t>
      </w:r>
      <w:r>
        <w:rPr>
          <w:noProof/>
        </w:rPr>
        <w:tab/>
      </w:r>
      <w:r>
        <w:rPr>
          <w:rFonts w:ascii="Times New Roman" w:hAnsi="Times New Roman"/>
          <w:b/>
          <w:noProof/>
          <w:color w:val="000000" w:themeColor="text1"/>
          <w:sz w:val="24"/>
        </w:rPr>
        <w:t>2014–2019 m. pasiūlyti socialinės srities teisės aktai</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Ši Komisija pateikė 27 teisės aktų pasiūlymus dėl ES socialinės rinkos ekonomikos modernizavimo ir socialinio AAA reitingo užtikrinimo Europoje. Iš jų sutarta dėl 24, o dėl likusių trijų diskutuojama. </w:t>
      </w:r>
    </w:p>
    <w:tbl>
      <w:tblPr>
        <w:tblStyle w:val="TableGrid"/>
        <w:tblW w:w="9180" w:type="dxa"/>
        <w:tblLook w:val="04A0" w:firstRow="1" w:lastRow="0" w:firstColumn="1" w:lastColumn="0" w:noHBand="0" w:noVBand="1"/>
      </w:tblPr>
      <w:tblGrid>
        <w:gridCol w:w="541"/>
        <w:gridCol w:w="6791"/>
        <w:gridCol w:w="1848"/>
      </w:tblGrid>
      <w:tr>
        <w:trPr>
          <w:trHeight w:val="259"/>
        </w:trPr>
        <w:tc>
          <w:tcPr>
            <w:tcW w:w="541" w:type="dxa"/>
            <w:vAlign w:val="center"/>
          </w:tcPr>
          <w:p>
            <w:pPr>
              <w:jc w:val="center"/>
              <w:rPr>
                <w:rFonts w:ascii="Times New Roman" w:hAnsi="Times New Roman" w:cs="Times New Roman"/>
                <w:b/>
                <w:noProof/>
                <w:sz w:val="20"/>
                <w:szCs w:val="20"/>
              </w:rPr>
            </w:pPr>
            <w:r>
              <w:rPr>
                <w:rFonts w:ascii="Times New Roman" w:hAnsi="Times New Roman"/>
                <w:b/>
                <w:noProof/>
                <w:sz w:val="20"/>
              </w:rPr>
              <w:t>Nr.</w:t>
            </w:r>
          </w:p>
        </w:tc>
        <w:tc>
          <w:tcPr>
            <w:tcW w:w="6791" w:type="dxa"/>
            <w:vAlign w:val="center"/>
          </w:tcPr>
          <w:p>
            <w:pPr>
              <w:jc w:val="center"/>
              <w:rPr>
                <w:rFonts w:ascii="Times New Roman" w:hAnsi="Times New Roman" w:cs="Times New Roman"/>
                <w:b/>
                <w:noProof/>
                <w:sz w:val="20"/>
                <w:szCs w:val="20"/>
              </w:rPr>
            </w:pPr>
            <w:r>
              <w:rPr>
                <w:rFonts w:ascii="Times New Roman" w:hAnsi="Times New Roman"/>
                <w:b/>
                <w:noProof/>
                <w:sz w:val="20"/>
              </w:rPr>
              <w:t>Sutrumpintas pavadinimas</w:t>
            </w:r>
          </w:p>
        </w:tc>
        <w:tc>
          <w:tcPr>
            <w:tcW w:w="1848" w:type="dxa"/>
            <w:vAlign w:val="center"/>
          </w:tcPr>
          <w:p>
            <w:pPr>
              <w:jc w:val="center"/>
              <w:rPr>
                <w:rFonts w:ascii="Times New Roman" w:hAnsi="Times New Roman" w:cs="Times New Roman"/>
                <w:b/>
                <w:noProof/>
                <w:sz w:val="20"/>
                <w:szCs w:val="20"/>
              </w:rPr>
            </w:pPr>
            <w:r>
              <w:rPr>
                <w:rFonts w:ascii="Times New Roman" w:hAnsi="Times New Roman"/>
                <w:b/>
                <w:noProof/>
                <w:sz w:val="20"/>
              </w:rPr>
              <w:t xml:space="preserve">Paskelbta </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Reglamentas (ES) 2015/779, kuriuo dėl papildomos pradinio išankstinio finansavimo, skiriamo pagal Jaunimo užimtumo iniciatyvą remiamoms veiksmų programoms, sumos iš dalies keičiamas Reglamentas (ES) Nr. 1304/2013</w:t>
            </w:r>
          </w:p>
        </w:tc>
        <w:tc>
          <w:tcPr>
            <w:tcW w:w="1848" w:type="dxa"/>
            <w:vAlign w:val="center"/>
          </w:tcPr>
          <w:p>
            <w:pPr>
              <w:rPr>
                <w:rFonts w:ascii="Times New Roman" w:hAnsi="Times New Roman" w:cs="Times New Roman"/>
                <w:noProof/>
                <w:sz w:val="20"/>
                <w:szCs w:val="20"/>
              </w:rPr>
            </w:pPr>
            <w:hyperlink r:id="rId15">
              <w:r>
                <w:rPr>
                  <w:rStyle w:val="Hyperlink"/>
                  <w:rFonts w:ascii="Times New Roman" w:hAnsi="Times New Roman"/>
                  <w:noProof/>
                  <w:sz w:val="20"/>
                </w:rPr>
                <w:t>OL L 126</w:t>
              </w:r>
            </w:hyperlink>
            <w:r>
              <w:rPr>
                <w:rStyle w:val="Hyperlink"/>
                <w:rFonts w:ascii="Times New Roman" w:hAnsi="Times New Roman"/>
                <w:noProof/>
                <w:color w:val="auto"/>
                <w:sz w:val="20"/>
                <w:u w:val="none"/>
              </w:rPr>
              <w:t>,</w:t>
            </w:r>
            <w:r>
              <w:rPr>
                <w:rFonts w:ascii="Times New Roman" w:hAnsi="Times New Roman"/>
                <w:noProof/>
                <w:sz w:val="20"/>
              </w:rPr>
              <w:t xml:space="preserve"> 2015 5 21, p. 1.</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rekomendacija dėl ilgalaikių bedarbių integracijos į darbo rinką</w:t>
            </w:r>
          </w:p>
        </w:tc>
        <w:tc>
          <w:tcPr>
            <w:tcW w:w="1848" w:type="dxa"/>
            <w:vAlign w:val="center"/>
          </w:tcPr>
          <w:p>
            <w:pPr>
              <w:rPr>
                <w:rFonts w:ascii="Times New Roman" w:hAnsi="Times New Roman" w:cs="Times New Roman"/>
                <w:noProof/>
                <w:sz w:val="20"/>
                <w:szCs w:val="20"/>
              </w:rPr>
            </w:pPr>
            <w:hyperlink r:id="rId16">
              <w:r>
                <w:rPr>
                  <w:rStyle w:val="Hyperlink"/>
                  <w:rFonts w:ascii="Times New Roman" w:hAnsi="Times New Roman"/>
                  <w:noProof/>
                  <w:sz w:val="20"/>
                </w:rPr>
                <w:t>OL C 67</w:t>
              </w:r>
            </w:hyperlink>
            <w:r>
              <w:rPr>
                <w:rFonts w:ascii="Times New Roman" w:hAnsi="Times New Roman"/>
                <w:noProof/>
                <w:sz w:val="20"/>
              </w:rPr>
              <w:t>, 2016 2 20, p.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3</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sprendimas (ES) 2015/1848 dėl valstybių narių užimtumo politikos gairių 2015 m.</w:t>
            </w:r>
          </w:p>
        </w:tc>
        <w:tc>
          <w:tcPr>
            <w:tcW w:w="1848" w:type="dxa"/>
            <w:vAlign w:val="center"/>
          </w:tcPr>
          <w:p>
            <w:pPr>
              <w:rPr>
                <w:rFonts w:ascii="Times New Roman" w:hAnsi="Times New Roman" w:cs="Times New Roman"/>
                <w:noProof/>
                <w:sz w:val="20"/>
                <w:szCs w:val="20"/>
              </w:rPr>
            </w:pPr>
            <w:hyperlink r:id="rId17">
              <w:r>
                <w:rPr>
                  <w:rStyle w:val="Hyperlink"/>
                  <w:rFonts w:ascii="Times New Roman" w:hAnsi="Times New Roman"/>
                  <w:noProof/>
                  <w:sz w:val="20"/>
                </w:rPr>
                <w:t>OL L 268</w:t>
              </w:r>
            </w:hyperlink>
            <w:r>
              <w:rPr>
                <w:rFonts w:ascii="Times New Roman" w:hAnsi="Times New Roman"/>
                <w:noProof/>
                <w:sz w:val="20"/>
              </w:rPr>
              <w:t>, 2015 10 15, p. 28</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4</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sprendimas (ES) 2016/1838 dėl valstybių narių užimtumo politikos gairių 2016 m.</w:t>
            </w:r>
          </w:p>
        </w:tc>
        <w:tc>
          <w:tcPr>
            <w:tcW w:w="1848" w:type="dxa"/>
            <w:vAlign w:val="center"/>
          </w:tcPr>
          <w:p>
            <w:pPr>
              <w:rPr>
                <w:rFonts w:ascii="Times New Roman" w:hAnsi="Times New Roman" w:cs="Times New Roman"/>
                <w:noProof/>
                <w:sz w:val="20"/>
                <w:szCs w:val="20"/>
              </w:rPr>
            </w:pPr>
            <w:hyperlink r:id="rId18">
              <w:r>
                <w:rPr>
                  <w:rStyle w:val="Hyperlink"/>
                  <w:rFonts w:ascii="Times New Roman" w:hAnsi="Times New Roman"/>
                  <w:noProof/>
                  <w:sz w:val="20"/>
                </w:rPr>
                <w:t>OL L 280</w:t>
              </w:r>
            </w:hyperlink>
            <w:r>
              <w:rPr>
                <w:rFonts w:ascii="Times New Roman" w:hAnsi="Times New Roman"/>
                <w:noProof/>
                <w:sz w:val="20"/>
              </w:rPr>
              <w:t>, 2016 10 18, p. 30</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5</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Direktyva (ES) 2017/2398, kuria iš dalies keičiama Direktyva 2004/37/EB dėl darbuotojų apsaugos nuo rizikos, susijusios su kancerogenų arba mutagenų poveikiu darbe</w:t>
            </w:r>
          </w:p>
        </w:tc>
        <w:tc>
          <w:tcPr>
            <w:tcW w:w="1848" w:type="dxa"/>
            <w:vAlign w:val="center"/>
          </w:tcPr>
          <w:p>
            <w:pPr>
              <w:rPr>
                <w:rFonts w:ascii="Times New Roman" w:hAnsi="Times New Roman" w:cs="Times New Roman"/>
                <w:noProof/>
                <w:sz w:val="20"/>
                <w:szCs w:val="20"/>
              </w:rPr>
            </w:pPr>
            <w:hyperlink r:id="rId19">
              <w:r>
                <w:rPr>
                  <w:rStyle w:val="Hyperlink"/>
                  <w:rFonts w:ascii="Times New Roman" w:hAnsi="Times New Roman"/>
                  <w:noProof/>
                  <w:sz w:val="20"/>
                </w:rPr>
                <w:t>OL L 345</w:t>
              </w:r>
            </w:hyperlink>
            <w:r>
              <w:rPr>
                <w:rFonts w:ascii="Times New Roman" w:hAnsi="Times New Roman"/>
                <w:noProof/>
                <w:sz w:val="20"/>
              </w:rPr>
              <w:t>, 2017 12 27, p. 87</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6</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rekomendacija dėl Europos mokymosi visą gyvenimą kvalifikacijų sandaros, kuria panaikinama 2008 m. balandžio 23 d. Europos Parlamento ir Tarybos rekomendacija dėl Europos mokymosi visą gyvenimą kvalifikacijų sąrangos kūrimo</w:t>
            </w:r>
          </w:p>
        </w:tc>
        <w:tc>
          <w:tcPr>
            <w:tcW w:w="1848" w:type="dxa"/>
            <w:vAlign w:val="center"/>
          </w:tcPr>
          <w:p>
            <w:pPr>
              <w:rPr>
                <w:rFonts w:ascii="Times New Roman" w:hAnsi="Times New Roman" w:cs="Times New Roman"/>
                <w:noProof/>
                <w:sz w:val="20"/>
                <w:szCs w:val="20"/>
              </w:rPr>
            </w:pPr>
            <w:hyperlink r:id="rId20">
              <w:r>
                <w:rPr>
                  <w:rStyle w:val="Hyperlink"/>
                  <w:rFonts w:ascii="Times New Roman" w:hAnsi="Times New Roman"/>
                  <w:noProof/>
                  <w:sz w:val="20"/>
                </w:rPr>
                <w:t>OL C 189</w:t>
              </w:r>
            </w:hyperlink>
            <w:r>
              <w:rPr>
                <w:rFonts w:ascii="Times New Roman" w:hAnsi="Times New Roman"/>
                <w:noProof/>
                <w:sz w:val="20"/>
              </w:rPr>
              <w:t>, 2017 6 15, p. 15</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7</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rekomendacija dėl įgūdžių tobulinimo krypčių – naujų galimybių suaugusiesiems</w:t>
            </w:r>
          </w:p>
        </w:tc>
        <w:tc>
          <w:tcPr>
            <w:tcW w:w="1848" w:type="dxa"/>
            <w:vAlign w:val="center"/>
          </w:tcPr>
          <w:p>
            <w:pPr>
              <w:rPr>
                <w:rFonts w:ascii="Times New Roman" w:hAnsi="Times New Roman" w:cs="Times New Roman"/>
                <w:noProof/>
                <w:sz w:val="20"/>
                <w:szCs w:val="20"/>
              </w:rPr>
            </w:pPr>
            <w:hyperlink r:id="rId21">
              <w:r>
                <w:rPr>
                  <w:rStyle w:val="Hyperlink"/>
                  <w:rFonts w:ascii="Times New Roman" w:hAnsi="Times New Roman"/>
                  <w:noProof/>
                  <w:sz w:val="20"/>
                </w:rPr>
                <w:t>OL C 484</w:t>
              </w:r>
            </w:hyperlink>
            <w:r>
              <w:rPr>
                <w:rFonts w:ascii="Times New Roman" w:hAnsi="Times New Roman"/>
                <w:noProof/>
                <w:sz w:val="20"/>
              </w:rPr>
              <w:t>, 2016 12 24, p. 1</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8</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Direktyva (ES) 2017/159, kuria įgyvendinamas 2012 m. gegužės 21 d. Europos Sąjungos žemės ūkio kooperatyvų konfederacijos (COGECA), Europos transporto darbuotojų federacijos (ETF) ir Nacionalinių žvejybos įmonių organizacijų Europos Sąjungos asociacijos („Europêche“) sudarytas Susitarimas dėl 2007 m. Tarptautinės darbo organizacijos konvencijos dėl darbo žvejybos sektoriuje įgyvendinimo</w:t>
            </w:r>
          </w:p>
        </w:tc>
        <w:tc>
          <w:tcPr>
            <w:tcW w:w="1848" w:type="dxa"/>
            <w:vAlign w:val="center"/>
          </w:tcPr>
          <w:p>
            <w:pPr>
              <w:rPr>
                <w:rFonts w:ascii="Times New Roman" w:hAnsi="Times New Roman" w:cs="Times New Roman"/>
                <w:noProof/>
                <w:sz w:val="20"/>
                <w:szCs w:val="20"/>
              </w:rPr>
            </w:pPr>
            <w:hyperlink r:id="rId22">
              <w:r>
                <w:rPr>
                  <w:rStyle w:val="Hyperlink"/>
                  <w:rFonts w:ascii="Times New Roman" w:hAnsi="Times New Roman"/>
                  <w:noProof/>
                  <w:sz w:val="20"/>
                </w:rPr>
                <w:t>OL L 25</w:t>
              </w:r>
            </w:hyperlink>
            <w:r>
              <w:rPr>
                <w:rFonts w:ascii="Times New Roman" w:hAnsi="Times New Roman"/>
                <w:noProof/>
                <w:sz w:val="20"/>
              </w:rPr>
              <w:t>, 2017 1 31, p. 12</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9</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Direktyva (ES) 2018/957, kuria iš dalies keičiama Direktyva 96/71/EB dėl darbuotojų komandiravimo paslaugų teikimo sistemoje</w:t>
            </w:r>
          </w:p>
        </w:tc>
        <w:tc>
          <w:tcPr>
            <w:tcW w:w="1848" w:type="dxa"/>
            <w:vAlign w:val="center"/>
          </w:tcPr>
          <w:p>
            <w:pPr>
              <w:rPr>
                <w:rFonts w:ascii="Times New Roman" w:hAnsi="Times New Roman" w:cs="Times New Roman"/>
                <w:noProof/>
                <w:sz w:val="20"/>
                <w:szCs w:val="20"/>
              </w:rPr>
            </w:pPr>
            <w:hyperlink r:id="rId23">
              <w:r>
                <w:rPr>
                  <w:rStyle w:val="Hyperlink"/>
                  <w:rFonts w:ascii="Times New Roman" w:hAnsi="Times New Roman"/>
                  <w:noProof/>
                  <w:sz w:val="20"/>
                </w:rPr>
                <w:t>OL L 173</w:t>
              </w:r>
            </w:hyperlink>
            <w:r>
              <w:rPr>
                <w:rFonts w:ascii="Times New Roman" w:hAnsi="Times New Roman"/>
                <w:noProof/>
                <w:color w:val="000000" w:themeColor="text1"/>
                <w:sz w:val="20"/>
              </w:rPr>
              <w:t>, 2018 7 9, p. 16</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10</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Reglamentas (ES) 2017/2305, kuriuo dėl lėšų ekonominei, socialinei ir teritorinei sanglaudai ir lėšų investicijų į ekonomikos augimą ir darbo vietų kūrimą tikslui ir Europos teritorinio bendradarbiavimo tikslui pakeitimų iš dalies keičiamas Reglamentas (ES) Nr. 1303/2013</w:t>
            </w:r>
          </w:p>
        </w:tc>
        <w:tc>
          <w:tcPr>
            <w:tcW w:w="1848" w:type="dxa"/>
            <w:vAlign w:val="center"/>
          </w:tcPr>
          <w:p>
            <w:pPr>
              <w:rPr>
                <w:rFonts w:ascii="Times New Roman" w:hAnsi="Times New Roman" w:cs="Times New Roman"/>
                <w:noProof/>
                <w:sz w:val="20"/>
                <w:szCs w:val="20"/>
              </w:rPr>
            </w:pPr>
            <w:hyperlink r:id="rId24">
              <w:r>
                <w:rPr>
                  <w:rStyle w:val="Hyperlink"/>
                  <w:rFonts w:ascii="Times New Roman" w:hAnsi="Times New Roman"/>
                  <w:noProof/>
                  <w:sz w:val="20"/>
                </w:rPr>
                <w:t>OL L 335</w:t>
              </w:r>
            </w:hyperlink>
            <w:r>
              <w:rPr>
                <w:rFonts w:ascii="Times New Roman" w:hAnsi="Times New Roman"/>
                <w:noProof/>
                <w:sz w:val="20"/>
              </w:rPr>
              <w:t>, 2017 12 15, p.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11</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Direktyva (ES) 2018/131, kuria įgyvendinamas Europos bendrijos laivų savininkų asociacijų (ECSA) ir Europos transporto darbuotojų federacijos (ETF) sudarytas susitarimas iš dalies pakeisti Direktyvą 2009/13/EB atsižvelgiant į 2006 m. Konvencijos dėl darbo jūrų laivyboje pakeitimus, kurie buvo padaryti 2014 m. ir kuriuos 2014 m. birželio 11 d. patvirtino Tarptautinė darbo konferencija</w:t>
            </w:r>
          </w:p>
        </w:tc>
        <w:tc>
          <w:tcPr>
            <w:tcW w:w="1848" w:type="dxa"/>
            <w:vAlign w:val="center"/>
          </w:tcPr>
          <w:p>
            <w:pPr>
              <w:rPr>
                <w:rFonts w:ascii="Times New Roman" w:hAnsi="Times New Roman" w:cs="Times New Roman"/>
                <w:noProof/>
                <w:sz w:val="20"/>
                <w:szCs w:val="20"/>
              </w:rPr>
            </w:pPr>
            <w:hyperlink r:id="rId25">
              <w:r>
                <w:rPr>
                  <w:rStyle w:val="Hyperlink"/>
                  <w:rFonts w:ascii="Times New Roman" w:hAnsi="Times New Roman"/>
                  <w:noProof/>
                  <w:sz w:val="20"/>
                </w:rPr>
                <w:t>OL L 22</w:t>
              </w:r>
            </w:hyperlink>
            <w:r>
              <w:rPr>
                <w:rFonts w:ascii="Times New Roman" w:hAnsi="Times New Roman"/>
                <w:noProof/>
                <w:sz w:val="20"/>
              </w:rPr>
              <w:t>, 2018 1 26, p. 28</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12</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rekomendacija dėl kokybiškos ir veiksmingos pameistrystės europinės sistemos</w:t>
            </w:r>
          </w:p>
        </w:tc>
        <w:tc>
          <w:tcPr>
            <w:tcW w:w="1848" w:type="dxa"/>
            <w:vAlign w:val="center"/>
          </w:tcPr>
          <w:p>
            <w:pPr>
              <w:rPr>
                <w:rFonts w:ascii="Times New Roman" w:hAnsi="Times New Roman" w:cs="Times New Roman"/>
                <w:noProof/>
                <w:sz w:val="20"/>
                <w:szCs w:val="20"/>
              </w:rPr>
            </w:pPr>
            <w:hyperlink r:id="rId26">
              <w:r>
                <w:rPr>
                  <w:rStyle w:val="Hyperlink"/>
                  <w:rFonts w:ascii="Times New Roman" w:hAnsi="Times New Roman"/>
                  <w:noProof/>
                  <w:sz w:val="20"/>
                </w:rPr>
                <w:t>OL C 153</w:t>
              </w:r>
            </w:hyperlink>
            <w:r>
              <w:rPr>
                <w:rFonts w:ascii="Times New Roman" w:hAnsi="Times New Roman"/>
                <w:noProof/>
                <w:sz w:val="20"/>
              </w:rPr>
              <w:t>, 2018 5 2, p.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13</w:t>
            </w:r>
          </w:p>
        </w:tc>
        <w:tc>
          <w:tcPr>
            <w:tcW w:w="6791" w:type="dxa"/>
          </w:tcPr>
          <w:p>
            <w:pPr>
              <w:jc w:val="both"/>
              <w:rPr>
                <w:rFonts w:ascii="Times New Roman" w:hAnsi="Times New Roman" w:cs="Times New Roman"/>
                <w:noProof/>
                <w:sz w:val="20"/>
                <w:szCs w:val="20"/>
              </w:rPr>
            </w:pPr>
            <w:r>
              <w:rPr>
                <w:rFonts w:ascii="Times New Roman" w:hAnsi="Times New Roman"/>
                <w:noProof/>
                <w:sz w:val="20"/>
              </w:rPr>
              <w:t>Sprendimas (ES) 2018/646 dėl bendros geresnių paslaugų, susijusių su įgūdžiais ir kvalifikacijomis, teikimo sistemos („Europass“), kuriuo panaikinamas Sprendimas Nr. 2241/2004/EB</w:t>
            </w:r>
          </w:p>
        </w:tc>
        <w:tc>
          <w:tcPr>
            <w:tcW w:w="1848" w:type="dxa"/>
            <w:vAlign w:val="center"/>
          </w:tcPr>
          <w:p>
            <w:pPr>
              <w:rPr>
                <w:rFonts w:ascii="Times New Roman" w:hAnsi="Times New Roman" w:cs="Times New Roman"/>
                <w:noProof/>
                <w:sz w:val="20"/>
                <w:szCs w:val="20"/>
              </w:rPr>
            </w:pPr>
            <w:hyperlink r:id="rId27">
              <w:r>
                <w:rPr>
                  <w:rStyle w:val="Hyperlink"/>
                  <w:rFonts w:ascii="Times New Roman" w:hAnsi="Times New Roman"/>
                  <w:noProof/>
                  <w:sz w:val="20"/>
                </w:rPr>
                <w:t>OL L 112</w:t>
              </w:r>
            </w:hyperlink>
            <w:r>
              <w:rPr>
                <w:rFonts w:ascii="Times New Roman" w:hAnsi="Times New Roman"/>
                <w:noProof/>
                <w:sz w:val="20"/>
              </w:rPr>
              <w:t>, 2018 5 2, p. 42</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14</w:t>
            </w:r>
          </w:p>
        </w:tc>
        <w:tc>
          <w:tcPr>
            <w:tcW w:w="6791" w:type="dxa"/>
          </w:tcPr>
          <w:p>
            <w:pPr>
              <w:jc w:val="both"/>
              <w:rPr>
                <w:rFonts w:ascii="Times New Roman" w:hAnsi="Times New Roman" w:cs="Times New Roman"/>
                <w:noProof/>
                <w:sz w:val="20"/>
                <w:szCs w:val="20"/>
              </w:rPr>
            </w:pPr>
            <w:r>
              <w:rPr>
                <w:rFonts w:ascii="Times New Roman" w:hAnsi="Times New Roman"/>
                <w:noProof/>
                <w:sz w:val="20"/>
              </w:rPr>
              <w:t>Tarybos sprendimas (ES) 2018/1215 dėl valstybių narių užimtumo politikos gairių</w:t>
            </w:r>
          </w:p>
        </w:tc>
        <w:tc>
          <w:tcPr>
            <w:tcW w:w="1848" w:type="dxa"/>
            <w:vAlign w:val="center"/>
          </w:tcPr>
          <w:p>
            <w:pPr>
              <w:rPr>
                <w:rFonts w:ascii="Times New Roman" w:hAnsi="Times New Roman" w:cs="Times New Roman"/>
                <w:noProof/>
                <w:sz w:val="20"/>
                <w:szCs w:val="20"/>
              </w:rPr>
            </w:pPr>
            <w:hyperlink r:id="rId28">
              <w:r>
                <w:rPr>
                  <w:rStyle w:val="Hyperlink"/>
                  <w:rFonts w:ascii="Times New Roman" w:hAnsi="Times New Roman"/>
                  <w:noProof/>
                  <w:color w:val="0000FF"/>
                  <w:sz w:val="20"/>
                </w:rPr>
                <w:t>OL L 224</w:t>
              </w:r>
            </w:hyperlink>
            <w:r>
              <w:rPr>
                <w:rFonts w:ascii="Times New Roman" w:hAnsi="Times New Roman"/>
                <w:noProof/>
                <w:color w:val="0000FF"/>
                <w:sz w:val="20"/>
              </w:rPr>
              <w:t xml:space="preserve">, </w:t>
            </w:r>
            <w:r>
              <w:rPr>
                <w:rFonts w:ascii="Times New Roman" w:hAnsi="Times New Roman"/>
                <w:noProof/>
                <w:sz w:val="20"/>
              </w:rPr>
              <w:t>2018 9 5, p. 4</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15</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Reglamentas (ES) 2019/128, kuriuo įsteigiamas Europos profesinio mokymo plėtros centras (CEDEFOP) ir panaikinamas Tarybos reglamentas (EEB) Nr. 337/75</w:t>
            </w:r>
          </w:p>
        </w:tc>
        <w:tc>
          <w:tcPr>
            <w:tcW w:w="1848" w:type="dxa"/>
          </w:tcPr>
          <w:p>
            <w:pPr>
              <w:rPr>
                <w:rFonts w:ascii="Times New Roman" w:hAnsi="Times New Roman" w:cs="Times New Roman"/>
                <w:noProof/>
                <w:sz w:val="20"/>
                <w:szCs w:val="20"/>
              </w:rPr>
            </w:pPr>
            <w:hyperlink r:id="rId29">
              <w:r>
                <w:rPr>
                  <w:rStyle w:val="Hyperlink"/>
                  <w:rFonts w:ascii="Times New Roman" w:hAnsi="Times New Roman"/>
                  <w:noProof/>
                  <w:sz w:val="20"/>
                  <w:bdr w:val="none" w:sz="0" w:space="0" w:color="auto" w:frame="1"/>
                </w:rPr>
                <w:t>OL L 30</w:t>
              </w:r>
            </w:hyperlink>
            <w:r>
              <w:rPr>
                <w:rStyle w:val="epname"/>
                <w:rFonts w:ascii="Times New Roman" w:hAnsi="Times New Roman"/>
                <w:noProof/>
                <w:sz w:val="20"/>
                <w:bdr w:val="none" w:sz="0" w:space="0" w:color="auto" w:frame="1"/>
              </w:rPr>
              <w:t>, 2019 1 31, p. 90</w:t>
            </w:r>
          </w:p>
        </w:tc>
      </w:tr>
      <w:tr>
        <w:trPr>
          <w:trHeight w:val="259"/>
        </w:trPr>
        <w:tc>
          <w:tcPr>
            <w:tcW w:w="541" w:type="dxa"/>
          </w:tcPr>
          <w:p>
            <w:pPr>
              <w:jc w:val="center"/>
              <w:rPr>
                <w:rFonts w:ascii="Times New Roman" w:hAnsi="Times New Roman" w:cs="Times New Roman"/>
                <w:noProof/>
                <w:sz w:val="20"/>
                <w:szCs w:val="20"/>
              </w:rPr>
            </w:pPr>
            <w:r>
              <w:rPr>
                <w:rFonts w:ascii="Times New Roman" w:hAnsi="Times New Roman"/>
                <w:noProof/>
                <w:sz w:val="20"/>
              </w:rPr>
              <w:t>16</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Reglamentas (ES) 2019/127, kuriuo įsteigiamas Europos gyvenimo ir darbo sąlygų gerinimo fondas (EUROFOUND) ir panaikinamas Tarybos reglamentas (EEB) Nr. 1365/75</w:t>
            </w:r>
          </w:p>
        </w:tc>
        <w:tc>
          <w:tcPr>
            <w:tcW w:w="1848" w:type="dxa"/>
          </w:tcPr>
          <w:p>
            <w:pPr>
              <w:rPr>
                <w:rFonts w:ascii="Times New Roman" w:hAnsi="Times New Roman" w:cs="Times New Roman"/>
                <w:noProof/>
                <w:sz w:val="20"/>
                <w:szCs w:val="20"/>
              </w:rPr>
            </w:pPr>
            <w:hyperlink r:id="rId30">
              <w:r>
                <w:rPr>
                  <w:rStyle w:val="Hyperlink"/>
                  <w:rFonts w:ascii="Times New Roman" w:hAnsi="Times New Roman"/>
                  <w:noProof/>
                  <w:sz w:val="20"/>
                  <w:bdr w:val="none" w:sz="0" w:space="0" w:color="auto" w:frame="1"/>
                </w:rPr>
                <w:t>OL L 30</w:t>
              </w:r>
            </w:hyperlink>
            <w:r>
              <w:rPr>
                <w:rStyle w:val="epname"/>
                <w:rFonts w:ascii="Times New Roman" w:hAnsi="Times New Roman"/>
                <w:noProof/>
                <w:sz w:val="20"/>
                <w:bdr w:val="none" w:sz="0" w:space="0" w:color="auto" w:frame="1"/>
              </w:rPr>
              <w:t>, 2019 1 31, p. 74</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17</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Reglamentas (ES) 2019/126, kuriuo įsteigiama Europos darbuotojų saugos ir sveikatos agentūra (ES-OSHA) ir panaikinamas Tarybos reglamentas (EB) Nr. 2062/94</w:t>
            </w:r>
          </w:p>
        </w:tc>
        <w:tc>
          <w:tcPr>
            <w:tcW w:w="1848" w:type="dxa"/>
          </w:tcPr>
          <w:p>
            <w:pPr>
              <w:rPr>
                <w:rFonts w:ascii="Times New Roman" w:hAnsi="Times New Roman" w:cs="Times New Roman"/>
                <w:noProof/>
                <w:sz w:val="20"/>
                <w:szCs w:val="20"/>
              </w:rPr>
            </w:pPr>
            <w:hyperlink r:id="rId31">
              <w:r>
                <w:rPr>
                  <w:rStyle w:val="Hyperlink"/>
                  <w:rFonts w:ascii="Times New Roman" w:hAnsi="Times New Roman"/>
                  <w:noProof/>
                  <w:sz w:val="20"/>
                  <w:bdr w:val="none" w:sz="0" w:space="0" w:color="auto" w:frame="1"/>
                </w:rPr>
                <w:t>OL L 30</w:t>
              </w:r>
            </w:hyperlink>
            <w:r>
              <w:rPr>
                <w:rStyle w:val="epname"/>
                <w:rFonts w:ascii="Times New Roman" w:hAnsi="Times New Roman"/>
                <w:noProof/>
                <w:color w:val="505154"/>
                <w:sz w:val="20"/>
                <w:bdr w:val="none" w:sz="0" w:space="0" w:color="auto" w:frame="1"/>
              </w:rPr>
              <w:t xml:space="preserve">, </w:t>
            </w:r>
            <w:r>
              <w:rPr>
                <w:rStyle w:val="epname"/>
                <w:rFonts w:ascii="Times New Roman" w:hAnsi="Times New Roman"/>
                <w:noProof/>
                <w:sz w:val="20"/>
                <w:bdr w:val="none" w:sz="0" w:space="0" w:color="auto" w:frame="1"/>
              </w:rPr>
              <w:t>2019 1 31, p. 58</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18</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Direktyva (ES) 2019/130,</w:t>
            </w:r>
            <w:r>
              <w:rPr>
                <w:rStyle w:val="epname"/>
                <w:rFonts w:ascii="Times New Roman" w:hAnsi="Times New Roman"/>
                <w:noProof/>
                <w:color w:val="505154"/>
                <w:sz w:val="20"/>
                <w:bdr w:val="none" w:sz="0" w:space="0" w:color="auto" w:frame="1"/>
              </w:rPr>
              <w:t xml:space="preserve"> </w:t>
            </w:r>
            <w:r>
              <w:rPr>
                <w:rFonts w:ascii="Times New Roman" w:hAnsi="Times New Roman"/>
                <w:noProof/>
                <w:sz w:val="20"/>
              </w:rPr>
              <w:t>kuria iš dalies keičiama Direktyva 2004/37/EB dėl darbuotojų apsaugos nuo rizikos, susijusios su kancerogenų arba mutagenų poveikiu darbe (II partija)</w:t>
            </w:r>
          </w:p>
        </w:tc>
        <w:tc>
          <w:tcPr>
            <w:tcW w:w="1848" w:type="dxa"/>
          </w:tcPr>
          <w:p>
            <w:pPr>
              <w:rPr>
                <w:rFonts w:ascii="Times New Roman" w:hAnsi="Times New Roman" w:cs="Times New Roman"/>
                <w:noProof/>
                <w:sz w:val="20"/>
                <w:szCs w:val="20"/>
              </w:rPr>
            </w:pPr>
            <w:hyperlink r:id="rId32">
              <w:r>
                <w:rPr>
                  <w:rStyle w:val="Hyperlink"/>
                  <w:rFonts w:ascii="Times New Roman" w:hAnsi="Times New Roman"/>
                  <w:noProof/>
                  <w:sz w:val="20"/>
                  <w:bdr w:val="none" w:sz="0" w:space="0" w:color="auto" w:frame="1"/>
                </w:rPr>
                <w:t>OL L 30</w:t>
              </w:r>
            </w:hyperlink>
            <w:r>
              <w:rPr>
                <w:rStyle w:val="epname"/>
                <w:rFonts w:ascii="Times New Roman" w:hAnsi="Times New Roman"/>
                <w:noProof/>
                <w:sz w:val="20"/>
                <w:bdr w:val="none" w:sz="0" w:space="0" w:color="auto" w:frame="1"/>
              </w:rPr>
              <w:t>, 2019 1 31, p. 112</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19</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direktyvos dėl valstybių narių įstatymų ir kitų teisės aktų, susijusių su gaminių ir paslaugų prieinamumo reikalavimais, suderinimo</w:t>
            </w:r>
          </w:p>
        </w:tc>
        <w:tc>
          <w:tcPr>
            <w:tcW w:w="1848" w:type="dxa"/>
            <w:vAlign w:val="center"/>
          </w:tcPr>
          <w:p>
            <w:pPr>
              <w:pStyle w:val="Default"/>
              <w:jc w:val="both"/>
              <w:rPr>
                <w:rFonts w:ascii="Times New Roman" w:hAnsi="Times New Roman" w:cs="Times New Roman"/>
                <w:noProof/>
                <w:sz w:val="20"/>
                <w:szCs w:val="20"/>
              </w:rPr>
            </w:pPr>
            <w:hyperlink r:id="rId33">
              <w:r>
                <w:rPr>
                  <w:rStyle w:val="Hyperlink"/>
                  <w:rFonts w:ascii="Times New Roman" w:hAnsi="Times New Roman"/>
                  <w:noProof/>
                  <w:sz w:val="20"/>
                </w:rPr>
                <w:t>COM(2015) 615</w:t>
              </w:r>
            </w:hyperlink>
            <w:r>
              <w:rPr>
                <w:rFonts w:ascii="Times New Roman" w:hAnsi="Times New Roman"/>
                <w:noProof/>
                <w:sz w:val="20"/>
              </w:rPr>
              <w:t xml:space="preserve"> </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20</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reglamento, kuriuo iš dalies keičiamas Reglamentas (EB) Nr. 883/2004 dėl socialinės apsaugos sistemų koordinavimo ir Reglamentas (EB) Nr. 987/2009, nustatantis Reglamento (EB) Nr. 883/2004 įgyvendinimo tvarką</w:t>
            </w:r>
          </w:p>
        </w:tc>
        <w:tc>
          <w:tcPr>
            <w:tcW w:w="1848" w:type="dxa"/>
            <w:vAlign w:val="center"/>
          </w:tcPr>
          <w:p>
            <w:pPr>
              <w:pStyle w:val="Default"/>
              <w:jc w:val="both"/>
              <w:rPr>
                <w:rFonts w:ascii="Times New Roman" w:hAnsi="Times New Roman" w:cs="Times New Roman"/>
                <w:noProof/>
                <w:sz w:val="20"/>
                <w:szCs w:val="20"/>
              </w:rPr>
            </w:pPr>
            <w:hyperlink r:id="rId34">
              <w:r>
                <w:rPr>
                  <w:rFonts w:ascii="Times New Roman" w:hAnsi="Times New Roman"/>
                  <w:noProof/>
                  <w:color w:val="0000FF"/>
                  <w:sz w:val="20"/>
                  <w:u w:val="single"/>
                </w:rPr>
                <w:t>COM(2016) 815</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21</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direktyvos dėl tėvų ir prižiūrinčiųjų asmenų profesinio ir asmeninio gyvenimo pusiausvyros, kuria panaikinama Tarybos direktyva 2010/18/ES</w:t>
            </w:r>
          </w:p>
        </w:tc>
        <w:tc>
          <w:tcPr>
            <w:tcW w:w="1848" w:type="dxa"/>
            <w:vAlign w:val="center"/>
          </w:tcPr>
          <w:p>
            <w:pPr>
              <w:pStyle w:val="Default"/>
              <w:jc w:val="both"/>
              <w:rPr>
                <w:rFonts w:ascii="Times New Roman" w:hAnsi="Times New Roman" w:cs="Times New Roman"/>
                <w:noProof/>
                <w:sz w:val="20"/>
                <w:szCs w:val="20"/>
              </w:rPr>
            </w:pPr>
            <w:hyperlink r:id="rId35">
              <w:r>
                <w:rPr>
                  <w:rStyle w:val="Hyperlink"/>
                  <w:rFonts w:ascii="Times New Roman" w:hAnsi="Times New Roman"/>
                  <w:noProof/>
                  <w:sz w:val="20"/>
                </w:rPr>
                <w:t>COM(2017) 253</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22</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Europos Parlamento ir Tarybos direktyvos dėl skaidrių ir nuspėjamų darbo sąlygų Europos Sąjungoje</w:t>
            </w:r>
          </w:p>
        </w:tc>
        <w:tc>
          <w:tcPr>
            <w:tcW w:w="1848" w:type="dxa"/>
            <w:vAlign w:val="center"/>
          </w:tcPr>
          <w:p>
            <w:pPr>
              <w:pStyle w:val="Default"/>
              <w:jc w:val="both"/>
              <w:rPr>
                <w:rFonts w:ascii="Times New Roman" w:hAnsi="Times New Roman" w:cs="Times New Roman"/>
                <w:noProof/>
                <w:sz w:val="20"/>
                <w:szCs w:val="20"/>
              </w:rPr>
            </w:pPr>
            <w:hyperlink r:id="rId36">
              <w:r>
                <w:rPr>
                  <w:rStyle w:val="Hyperlink"/>
                  <w:rFonts w:ascii="Times New Roman" w:hAnsi="Times New Roman"/>
                  <w:noProof/>
                  <w:sz w:val="20"/>
                </w:rPr>
                <w:t>COM(2017) 797</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23</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Europos Parlamento ir Tarybos reglamento, kuriuo įsteigiama Europos darbo institucija</w:t>
            </w:r>
          </w:p>
        </w:tc>
        <w:tc>
          <w:tcPr>
            <w:tcW w:w="1848" w:type="dxa"/>
            <w:vAlign w:val="center"/>
          </w:tcPr>
          <w:p>
            <w:pPr>
              <w:jc w:val="both"/>
              <w:rPr>
                <w:rFonts w:ascii="Times New Roman" w:hAnsi="Times New Roman" w:cs="Times New Roman"/>
                <w:noProof/>
                <w:sz w:val="20"/>
                <w:szCs w:val="20"/>
              </w:rPr>
            </w:pPr>
            <w:hyperlink r:id="rId37">
              <w:r>
                <w:rPr>
                  <w:rStyle w:val="Hyperlink"/>
                  <w:rFonts w:ascii="Times New Roman" w:hAnsi="Times New Roman"/>
                  <w:noProof/>
                  <w:sz w:val="20"/>
                </w:rPr>
                <w:t>COM(2018) 131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24</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rekomendacijos dėl darbuotojų ir savarankiškai dirbančių asmenų socialinės apsaugos galimybių</w:t>
            </w:r>
          </w:p>
        </w:tc>
        <w:tc>
          <w:tcPr>
            <w:tcW w:w="1848" w:type="dxa"/>
            <w:vAlign w:val="center"/>
          </w:tcPr>
          <w:p>
            <w:pPr>
              <w:pStyle w:val="Default"/>
              <w:jc w:val="both"/>
              <w:rPr>
                <w:rFonts w:ascii="Times New Roman" w:hAnsi="Times New Roman" w:cs="Times New Roman"/>
                <w:noProof/>
                <w:sz w:val="20"/>
                <w:szCs w:val="20"/>
              </w:rPr>
            </w:pPr>
            <w:hyperlink r:id="rId38">
              <w:r>
                <w:rPr>
                  <w:rStyle w:val="Hyperlink"/>
                  <w:rFonts w:ascii="Times New Roman" w:hAnsi="Times New Roman"/>
                  <w:noProof/>
                  <w:sz w:val="20"/>
                </w:rPr>
                <w:t>COM(2018) 132</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25</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direktyvos, kuria iš dalies keičiama Direktyva 2004/37/EB dėl darbuotojų apsaugos nuo rizikos, susijusios su kancerogenų arba mutagenų poveikiu darbe (III partija)</w:t>
            </w:r>
          </w:p>
        </w:tc>
        <w:tc>
          <w:tcPr>
            <w:tcW w:w="1848" w:type="dxa"/>
            <w:vAlign w:val="center"/>
          </w:tcPr>
          <w:p>
            <w:pPr>
              <w:pStyle w:val="Default"/>
              <w:jc w:val="both"/>
              <w:rPr>
                <w:rFonts w:ascii="Times New Roman" w:hAnsi="Times New Roman" w:cs="Times New Roman"/>
                <w:noProof/>
                <w:sz w:val="20"/>
                <w:szCs w:val="20"/>
              </w:rPr>
            </w:pPr>
            <w:hyperlink r:id="rId39">
              <w:r>
                <w:rPr>
                  <w:rStyle w:val="Hyperlink"/>
                  <w:rFonts w:ascii="Times New Roman" w:hAnsi="Times New Roman"/>
                  <w:noProof/>
                  <w:sz w:val="20"/>
                </w:rPr>
                <w:t>COM(2018) 171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26</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reglamento dėl Europos prisitaikymo prie globalizacijos padarinių fondo (EGF)</w:t>
            </w:r>
          </w:p>
        </w:tc>
        <w:tc>
          <w:tcPr>
            <w:tcW w:w="1848" w:type="dxa"/>
            <w:vAlign w:val="center"/>
          </w:tcPr>
          <w:p>
            <w:pPr>
              <w:pStyle w:val="Default"/>
              <w:jc w:val="both"/>
              <w:rPr>
                <w:rFonts w:ascii="Times New Roman" w:hAnsi="Times New Roman" w:cs="Times New Roman"/>
                <w:noProof/>
                <w:sz w:val="20"/>
                <w:szCs w:val="20"/>
              </w:rPr>
            </w:pPr>
            <w:hyperlink r:id="rId40">
              <w:r>
                <w:rPr>
                  <w:rStyle w:val="Hyperlink"/>
                  <w:rFonts w:ascii="Times New Roman" w:hAnsi="Times New Roman"/>
                  <w:noProof/>
                  <w:sz w:val="20"/>
                </w:rPr>
                <w:t>COM(2018) 380</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27</w:t>
            </w:r>
          </w:p>
        </w:tc>
        <w:tc>
          <w:tcPr>
            <w:tcW w:w="6791" w:type="dxa"/>
          </w:tcPr>
          <w:p>
            <w:pPr>
              <w:jc w:val="both"/>
              <w:rPr>
                <w:rFonts w:ascii="Times New Roman" w:hAnsi="Times New Roman" w:cs="Times New Roman"/>
                <w:noProof/>
                <w:sz w:val="20"/>
                <w:szCs w:val="20"/>
              </w:rPr>
            </w:pPr>
            <w:r>
              <w:rPr>
                <w:rFonts w:ascii="Times New Roman" w:hAnsi="Times New Roman"/>
                <w:noProof/>
                <w:sz w:val="20"/>
              </w:rPr>
              <w:t>Pasiūlymas dėl reglamento dėl „Europos socialinio fondo +“ (ESF+)</w:t>
            </w:r>
          </w:p>
        </w:tc>
        <w:tc>
          <w:tcPr>
            <w:tcW w:w="1848" w:type="dxa"/>
            <w:vAlign w:val="center"/>
          </w:tcPr>
          <w:p>
            <w:pPr>
              <w:jc w:val="both"/>
              <w:rPr>
                <w:rFonts w:ascii="Times New Roman" w:hAnsi="Times New Roman" w:cs="Times New Roman"/>
                <w:noProof/>
                <w:sz w:val="20"/>
                <w:szCs w:val="20"/>
              </w:rPr>
            </w:pPr>
            <w:hyperlink r:id="rId41">
              <w:r>
                <w:rPr>
                  <w:rStyle w:val="Hyperlink"/>
                  <w:rFonts w:ascii="Times New Roman" w:hAnsi="Times New Roman"/>
                  <w:noProof/>
                  <w:sz w:val="20"/>
                </w:rPr>
                <w:t>COM(2018) 382</w:t>
              </w:r>
            </w:hyperlink>
          </w:p>
        </w:tc>
      </w:tr>
    </w:tbl>
    <w:p>
      <w:pPr>
        <w:jc w:val="right"/>
        <w:rPr>
          <w:rFonts w:ascii="Times New Roman" w:hAnsi="Times New Roman" w:cs="Times New Roman"/>
          <w:noProof/>
          <w:sz w:val="24"/>
          <w:szCs w:val="24"/>
        </w:rPr>
      </w:pPr>
    </w:p>
    <w:p>
      <w:pPr>
        <w:rPr>
          <w:rFonts w:ascii="Times New Roman" w:hAnsi="Times New Roman" w:cs="Times New Roman"/>
          <w:noProof/>
        </w:rPr>
      </w:pPr>
    </w:p>
    <w:sectPr>
      <w:headerReference w:type="even" r:id="rId42"/>
      <w:headerReference w:type="default" r:id="rId43"/>
      <w:footerReference w:type="even" r:id="rId44"/>
      <w:footerReference w:type="default" r:id="rId45"/>
      <w:headerReference w:type="first" r:id="rId46"/>
      <w:footerReference w:type="first" r:id="rId47"/>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8632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Darbuotojų socialinio draudimo ir socialinės apsaugos sritis (SESV 153 straipsnio 1 dalies c punktas) iš dalies sutampa su socialinės apsaugos sistemų modernizavimo sritimi (SESV 153 straipsnio 1 dalies k punktas). Tokiais atvejais k punkte nustatyta pirmumo taisyklė, kuria nedaromas poveikis c punktui.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2"/>
    <w:docVar w:name="LW_ANNEX_UNIQUE" w:val="0"/>
    <w:docVar w:name="LW_CORRIGENDUM" w:val="&lt;UNUSED&gt;"/>
    <w:docVar w:name="LW_COVERPAGE_EXISTS" w:val="True"/>
    <w:docVar w:name="LW_COVERPAGE_GUID" w:val="54B24BED-50C0-42DD-B231-8616EE0D4A2C"/>
    <w:docVar w:name="LW_COVERPAGE_TYPE" w:val="1"/>
    <w:docVar w:name="LW_CROSSREFERENCE" w:val="&lt;UNUSED&gt;"/>
    <w:docVar w:name="LW_DocType" w:val="NORMAL"/>
    <w:docVar w:name="LW_EMISSION" w:val="2019 04 16"/>
    <w:docVar w:name="LW_EMISSION_ISODATE" w:val="2019-04-16"/>
    <w:docVar w:name="LW_EMISSION_LOCATION" w:val="STR"/>
    <w:docVar w:name="LW_EMISSION_PREFIX" w:val="Strasbūra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Veiksmingesnis socialin\u279?s politikos sprendim\u371? pri\u279?mimas: _x000b__x000b_sri\u269?i\u371?, kuriose bus aktyviau taikoma kvalifikuota bals\u371? dauguma, nustatymas_x000b_"/>
    <w:docVar w:name="LW_PART_NBR" w:val="&lt;UNUSED&gt;"/>
    <w:docVar w:name="LW_PART_NBR_TOTAL" w:val="&lt;UNUSED&gt;"/>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I_x000b_"/>
    <w:docVar w:name="LW_TYPEACTEPRINCIPAL.CP" w:val="KOMISIJOS KOMUNIKATO EUROPOS PARLAMENTUI, EUROPOS VADOV\u370? TARYBA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t-LT"/>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t-L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t-LT"/>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t-LT"/>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t-L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t-LT"/>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legal-content/LT/ALL/?uri=OJ:L:2016:280:TOC" TargetMode="External"/><Relationship Id="rId26" Type="http://schemas.openxmlformats.org/officeDocument/2006/relationships/hyperlink" Target="https://eur-lex.europa.eu/legal-content/LT/ALL/?uri=OJ:C:2018:153:TOC" TargetMode="External"/><Relationship Id="rId39" Type="http://schemas.openxmlformats.org/officeDocument/2006/relationships/hyperlink" Target="https://eur-lex.europa.eu/legal-content/LT/TXT/?uri=CELEX:52018PC0171" TargetMode="External"/><Relationship Id="rId3" Type="http://schemas.microsoft.com/office/2007/relationships/stylesWithEffects" Target="stylesWithEffects.xml"/><Relationship Id="rId21" Type="http://schemas.openxmlformats.org/officeDocument/2006/relationships/hyperlink" Target="https://eur-lex.europa.eu/legal-content/LT/ALL/?uri=OJ:C:2016:484:TOC" TargetMode="External"/><Relationship Id="rId34" Type="http://schemas.openxmlformats.org/officeDocument/2006/relationships/hyperlink" Target="https://eur-lex.europa.eu/legal-content/LT/TXT/?uri=CELEX:52016PC0815" TargetMode="External"/><Relationship Id="rId42" Type="http://schemas.openxmlformats.org/officeDocument/2006/relationships/header" Target="header4.xml"/><Relationship Id="rId47" Type="http://schemas.openxmlformats.org/officeDocument/2006/relationships/footer" Target="footer6.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LT/ALL/?uri=OJ:L:2015:268:TOC" TargetMode="External"/><Relationship Id="rId25" Type="http://schemas.openxmlformats.org/officeDocument/2006/relationships/hyperlink" Target="https://eur-lex.europa.eu/legal-content/LT/ALL/?uri=OJ:L:2018:022:TOC" TargetMode="External"/><Relationship Id="rId33" Type="http://schemas.openxmlformats.org/officeDocument/2006/relationships/hyperlink" Target="https://eur-lex.europa.eu/legal-content/LT/TXT/?uri=CELEX:52015PC0615" TargetMode="External"/><Relationship Id="rId38" Type="http://schemas.openxmlformats.org/officeDocument/2006/relationships/hyperlink" Target="https://eur-lex.europa.eu/legal-content/LT/TXT/?uri=CELEX:52018DC0132"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ur-lex.europa.eu/legal-content/LT/ALL/?uri=OJ:C:2016:067:TOC" TargetMode="External"/><Relationship Id="rId20" Type="http://schemas.openxmlformats.org/officeDocument/2006/relationships/hyperlink" Target="https://eur-lex.europa.eu/legal-content/LT/ALL/?uri=OJ:C:2017:189:TOC" TargetMode="External"/><Relationship Id="rId29" Type="http://schemas.openxmlformats.org/officeDocument/2006/relationships/hyperlink" Target="https://eur-lex.europa.eu/legal-content/LT/TXT/?uri=OJ:L:2019:030:TOC" TargetMode="External"/><Relationship Id="rId41" Type="http://schemas.openxmlformats.org/officeDocument/2006/relationships/hyperlink" Target="https://eur-lex.europa.eu/legal-content/LT/TXT/?uri=CELEX:52018PC03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LT/ALL/?uri=OJ:L:2017:335:TOC" TargetMode="External"/><Relationship Id="rId32" Type="http://schemas.openxmlformats.org/officeDocument/2006/relationships/hyperlink" Target="https://eur-lex.europa.eu/legal-content/LT/TXT/?uri=OJ:L:2019:030:TOC" TargetMode="External"/><Relationship Id="rId37" Type="http://schemas.openxmlformats.org/officeDocument/2006/relationships/hyperlink" Target="https://eur-lex.europa.eu/legal-content/LT/TXT/?uri=CELEX:52018PC0131" TargetMode="External"/><Relationship Id="rId40" Type="http://schemas.openxmlformats.org/officeDocument/2006/relationships/hyperlink" Target="https://eur-lex.europa.eu/legal-content/LT/HIS/?uri=CELEX:52018PC0380"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ur-lex.europa.eu/legal-content/LT/ALL/?uri=OJ:L:2015:126:TOC" TargetMode="External"/><Relationship Id="rId23" Type="http://schemas.openxmlformats.org/officeDocument/2006/relationships/hyperlink" Target="https://eur-lex.europa.eu/legal-content/LT/TXT/?uri=OJ:L:2018:173:TOC" TargetMode="External"/><Relationship Id="rId28" Type="http://schemas.openxmlformats.org/officeDocument/2006/relationships/hyperlink" Target="https://eur-lex.europa.eu/legal-content/LT/TXT/?qid=1555069839314&amp;uri=CELEX:32018D1215" TargetMode="External"/><Relationship Id="rId36" Type="http://schemas.openxmlformats.org/officeDocument/2006/relationships/hyperlink" Target="https://eur-lex.europa.eu/legal-content/LT/TXT/?uri=CELEX:52017PC0797"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ur-lex.europa.eu/legal-content/LT/ALL/?uri=OJ:L:2017:345:TOC" TargetMode="External"/><Relationship Id="rId31" Type="http://schemas.openxmlformats.org/officeDocument/2006/relationships/hyperlink" Target="https://eur-lex.europa.eu/legal-content/LT/TXT/?uri=OJ:L:2019:030:TOC"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lex.europa.eu/legal-content/LT/ALL/?uri=OJ:L:2017:025:TOC" TargetMode="External"/><Relationship Id="rId27" Type="http://schemas.openxmlformats.org/officeDocument/2006/relationships/hyperlink" Target="https://eur-lex.europa.eu/legal-content/LT/ALL/?uri=OJ:L:2018:112:TOC" TargetMode="External"/><Relationship Id="rId30" Type="http://schemas.openxmlformats.org/officeDocument/2006/relationships/hyperlink" Target="https://eur-lex.europa.eu/legal-content/LT/TXT/?uri=OJ:L:2019:030:TOC" TargetMode="External"/><Relationship Id="rId35" Type="http://schemas.openxmlformats.org/officeDocument/2006/relationships/hyperlink" Target="https://eur-lex.europa.eu/legal-content/LT/TXT/?uri=CELEX:52017PC0253"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1701</Words>
  <Characters>10687</Characters>
  <Application>Microsoft Office Word</Application>
  <DocSecurity>0</DocSecurity>
  <Lines>281</Lines>
  <Paragraphs>169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Marie Olga (EMPL)</dc:creator>
  <cp:keywords/>
  <dc:description/>
  <cp:lastModifiedBy>WES PDFC Administrator</cp:lastModifiedBy>
  <cp:revision>11</cp:revision>
  <dcterms:created xsi:type="dcterms:W3CDTF">2019-04-11T15:13:00Z</dcterms:created>
  <dcterms:modified xsi:type="dcterms:W3CDTF">2019-04-24T08:14:00Z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