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93377E2-60FA-4415-92B6-5B5F3CBAA502" style="width:450.75pt;height:420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ZAŁĄCZNIK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do </w:t>
      </w:r>
    </w:p>
    <w:p>
      <w:pPr>
        <w:pStyle w:val="Typeacteprincipal"/>
        <w:rPr>
          <w:noProof/>
        </w:rPr>
      </w:pPr>
      <w:r>
        <w:rPr>
          <w:noProof/>
        </w:rPr>
        <w:t>KOMUNIKATU KOMISJI DO PARLAMENTU EUROPEJSKIEGO, RADY, EUROPEJSKIEGO KOMITETU EKONOMICZNO-SPOŁECZNEGO, KOMITETU REGIONÓW I TRYBUNAŁU OBRACHUNKOWEGO</w:t>
      </w:r>
    </w:p>
    <w:p>
      <w:pPr>
        <w:pStyle w:val="Objetacteprincipal"/>
        <w:rPr>
          <w:noProof/>
        </w:rPr>
      </w:pPr>
      <w:r>
        <w:rPr>
          <w:noProof/>
        </w:rPr>
        <w:t xml:space="preserve">Strategia Komisji w zakresie zwalczania nadużyć finansowych </w:t>
      </w:r>
      <w:r>
        <w:rPr>
          <w:noProof/>
        </w:rPr>
        <w:br/>
        <w:t>– wzmożenie działań w celu ochrony budżetu UE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Cele strategii Komisji w zakresie zwalczania nadużyć finansowych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>Cel nr 1: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Gromadzenie i analiza danych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Dalsze podnoszenie poziomu wiedzy na temat schematów nadużyć finansowych, profili sprawców nadużyć i słabości systemowych związanych z nadużyciami mającymi wpływ na budżet UE.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Cel nr 2: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u w:val="single"/>
        </w:rPr>
        <w:t>Koordynacja, współpraca i procesy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Optymalizacja koordynacji, współpracy i procedur służących zwalczaniu nadużyć finansowych, w szczególności między służbami Komisji i agencjami wykonawczymi.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Cel nr 3: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Uczciwość i zgodność z przepisami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</w:r>
      <w:r>
        <w:rPr>
          <w:rStyle w:val="Heading2Char"/>
          <w:rFonts w:eastAsiaTheme="minorHAnsi"/>
          <w:b w:val="0"/>
          <w:noProof/>
        </w:rPr>
        <w:t>Zapewnienie przestrzegania najwyższych standardów etyki zawodowej przez osoby odpowiedzialne za wyznaczanie kierunków polityki UE oraz pracowników UE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</w:rPr>
        <w:t>.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Cel nr 4: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Wiedza fachowa i wyposażenie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Zapewnienie odpowiedniego poziomu wiedzy fachowej w zakresie zwalczania nadużyć finansowych wśród pracowników UE, rozwijanie jej i zapewnienie odpowiedniego wyposażenia technicznego na szczeblu państw członkowskich.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 xml:space="preserve">Cel nr 5: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Przejrzystość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Wdrażanie i promowanie przejrzystości jako skutecznego środka przeciwdziałania nadużyciom.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Cel nr 6: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Ramy prawne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Optymalizacja odporności przepisów UE i innych instrumentów prawnych na nadużycia finansowe.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Cel nr 7: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Zwalczanie nadużyć w zakresie dochodów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Wzmocnienie środków zwalczania nadużyć finansowych w dziedzinie tradycyjnych zasobów własnych (TZW) oraz podatku od wartości dodanej (VAT).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W szczególności w zakresie zapobiegania nadużyciom finansowym i ich wykrywania.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93377E2-60FA-4415-92B6-5B5F3CBAA502"/>
    <w:docVar w:name="LW_COVERPAGE_TYPE" w:val="1"/>
    <w:docVar w:name="LW_CROSSREFERENCE" w:val="{SWD(2019) 170 final} - {SWD(2019) 171 final}"/>
    <w:docVar w:name="LW_DocType" w:val="NORMAL"/>
    <w:docVar w:name="LW_EMISSION" w:val="29.4.2019"/>
    <w:docVar w:name="LW_EMISSION_ISODATE" w:val="2019-04-29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Strategia Komisji w zakresie zwalczania nadu\u380?y\u263? finansowych _x000b_\u8211? wzmo\u380?enie dzia\u322?a\u324? w celu ochrony bud\u380?etu U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, EUROPEJSKIEGO KOMITETU EKONOMICZNO-SPO\u321?ECZNEGO, KOMITETU REGIONÓW I TRYBUNA\u321?U OBRACHUNKOWEG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0F05-3DDD-4724-8A58-EBA050B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205</Words>
  <Characters>1433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ARAMPATZAKIS Georgios (OLAF)</dc:creator>
  <cp:lastModifiedBy>WES PDFC Administrator</cp:lastModifiedBy>
  <cp:revision>13</cp:revision>
  <dcterms:created xsi:type="dcterms:W3CDTF">2019-03-31T17:17:00Z</dcterms:created>
  <dcterms:modified xsi:type="dcterms:W3CDTF">2019-04-24T09:40:00Z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