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D4E9CDF3-8BD6-4B3D-9F38-EF63153B6B3A" style="width:450.75pt;height:420.7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PIELIKUMS</w:t>
      </w:r>
      <w:r>
        <w:rPr>
          <w:noProof/>
        </w:rPr>
        <w:br/>
      </w:r>
    </w:p>
    <w:p>
      <w:pPr>
        <w:pStyle w:val="Accompagnant"/>
        <w:rPr>
          <w:noProof/>
        </w:rPr>
      </w:pPr>
      <w:r>
        <w:rPr>
          <w:noProof/>
        </w:rPr>
        <w:t xml:space="preserve">dokumentam </w:t>
      </w:r>
    </w:p>
    <w:p>
      <w:pPr>
        <w:pStyle w:val="Typeacteprincipal"/>
        <w:rPr>
          <w:noProof/>
        </w:rPr>
      </w:pPr>
      <w:r>
        <w:rPr>
          <w:noProof/>
        </w:rPr>
        <w:t>KOMISIJAS PAZIŅOJUMS EIROPAS PARLAMENTAM, PADOMEI, EIROPAS EKONOMIKAS UN SOCIĀLO LIETU KOMITEJAI, REĢIONU KOMITEJAI UN REVĪZIJAS PALĀTAI</w:t>
      </w:r>
    </w:p>
    <w:p>
      <w:pPr>
        <w:pStyle w:val="Objetacteprincipal"/>
        <w:rPr>
          <w:noProof/>
        </w:rPr>
      </w:pPr>
      <w:r>
        <w:rPr>
          <w:noProof/>
        </w:rPr>
        <w:t>Komisijas stratēģijas krāpšanas apkarošanai — Pastiprināta rīcība ES budžeta aizsardzībai</w:t>
      </w:r>
    </w:p>
    <w:p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t>Komisijas stratēģijas krāpšanas apkarošanai mērķi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>1. mērķis: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Datu vākšana un analīze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 xml:space="preserve">Vēl vairāk uzlabot izpratni par krāpšanas tendencēm, krāpnieku </w:t>
      </w:r>
      <w:r>
        <w:rPr>
          <w:rFonts w:ascii="Times New Roman" w:hAnsi="Times New Roman"/>
          <w:noProof/>
          <w:color w:val="000000"/>
          <w:sz w:val="24"/>
        </w:rPr>
        <w:t>profiliem</w:t>
      </w:r>
      <w:r>
        <w:rPr>
          <w:rFonts w:ascii="Times New Roman" w:hAnsi="Times New Roman"/>
          <w:noProof/>
          <w:sz w:val="24"/>
        </w:rPr>
        <w:t xml:space="preserve"> un sistēmiskiem neaizsargātības aspektiem saistībā ar krāpšanu, kas ietekmē ES budžetu.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 mērķis: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  <w:u w:val="single"/>
        </w:rPr>
        <w:t>Koordinācija, sadarbība un procesi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Optimizēt krāpšanas apkarošanas koordināciju, sadarbību un darbplūsmas, jo īpaši starp Komisijas dienestiem un izpildaģentūrām.</w:t>
      </w:r>
    </w:p>
    <w:p>
      <w:pPr>
        <w:ind w:left="1701" w:hanging="1701"/>
        <w:jc w:val="both"/>
        <w:rPr>
          <w:rStyle w:val="Heading2Char"/>
          <w:rFonts w:eastAsiaTheme="minorHAnsi"/>
          <w:b w:val="0"/>
          <w:noProof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3. mērķis: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Godprātība un atbilstība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szCs w:val="24"/>
        </w:rPr>
        <w:br/>
      </w:r>
      <w:r>
        <w:rPr>
          <w:rStyle w:val="Heading2Char"/>
          <w:rFonts w:eastAsiaTheme="minorHAnsi"/>
          <w:b w:val="0"/>
          <w:noProof/>
        </w:rPr>
        <w:t>Nodrošināt, ka ES politikas veidotāji un personāls ievēro visaugstākos profesionālās ētikas standartus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  <w:r>
        <w:rPr>
          <w:rStyle w:val="Heading2Char"/>
          <w:rFonts w:eastAsiaTheme="minorHAnsi"/>
          <w:b w:val="0"/>
          <w:noProof/>
        </w:rPr>
        <w:t>.</w:t>
      </w:r>
    </w:p>
    <w:p>
      <w:pPr>
        <w:tabs>
          <w:tab w:val="left" w:pos="720"/>
        </w:tabs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4. mērķis: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Zinātība un aprīkojums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Nodrošināt ES personālam pietiekamu zinātību krāpšanas apkarošanas jomā, uzlabot šo zinātību un nodrošināt attiecīgu tehnisko aprīkojumu dalībvalstu līmenī.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 xml:space="preserve">5. mērķis: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Pārredzamība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Īstenot un veicināt pārredzamības principa ievērošanu kā līdzekli pret krāpšanu.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6. mērķis: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Tiesiskais regulējums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Optimizēt noturību pret krāpšanu ES tiesību aktos un citos juridiskajos instrumentos.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7. mērķis: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Cīņa ar krāpšanu ieņēmumu jomā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Stiprināt krāpšanas apkarošanas pasākumus tradicionālo pašu resursu (TPR) un pievienotās vērtības nodokļa (PVN) jomā.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15740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Jo īpaši attiecībā uz krāpšanas profilaksi un atklāšanu.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9214AA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kumentam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4E9CDF3-8BD6-4B3D-9F38-EF63153B6B3A"/>
    <w:docVar w:name="LW_COVERPAGE_TYPE" w:val="1"/>
    <w:docVar w:name="LW_CROSSREFERENCE" w:val="{SWD(2019) 170 final} - {SWD(2019) 171 final}"/>
    <w:docVar w:name="LW_DocType" w:val="NORMAL"/>
    <w:docVar w:name="LW_EMISSION" w:val="29.4.2019"/>
    <w:docVar w:name="LW_EMISSION_ISODATE" w:val="2019-04-29"/>
    <w:docVar w:name="LW_EMISSION_LOCATION" w:val="BRX"/>
    <w:docVar w:name="LW_EMISSION_PREFIX" w:val="Briselē, "/>
    <w:docVar w:name="LW_EMISSION_SUFFIX" w:val="."/>
    <w:docVar w:name="LW_ID_DOCTYPE_NONLW" w:val="CP-039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.CP" w:val="Komisijas strat\u275?\u291?ijas kr\u257?p\u353?anas apkaro\u353?anai \u8212? Pastiprin\u257?ta r\u299?c\u299?ba ES bud\u382?eta aizsardz\u299?bai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IELIKUMS_x000b_"/>
    <w:docVar w:name="LW_TYPEACTEPRINCIPAL.CP" w:val="KOMISIJAS PAZI\u325?OJUMS EIROPAS PARLAMENTAM, PADOMEI, EIROPAS EKONOMIKAS UN SOCI\u256?LO LIETU KOMITEJAI, RE\u290?IONU KOMITEJAI UN REV\u298?ZIJAS PAL\u256?TA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170</Words>
  <Characters>1234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ARAMPATZAKIS Georgios (OLAF)</dc:creator>
  <cp:lastModifiedBy>WES PDFC Administrator</cp:lastModifiedBy>
  <cp:revision>14</cp:revision>
  <dcterms:created xsi:type="dcterms:W3CDTF">2019-03-31T17:17:00Z</dcterms:created>
  <dcterms:modified xsi:type="dcterms:W3CDTF">2019-04-24T09:39:00Z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