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E8BDA51-A367-4FC4-AEAF-80C80B645773" style="width:450.85pt;height:420.5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ΠΑΡΑΡΤΗΜΑ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 xml:space="preserve">στην </w:t>
      </w:r>
    </w:p>
    <w:p>
      <w:pPr>
        <w:pStyle w:val="Typeacteprincipal"/>
        <w:rPr>
          <w:noProof/>
        </w:rPr>
      </w:pPr>
      <w:r>
        <w:rPr>
          <w:noProof/>
        </w:rPr>
        <w:t>AΝΑΚΟΙΝΩΣΗ ΤΗΣ ΕΠΙΤΡΟΠΗΣ ΠΡΟΣ ΤΟ ΕΥΡΩΠΑΪΚΟ ΚΟΙΝΟΒΟΥΛΙΟ, ΤΟ ΣΥΜΒΟΥΛΙΟ, ΤΗΝ ΕΥΡΩΠΑΪΚΗ ΟΙΚΟΝΟΜΙΚΗ ΚΑΙ ΚΟΙΝΩΝΙΚΗ ΕΠΙΤΡΟΠΗ, ΤΗΝ ΕΠΙΤΡΟΠΗ ΤΩΝ ΠΕΡΙΦΕΡΕΙΩΝ ΚΑΙ ΤΟ ΕΛΕΓΚΤΙΚΟ ΣΥΝΕΔΡΙΟ</w:t>
      </w:r>
    </w:p>
    <w:p>
      <w:pPr>
        <w:pStyle w:val="Objetacteprincipal"/>
        <w:rPr>
          <w:noProof/>
        </w:rPr>
      </w:pPr>
      <w:r>
        <w:rPr>
          <w:noProof/>
        </w:rPr>
        <w:t>Στρατηγική της Επιτροπής για την καταπολέμηση της απάτης: ενισχυμένη δράση για την προστασία του προϋπολογισμού της ΕΕ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Οι στόχοι της στρατηγικής της Επιτροπής για την καταπολέμηση της απάτης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  <w:szCs w:val="24"/>
        </w:rPr>
        <w:t>Στόχος αριθ. 1: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Συλλογή και ανάλυση δεδομένων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>Ακόμα καλύτερη κατανόηση των μορφών απάτης, των προφίλ των απατεώνων και των συστημικών τρωτών σημείων που συνδέονται με την απάτη εις βάρος του προϋπολογισμού της ΕΕ.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Στόχος αριθ. 2: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>Συντονισμός, συνεργασία και διαδικασίες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br/>
        <w:t>Βελτιστοποίηση του συντονισμού, της συνεργασίας και των ροών εργασιών για την καταπολέμηση της απάτης, ιδίως μεταξύ των υπηρεσιών και των εκτελεστικών οργανισμών της Επιτροπής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Στόχος αριθ. 3: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Ακεραιότητα και συμμόρφωση,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  <w:t>Να διασφαλίζεται ότι οι φορείς χάραξης πολιτικής και το προσωπικό της ΕΕ συμμορφώνονται με τα υψηλότερα δυνατά πρότυπα επαγγελματικής ηθικής</w:t>
      </w: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footnoteReference w:id="1"/>
      </w:r>
      <w:r>
        <w:rPr>
          <w:rStyle w:val="Heading2Char"/>
          <w:rFonts w:eastAsiaTheme="minorHAnsi"/>
          <w:b w:val="0"/>
          <w:noProof/>
          <w:szCs w:val="24"/>
        </w:rPr>
        <w:t>.</w:t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Στόχος αριθ. 4: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Τεχνογνωσία και εξοπλισμός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  <w:szCs w:val="24"/>
        </w:rPr>
        <w:t>Να διασφαλίζεται επαρκής τεχνογνωσία του προσωπικού της ΕΕ, να βελτιωθεί η σχετική τεχνογνωσία και να παρασχεθεί συναφής τεχνικός εξοπλισμός σε επίπεδο κρατών μελών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Στόχος αριθ. 5: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Διαφάνεια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  <w:szCs w:val="24"/>
        </w:rPr>
        <w:t>Να διασφαλίζεται και να προωθείται η διαφάνεια ως αντίδοτο στην απάτη.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Στόχος αριθ. 6: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Νομικό πλαίσιο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  <w:szCs w:val="24"/>
        </w:rPr>
        <w:t>Να βελτιστοποιηθεί η ανθεκτικότητα της νομοθεσίας της ΕΕ και άλλων νομικών πράξεων έναντι της απάτης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  <w:szCs w:val="24"/>
        </w:rPr>
        <w:t xml:space="preserve">Στόχος αριθ. 7: 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Style w:val="Heading2Char"/>
          <w:rFonts w:eastAsiaTheme="minorHAnsi"/>
          <w:b w:val="0"/>
          <w:noProof/>
          <w:szCs w:val="24"/>
          <w:u w:val="single"/>
        </w:rPr>
        <w:t>Καταπολέμηση της απάτης στον τομέα των εσόδων</w:t>
      </w:r>
      <w:r>
        <w:rPr>
          <w:rStyle w:val="Heading2Char"/>
          <w:rFonts w:eastAsiaTheme="minorHAnsi"/>
          <w:b w:val="0"/>
          <w:noProof/>
          <w:szCs w:val="24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  <w:szCs w:val="24"/>
        </w:rPr>
        <w:t>Ενίσχυση των μέτρων καταπολέμησης της απάτης στους τομείς των παραδοσιακών ιδίων πόρων (ΠΙΠ) και του φόρου προστιθέμενης αξίας (ΦΠΑ)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Ιδίως όσον αφορά την πρόληψη και τον εντοπισμό της απάτης.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963?\u964?\u951?\u957?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E8BDA51-A367-4FC4-AEAF-80C80B645773"/>
    <w:docVar w:name="LW_COVERPAGE_TYPE" w:val="1"/>
    <w:docVar w:name="LW_CROSSREFERENCE" w:val="{SWD(2019) 170 final} - {SWD(2019) 171 final}"/>
    <w:docVar w:name="LW_DocType" w:val="NORMAL"/>
    <w:docVar w:name="LW_EMISSION" w:val="29.4.2019"/>
    <w:docVar w:name="LW_EMISSION_ISODATE" w:val="2019-04-29"/>
    <w:docVar w:name="LW_EMISSION_LOCATION" w:val="BRX"/>
    <w:docVar w:name="LW_EMISSION_PREFIX" w:val="Βρυξέλλες, "/>
    <w:docVar w:name="LW_EMISSION_SUFFIX" w:val=" "/>
    <w:docVar w:name="LW_ID_DOCTYPE_NONLW" w:val="CP-039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.CP" w:val="\u931?\u964?\u961?\u945?\u964?\u951?\u947?\u953?\u954?\u942? \u964?\u951?\u962? \u917?\u960?\u953?\u964?\u961?\u959?\u960?\u942?\u962? \u947?\u953?\u945? \u964?\u951?\u957? \u954?\u945?\u964?\u945?\u960?\u959?\u955?\u941?\u956?\u951?\u963?\u951? \u964?\u951?\u962? \u945?\u960?\u940?\u964?\u951?\u962?: \u949?\u957?\u953?\u963?\u967?\u965?\u956?\u941?\u957?\u951? \u948?\u961?\u940?\u963?\u951? \u947?\u953?\u945? \u964?\u951?\u957? \u960?\u961?\u959?\u963?\u964?\u945?\u963?\u943?\u945? \u964?\u959?\u965? \u960?\u961?\u959?\u971?\u960?\u959?\u955?\u959?\u947?\u953?\u963?\u956?\u959?\u973? \u964?\u951?\u962? \u917?\u917?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928?\u913?\u929?\u913?\u929?\u932?\u919?\u924?\u913?_x000b_"/>
    <w:docVar w:name="LW_TYPEACTEPRINCIPAL.CP" w:val="A\u925?\u913?\u922?\u927?\u921?\u925?\u937?\u931?\u919? \u932?\u919?\u931? \u917?\u928?\u921?\u932?\u929?\u927?\u928?\u919?\u931? \u928?\u929?\u927?\u931? \u932?\u927? \u917?\u933?\u929?\u937?\u928?\u913?\u938?\u922?\u927? \u922?\u927?\u921?\u925?\u927?\u914?\u927?\u933?\u923?\u921?\u927?, \u932?\u927? \u931?\u933?\u924?\u914?\u927?\u933?\u923?\u921?\u927?, \u932?\u919?\u925? \u917?\u933?\u929?\u937?\u928?\u913?\u938?\u922?\u919? \u927?\u921?\u922?\u927?\u925?\u927?\u924?\u921?\u922?\u919? \u922?\u913?\u921? \u922?\u927?\u921?\u925?\u937?\u925?\u921?\u922?\u919? \u917?\u928?\u921?\u932?\u929?\u927?\u928?\u919?, \u932?\u919?\u925? \u917?\u928?\u921?\u932?\u929?\u927?\u928?\u919? \u932?\u937?\u925? \u928?\u917?\u929?\u921?\u934?\u917?\u929?\u917?\u921?\u937?\u925? \u922?\u913?\u921? \u932?\u927? \u917?\u923?\u917?\u915?\u922?\u932?\u921?\u922?\u927? \u931?\u933?\u925?\u917?\u916?\u929?\u921?\u927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1423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ARAMPATZAKIS Georgios (OLAF)</dc:creator>
  <cp:lastModifiedBy>WES PDFC Administrator</cp:lastModifiedBy>
  <cp:revision>14</cp:revision>
  <dcterms:created xsi:type="dcterms:W3CDTF">2019-03-31T17:17:00Z</dcterms:created>
  <dcterms:modified xsi:type="dcterms:W3CDTF">2019-04-24T09:38:00Z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