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780C44-6DDC-4BC1-BB2E-AC6BCD10F84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t>1.</w:t>
      </w:r>
      <w:r>
        <w:tab/>
      </w:r>
      <w:r>
        <w:rPr>
          <w:noProof/>
        </w:rPr>
        <w:t>ETTEPANEKU REGULEERIMISESE</w:t>
      </w:r>
    </w:p>
    <w:p>
      <w:pPr>
        <w:widowControl w:val="0"/>
        <w:shd w:val="clear" w:color="auto" w:fill="FFFFFF"/>
        <w:autoSpaceDE w:val="0"/>
        <w:autoSpaceDN w:val="0"/>
        <w:adjustRightInd w:val="0"/>
        <w:spacing w:before="230" w:after="0" w:line="269" w:lineRule="exact"/>
        <w:ind w:right="86"/>
        <w:rPr>
          <w:noProof/>
        </w:rPr>
      </w:pPr>
      <w:r>
        <w:rPr>
          <w:noProof/>
        </w:rPr>
        <w:t>Käesolevas ettepanekus käsitletakse otsust, millega määratakse kindlaks ühiskomitee kodukorra ja spetsialiseerunud allkomiteede pädevustingimuste kavandatavat vastuvõtmist käsitlev seisukoht, mis võetakse Euroopa Liidu nimel ühelt poolt Euroopa Liidu ja selle liikmesriikide ning teiselt poolt Filipiini Vabariigi vahelise partnerluse ja koostöö raamlepinguga (edaspidi „leping“) loodud ühiskomitees.</w:t>
      </w:r>
    </w:p>
    <w:p>
      <w:pPr>
        <w:pStyle w:val="ManualHeading1"/>
        <w:rPr>
          <w:noProof/>
        </w:rPr>
      </w:pPr>
      <w:r>
        <w:t>2.</w:t>
      </w:r>
      <w:r>
        <w:tab/>
      </w:r>
      <w:r>
        <w:rPr>
          <w:noProof/>
        </w:rPr>
        <w:t>ETTEPANEKU TAUST</w:t>
      </w:r>
    </w:p>
    <w:p>
      <w:pPr>
        <w:pStyle w:val="ManualHeading2"/>
        <w:rPr>
          <w:noProof/>
        </w:rPr>
      </w:pPr>
      <w:r>
        <w:t>2.1.</w:t>
      </w:r>
      <w:r>
        <w:tab/>
      </w:r>
      <w:r>
        <w:rPr>
          <w:noProof/>
        </w:rPr>
        <w:t>ELi ja Filipiinide vaheline partnerluse ja koostöö raamleping</w:t>
      </w:r>
    </w:p>
    <w:p>
      <w:pPr>
        <w:widowControl w:val="0"/>
        <w:shd w:val="clear" w:color="auto" w:fill="FFFFFF"/>
        <w:autoSpaceDE w:val="0"/>
        <w:autoSpaceDN w:val="0"/>
        <w:adjustRightInd w:val="0"/>
        <w:spacing w:before="230" w:after="0" w:line="269" w:lineRule="exact"/>
        <w:ind w:right="86"/>
        <w:rPr>
          <w:noProof/>
        </w:rPr>
      </w:pPr>
      <w:r>
        <w:rPr>
          <w:noProof/>
        </w:rPr>
        <w:t xml:space="preserve">Lepingu eesmärk on tugevdada partnerlust ELi ja selle liikmesriikide ning Filipiinide vahel ning süvendada ja tõhustada, muu hulgas kõrgetasemelise dialoogi tihendamise kaudu, kahepoolset koostööd vastastikust huvi pakkuvates küsimustes, võttes seejuures arvesse ühiseid väärtusi ja põhimõtteid. Lepinguga luuakse ELi ja Filipiinide vaheliste suhete jaoks ühtne ja õiguslikult siduv raamistik. Lepingule kirjutati alla 11. juulil 2012 </w:t>
      </w:r>
      <w:r>
        <w:rPr>
          <w:noProof/>
          <w:color w:val="000000"/>
        </w:rPr>
        <w:t>Phnom Penhis</w:t>
      </w:r>
      <w:r>
        <w:rPr>
          <w:noProof/>
        </w:rPr>
        <w:t xml:space="preserve"> ja see jõustus 1. märtsil 2018.</w:t>
      </w:r>
    </w:p>
    <w:p>
      <w:pPr>
        <w:pStyle w:val="ManualHeading2"/>
        <w:rPr>
          <w:noProof/>
        </w:rPr>
      </w:pPr>
      <w:r>
        <w:t>2.2.</w:t>
      </w:r>
      <w:r>
        <w:tab/>
      </w:r>
      <w:r>
        <w:rPr>
          <w:noProof/>
        </w:rPr>
        <w:t>Ühiskomitee</w:t>
      </w:r>
    </w:p>
    <w:p>
      <w:pPr>
        <w:widowControl w:val="0"/>
        <w:shd w:val="clear" w:color="auto" w:fill="FFFFFF"/>
        <w:autoSpaceDE w:val="0"/>
        <w:autoSpaceDN w:val="0"/>
        <w:adjustRightInd w:val="0"/>
        <w:spacing w:before="230" w:after="0" w:line="269" w:lineRule="exact"/>
        <w:ind w:right="86"/>
        <w:rPr>
          <w:noProof/>
        </w:rPr>
      </w:pPr>
      <w:r>
        <w:rPr>
          <w:noProof/>
        </w:rPr>
        <w:t>Ühiskomitee moodustatakse lepingu artikli 48 alusel. Ühiskomitee peamine ülesanne on tagada lepingu nõuetekohane toimimine ja rakendamine, määrata kindlaks prioriteedid lepingu eesmärkide saavutamiseks ning anda soovitusi lepingu eesmärkide edendamiseks. Ühiskomitee muude ülesannete hulka kuulub lepinguosaliste vahel erinevates valdkondades sõlmitud või sõlmitavate lepingute või protokollide nõuetekohase toimimise järelevalve.</w:t>
      </w:r>
    </w:p>
    <w:p>
      <w:pPr>
        <w:widowControl w:val="0"/>
        <w:shd w:val="clear" w:color="auto" w:fill="FFFFFF"/>
        <w:autoSpaceDE w:val="0"/>
        <w:autoSpaceDN w:val="0"/>
        <w:adjustRightInd w:val="0"/>
        <w:spacing w:before="230" w:after="0" w:line="269" w:lineRule="exact"/>
        <w:ind w:right="86"/>
        <w:rPr>
          <w:noProof/>
        </w:rPr>
      </w:pPr>
      <w:r>
        <w:rPr>
          <w:noProof/>
        </w:rPr>
        <w:t>Ühiskomitee esitab vajaduse korral soovitusi ja võtab vastu otsuseid lepingu eesmärkide saavutamiseks. Ühiskomitee tuleb kokku kõrgemate ametnike tasemel. Ühiskomitee võtab vastu kodukorra. Ühiskomitee võib moodustada konkreetsete küsimustega tegelevaid spetsialiseerunud allkomiteesid.</w:t>
      </w:r>
    </w:p>
    <w:p>
      <w:pPr>
        <w:pStyle w:val="ManualHeading2"/>
        <w:rPr>
          <w:noProof/>
        </w:rPr>
      </w:pPr>
      <w:r>
        <w:t>2.3.</w:t>
      </w:r>
      <w:r>
        <w:tab/>
      </w:r>
      <w:r>
        <w:rPr>
          <w:noProof/>
        </w:rPr>
        <w:t>Ühiskomitee kavandatav akt</w:t>
      </w:r>
    </w:p>
    <w:p>
      <w:pPr>
        <w:widowControl w:val="0"/>
        <w:shd w:val="clear" w:color="auto" w:fill="FFFFFF"/>
        <w:autoSpaceDE w:val="0"/>
        <w:autoSpaceDN w:val="0"/>
        <w:adjustRightInd w:val="0"/>
        <w:spacing w:before="230" w:after="0" w:line="269" w:lineRule="exact"/>
        <w:ind w:right="86"/>
        <w:rPr>
          <w:noProof/>
        </w:rPr>
      </w:pPr>
      <w:r>
        <w:rPr>
          <w:noProof/>
        </w:rPr>
        <w:t>Esimesel koosolekul võtab ühiskomitee vastu otsuse ühiskomitee kodukorra ning spetsialiseerunud allkomiteede pädevustingimuste vastuvõtmise kohta (edaspidi „kavandatavad aktid“).</w:t>
      </w:r>
    </w:p>
    <w:p>
      <w:pPr>
        <w:widowControl w:val="0"/>
        <w:shd w:val="clear" w:color="auto" w:fill="FFFFFF"/>
        <w:autoSpaceDE w:val="0"/>
        <w:autoSpaceDN w:val="0"/>
        <w:adjustRightInd w:val="0"/>
        <w:spacing w:before="230" w:after="0" w:line="269" w:lineRule="exact"/>
        <w:ind w:right="86"/>
        <w:rPr>
          <w:noProof/>
        </w:rPr>
      </w:pPr>
      <w:r>
        <w:rPr>
          <w:noProof/>
        </w:rPr>
        <w:t>Kavandatavate aktide eesmärk on võtta lepingu artikli 48 lõike 5 kohaselt vastu ühiskomitee tegevust toetav kodukord ning spetsialiseerunud allkomiteede pädevustingimused, et võimaldada lepingu rakendamist.</w:t>
      </w:r>
    </w:p>
    <w:p>
      <w:pPr>
        <w:pStyle w:val="ManualHeading1"/>
        <w:rPr>
          <w:noProof/>
        </w:rPr>
      </w:pPr>
      <w:r>
        <w:t>3.</w:t>
      </w:r>
      <w:r>
        <w:tab/>
      </w:r>
      <w:r>
        <w:rPr>
          <w:noProof/>
        </w:rPr>
        <w:t>LIIDU NIMEL VÕETAV SEISUKOHT</w:t>
      </w:r>
    </w:p>
    <w:p>
      <w:pPr>
        <w:widowControl w:val="0"/>
        <w:shd w:val="clear" w:color="auto" w:fill="FFFFFF"/>
        <w:autoSpaceDE w:val="0"/>
        <w:autoSpaceDN w:val="0"/>
        <w:adjustRightInd w:val="0"/>
        <w:spacing w:before="230" w:after="0" w:line="269" w:lineRule="exact"/>
        <w:ind w:right="86"/>
        <w:rPr>
          <w:noProof/>
        </w:rPr>
      </w:pPr>
      <w:r>
        <w:rPr>
          <w:noProof/>
        </w:rPr>
        <w:t>Liidu nimel võetav seisukoht peaks võimaldama vastu võtta ELi ja Filipiinide ühiskomitee kodukorra ning spetsialiseerunud allkomiteede pädevustingimused. Seisukoht peaks põhinema ühiskomitee otsuste eelnõudel.</w:t>
      </w:r>
    </w:p>
    <w:p>
      <w:pPr>
        <w:pStyle w:val="ManualHeading1"/>
        <w:rPr>
          <w:noProof/>
        </w:rPr>
      </w:pPr>
      <w:r>
        <w:lastRenderedPageBreak/>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widowControl w:val="0"/>
        <w:shd w:val="clear" w:color="auto" w:fill="FFFFFF"/>
        <w:autoSpaceDE w:val="0"/>
        <w:autoSpaceDN w:val="0"/>
        <w:adjustRightInd w:val="0"/>
        <w:spacing w:before="230" w:after="0" w:line="269" w:lineRule="exact"/>
        <w:ind w:right="86"/>
        <w:rPr>
          <w:noProof/>
        </w:rPr>
      </w:pPr>
      <w:r>
        <w:rPr>
          <w:noProof/>
        </w:rPr>
        <w:t>Euroopa Liidu toimimise lepingu artikli 218 lõikes 9 on sätestatud otsused, millega kehtestatakse „</w:t>
      </w:r>
      <w:r>
        <w:rPr>
          <w:i/>
          <w:noProof/>
        </w:rPr>
        <w:t>lepingus sätestatud organis liidu nimel võetavad seisukohad, kui asjaomasel organil tuleb vastu võtta õigusliku toimega akte, välja arvatud õigusaktid, millega täiendatakse või muudetakse lepingu institutsioonilist raamistikku</w:t>
      </w:r>
      <w:r>
        <w:rPr>
          <w:noProof/>
        </w:rPr>
        <w:t>“.</w:t>
      </w:r>
    </w:p>
    <w:p>
      <w:pPr>
        <w:widowControl w:val="0"/>
        <w:shd w:val="clear" w:color="auto" w:fill="FFFFFF"/>
        <w:autoSpaceDE w:val="0"/>
        <w:autoSpaceDN w:val="0"/>
        <w:adjustRightInd w:val="0"/>
        <w:spacing w:before="230" w:after="0" w:line="269" w:lineRule="exact"/>
        <w:ind w:right="86"/>
        <w:rPr>
          <w:noProof/>
        </w:rPr>
      </w:pPr>
      <w:r>
        <w:rPr>
          <w:noProof/>
        </w:rPr>
        <w:t>Mõiste „</w:t>
      </w:r>
      <w:r>
        <w:rPr>
          <w:i/>
          <w:noProof/>
        </w:rPr>
        <w:t>õigusliku toimega aktid</w:t>
      </w:r>
      <w:r>
        <w:rPr>
          <w:noProof/>
        </w:rPr>
        <w:t>“ hõlmab akte, millel on õiguslikud tagajärjed asjaomase organi suhtes kehtiva rahvusvahelise õiguse normide alusel. Siia hulka kuuluvad ka sellised vahendid, mis ei ole rahvusvahelise õiguse kohaselt siduvad, kuid mis „</w:t>
      </w:r>
      <w:r>
        <w:rPr>
          <w:i/>
          <w:noProof/>
        </w:rPr>
        <w:t>võivad otsustavalt mõjutada liidu seadusandja vastu võetud õigusaktide sisu“</w:t>
      </w:r>
      <w:r>
        <w:rPr>
          <w:rStyle w:val="FootnoteReference"/>
          <w:noProof/>
        </w:rPr>
        <w:footnoteReference w:id="1"/>
      </w:r>
      <w:r>
        <w:rPr>
          <w:i/>
          <w:noProof/>
        </w:rPr>
        <w:t>.</w:t>
      </w:r>
    </w:p>
    <w:p>
      <w:pPr>
        <w:pStyle w:val="ManualHeading3"/>
        <w:rPr>
          <w:noProof/>
        </w:rPr>
      </w:pPr>
      <w:r>
        <w:t>4.1.2.</w:t>
      </w:r>
      <w:r>
        <w:tab/>
      </w:r>
      <w:r>
        <w:rPr>
          <w:noProof/>
        </w:rPr>
        <w:t>Kohaldamine käesoleval juhul</w:t>
      </w:r>
    </w:p>
    <w:p>
      <w:pPr>
        <w:widowControl w:val="0"/>
        <w:shd w:val="clear" w:color="auto" w:fill="FFFFFF"/>
        <w:autoSpaceDE w:val="0"/>
        <w:autoSpaceDN w:val="0"/>
        <w:adjustRightInd w:val="0"/>
        <w:spacing w:before="230" w:after="0" w:line="269" w:lineRule="exact"/>
        <w:ind w:right="86"/>
        <w:rPr>
          <w:noProof/>
        </w:rPr>
      </w:pPr>
      <w:r>
        <w:rPr>
          <w:noProof/>
        </w:rPr>
        <w:t>Ühiskomitee on ühelt poolt Euroopa Liidu ja selle liikmesriikide ning teiselt poolt Filipiini Vabariigi vahelise partnerluse ja koostöö raamlepinguga loodud organ.</w:t>
      </w:r>
    </w:p>
    <w:p>
      <w:pPr>
        <w:widowControl w:val="0"/>
        <w:shd w:val="clear" w:color="auto" w:fill="FFFFFF"/>
        <w:autoSpaceDE w:val="0"/>
        <w:autoSpaceDN w:val="0"/>
        <w:adjustRightInd w:val="0"/>
        <w:spacing w:before="230" w:after="0" w:line="269" w:lineRule="exact"/>
        <w:ind w:right="86"/>
        <w:rPr>
          <w:noProof/>
        </w:rPr>
      </w:pPr>
      <w:r>
        <w:rPr>
          <w:noProof/>
        </w:rPr>
        <w:t>Õigusakt, mille ühiskomitee peab vastu võtma, on õigusliku toimega akt. See tuleneb asjaolust, et lepingu artikli 48 lõike 5 kohaselt on ühiskomitee kohustatud vastu võtma oma kodukorra, mis on liidu jaoks siduv.</w:t>
      </w:r>
    </w:p>
    <w:p>
      <w:pPr>
        <w:widowControl w:val="0"/>
        <w:shd w:val="clear" w:color="auto" w:fill="FFFFFF"/>
        <w:autoSpaceDE w:val="0"/>
        <w:autoSpaceDN w:val="0"/>
        <w:adjustRightInd w:val="0"/>
        <w:spacing w:before="230" w:after="0" w:line="269" w:lineRule="exact"/>
        <w:ind w:right="86"/>
        <w:rPr>
          <w:noProof/>
        </w:rPr>
      </w:pPr>
      <w:r>
        <w:rPr>
          <w:noProof/>
        </w:rPr>
        <w:t>Kavandatavate aktidega ei täiendata ega muudeta lepingu institutsioonilist raamistikku.</w:t>
      </w:r>
    </w:p>
    <w:p>
      <w:pPr>
        <w:widowControl w:val="0"/>
        <w:shd w:val="clear" w:color="auto" w:fill="FFFFFF"/>
        <w:autoSpaceDE w:val="0"/>
        <w:autoSpaceDN w:val="0"/>
        <w:adjustRightInd w:val="0"/>
        <w:spacing w:before="230" w:after="0" w:line="269" w:lineRule="exact"/>
        <w:ind w:right="86"/>
        <w:rPr>
          <w:noProof/>
        </w:rPr>
      </w:pPr>
      <w:r>
        <w:rPr>
          <w:noProof/>
        </w:rPr>
        <w:t>Seega on kavandatava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widowControl w:val="0"/>
        <w:shd w:val="clear" w:color="auto" w:fill="FFFFFF"/>
        <w:autoSpaceDE w:val="0"/>
        <w:autoSpaceDN w:val="0"/>
        <w:adjustRightInd w:val="0"/>
        <w:spacing w:before="230" w:after="0" w:line="269" w:lineRule="exact"/>
        <w:ind w:right="86"/>
        <w:rPr>
          <w:noProof/>
        </w:rPr>
      </w:pPr>
      <w:r>
        <w:rPr>
          <w:noProof/>
        </w:rPr>
        <w:t>ELi toimimise lepingu artikli 218 lõike 9 kohase otsuse materiaalõiguslik alus sõltub eelkõige nende kavandatavate aktide eesmärgist ja sisust, mille kohta liidu nimel seisukoht võetakse. Kui aktiga taotletakse kahte eesmärki või reguleeritakse kahte valdkonda ning üht neist võib pidada peamiseks, samas kui teine on pelgalt kõrvalise tähtsusega, peab ELi toimimise lepingu artikli 218 lõike 9 kohasel otsusel olema üksainus materiaalõiguslik alus, st peamise või ülekaaluka eesmärgi või valdkonna puhul vajalik õiguslik alus.</w:t>
      </w:r>
    </w:p>
    <w:p>
      <w:pPr>
        <w:widowControl w:val="0"/>
        <w:shd w:val="clear" w:color="auto" w:fill="FFFFFF"/>
        <w:autoSpaceDE w:val="0"/>
        <w:autoSpaceDN w:val="0"/>
        <w:adjustRightInd w:val="0"/>
        <w:spacing w:before="230" w:after="0" w:line="269" w:lineRule="exact"/>
        <w:ind w:right="86"/>
        <w:rPr>
          <w:noProof/>
        </w:rPr>
      </w:pPr>
      <w:r>
        <w:rPr>
          <w:noProof/>
        </w:rPr>
        <w:t>Kui aktiga taotletakse mitut eesmärki või reguleeritakse mitut valdkonda, mis on üksteisega lahutamatult seotud ning millest ükski ei ole võrreldes teistega kõrvalise tähtsusega, tuleb erandina nimetada ELi toimimise lepingu artikli 218 lõike 9 kohase otsuse materiaalõigusliku alusena mitu vastavat õiguslikku alust.</w:t>
      </w:r>
    </w:p>
    <w:p>
      <w:pPr>
        <w:pStyle w:val="ManualHeading3"/>
        <w:rPr>
          <w:noProof/>
        </w:rPr>
      </w:pPr>
      <w:r>
        <w:t>4.2.2.</w:t>
      </w:r>
      <w:r>
        <w:tab/>
      </w:r>
      <w:r>
        <w:rPr>
          <w:noProof/>
        </w:rPr>
        <w:t>Kohaldamine käesoleval juhul</w:t>
      </w:r>
    </w:p>
    <w:p>
      <w:pPr>
        <w:widowControl w:val="0"/>
        <w:shd w:val="clear" w:color="auto" w:fill="FFFFFF"/>
        <w:autoSpaceDE w:val="0"/>
        <w:autoSpaceDN w:val="0"/>
        <w:adjustRightInd w:val="0"/>
        <w:spacing w:before="230" w:after="0" w:line="269" w:lineRule="exact"/>
        <w:ind w:right="86"/>
        <w:rPr>
          <w:noProof/>
        </w:rPr>
      </w:pPr>
      <w:r>
        <w:rPr>
          <w:noProof/>
        </w:rPr>
        <w:t>Kavandatavate aktide eesmärk on edendada lepingu eesmärkide saavutamist ja hõlbustada lepingu rakendamist. Kodukord käsitleb lepingu alusel loodud organi üldist toimimist. Seega tuleb valdkond, kuhu vaidlustatav otsus kuulub, kindlaks määrata, lähtudes lepingust kui tervikust</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Käesoleval juhul on lepingu peamine eesmärk ja valdkond koostöö arenguriigiga (ELi </w:t>
      </w:r>
      <w:r>
        <w:rPr>
          <w:noProof/>
        </w:rPr>
        <w:lastRenderedPageBreak/>
        <w:t>toimimise lepingu artikkel 209)</w:t>
      </w:r>
      <w:r>
        <w:rPr>
          <w:rStyle w:val="FootnoteReference"/>
          <w:noProof/>
        </w:rPr>
        <w:footnoteReference w:id="3"/>
      </w:r>
      <w:r>
        <w:rPr>
          <w:noProof/>
        </w:rPr>
        <w:t>. Seega peaks asjakohane õiguslik alus olema ELi toimimise lepingu artikkel 209.</w:t>
      </w:r>
    </w:p>
    <w:p>
      <w:pPr>
        <w:pStyle w:val="ManualHeading2"/>
        <w:rPr>
          <w:noProof/>
        </w:rPr>
      </w:pPr>
      <w:r>
        <w:t>4.3.</w:t>
      </w:r>
      <w:r>
        <w:tab/>
      </w:r>
      <w:r>
        <w:rPr>
          <w:noProof/>
        </w:rPr>
        <w:t>Järeldus</w:t>
      </w:r>
    </w:p>
    <w:p>
      <w:pPr>
        <w:widowControl w:val="0"/>
        <w:shd w:val="clear" w:color="auto" w:fill="FFFFFF"/>
        <w:autoSpaceDE w:val="0"/>
        <w:autoSpaceDN w:val="0"/>
        <w:adjustRightInd w:val="0"/>
        <w:spacing w:before="230" w:after="0" w:line="269" w:lineRule="exact"/>
        <w:ind w:right="86"/>
        <w:rPr>
          <w:noProof/>
        </w:rPr>
      </w:pPr>
      <w:r>
        <w:rPr>
          <w:noProof/>
        </w:rPr>
        <w:t>Ettepanekus esitatud otsuse õiguslik alus peaks seega olema ELi toimimise lepingu artikkel 209 koostoimes artikli 218 lõikega 9.</w:t>
      </w:r>
    </w:p>
    <w:p>
      <w:pPr>
        <w:pStyle w:val="ManualHeading1"/>
        <w:rPr>
          <w:noProof/>
        </w:rPr>
      </w:pPr>
      <w:r>
        <w:t>5.</w:t>
      </w:r>
      <w:r>
        <w:tab/>
      </w:r>
      <w:r>
        <w:rPr>
          <w:noProof/>
        </w:rPr>
        <w:t>KAVANDATAVATE AKTIDE AVALDAMINE</w:t>
      </w:r>
    </w:p>
    <w:p>
      <w:pPr>
        <w:widowControl w:val="0"/>
        <w:shd w:val="clear" w:color="auto" w:fill="FFFFFF"/>
        <w:autoSpaceDE w:val="0"/>
        <w:autoSpaceDN w:val="0"/>
        <w:adjustRightInd w:val="0"/>
        <w:spacing w:before="230" w:after="0" w:line="269" w:lineRule="exact"/>
        <w:ind w:right="86"/>
        <w:rPr>
          <w:noProof/>
        </w:rPr>
      </w:pPr>
      <w:r>
        <w:rPr>
          <w:noProof/>
        </w:rPr>
        <w:t xml:space="preserve">Kuna ühiskomitee aktiga võetakse vastu selle kodukord, siis on asjakohane avaldada kavandatav akt pärast selle vastuvõtmist </w:t>
      </w:r>
      <w:r>
        <w:rPr>
          <w:i/>
          <w:noProof/>
        </w:rPr>
        <w:t>Euroopa Liidu Teatajas</w:t>
      </w:r>
      <w:r>
        <w:rPr>
          <w:noProof/>
        </w:rPr>
        <w:t xml:space="preserv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2019/0098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ühelt poolt Euroopa Liidu ja selle liikmesriikide ning teiselt poolt Filipiini Vabariigi vahelise partnerluse ja koostöö raamlepingu alusel moodustatud ühiskomitees Euroopa Liidu nimel võetava seisukoha kohta seoses ühiskomitee kodukorda ning spetsialiseerunud allkomiteede pädevustingimusi käsitlevate otsuste vastuvõtmisega</w:t>
      </w:r>
    </w:p>
    <w:p>
      <w:pPr>
        <w:pStyle w:val="Institutionquiagit"/>
        <w:rPr>
          <w:noProof/>
        </w:rPr>
      </w:pPr>
      <w:r>
        <w:rPr>
          <w:noProof/>
        </w:rPr>
        <w:t>EUROOPA LIIDU NÕUKOGU,</w:t>
      </w:r>
    </w:p>
    <w:p>
      <w:pPr>
        <w:rPr>
          <w:noProof/>
        </w:rPr>
      </w:pPr>
      <w:r>
        <w:rPr>
          <w:noProof/>
        </w:rPr>
        <w:t>võttes arvesse Euroopa Liidu toimimise lepingut, eriti selle artiklit </w:t>
      </w:r>
      <w:r>
        <w:rPr>
          <w:noProof/>
          <w:color w:val="000000" w:themeColor="text1"/>
        </w:rPr>
        <w:t>209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Ühelt poolt Euroopa Liidu ja selle liikmesriikide ning teiselt poolt Filipiini Vabariigi vaheline partnerluse ja koostöö raamleping</w:t>
      </w:r>
      <w:r>
        <w:rPr>
          <w:noProof/>
          <w:color w:val="000000" w:themeColor="text1"/>
        </w:rPr>
        <w:t xml:space="preserve"> (edaspidi „leping“) jõustus 1. märtsil 2018</w:t>
      </w:r>
      <w:r>
        <w:t>.</w:t>
      </w:r>
    </w:p>
    <w:p>
      <w:pPr>
        <w:pStyle w:val="ManualConsidrant"/>
        <w:rPr>
          <w:noProof/>
        </w:rPr>
      </w:pPr>
      <w:r>
        <w:t>(2)</w:t>
      </w:r>
      <w:r>
        <w:tab/>
      </w:r>
      <w:r>
        <w:rPr>
          <w:noProof/>
        </w:rPr>
        <w:t>Lepingu artikli 48 lõikega 1 on asutatud ühiskomitee, kelle ülesanne on tagada lepingu nõuetekohane toimimine ja rakendamine.</w:t>
      </w:r>
    </w:p>
    <w:p>
      <w:pPr>
        <w:pStyle w:val="ManualConsidrant"/>
        <w:rPr>
          <w:noProof/>
        </w:rPr>
      </w:pPr>
      <w:r>
        <w:t>(3)</w:t>
      </w:r>
      <w:r>
        <w:tab/>
      </w:r>
      <w:r>
        <w:rPr>
          <w:noProof/>
        </w:rPr>
        <w:t>Lepingu artikli 48 lõike 5 kohaselt võtab ühiskomitee vastu oma kodukorra ning artikli 48 lõike 3 kohaselt võib ta moodustada spetsialiseerunud allkomiteesid.</w:t>
      </w:r>
    </w:p>
    <w:p>
      <w:pPr>
        <w:pStyle w:val="ManualConsidrant"/>
        <w:rPr>
          <w:noProof/>
        </w:rPr>
      </w:pPr>
      <w:r>
        <w:t>(4)</w:t>
      </w:r>
      <w:r>
        <w:tab/>
      </w:r>
      <w:r>
        <w:rPr>
          <w:noProof/>
        </w:rPr>
        <w:t>Lepingu tulemusliku rakendamise tagamiseks tuleks võimalikult kiiresti võtta vastu komitee kodukord.</w:t>
      </w:r>
    </w:p>
    <w:p>
      <w:pPr>
        <w:pStyle w:val="ManualConsidrant"/>
        <w:rPr>
          <w:noProof/>
        </w:rPr>
      </w:pPr>
      <w:r>
        <w:t>(5)</w:t>
      </w:r>
      <w:r>
        <w:tab/>
      </w:r>
      <w:r>
        <w:rPr>
          <w:noProof/>
        </w:rPr>
        <w:t>Seetõttu on asjakohane määrata kindlaks ühiskomitees liidu nimel võetav seisukoht. Liidu seisukoht ühiskomitees peaks põhinema lisatud ühiskomitee otsuste eelnõudel,</w:t>
      </w:r>
    </w:p>
    <w:p>
      <w:pPr>
        <w:pStyle w:val="Formuledadoption"/>
        <w:rPr>
          <w:noProof/>
        </w:rPr>
      </w:pPr>
      <w:r>
        <w:rPr>
          <w:noProof/>
        </w:rPr>
        <w:t xml:space="preserve">ON VASTU VÕTNUD KÄESOLEVA OTSUSE: </w:t>
      </w:r>
    </w:p>
    <w:p>
      <w:pPr>
        <w:pStyle w:val="Titrearticle"/>
        <w:rPr>
          <w:noProof/>
        </w:rPr>
      </w:pPr>
      <w:r>
        <w:rPr>
          <w:noProof/>
        </w:rPr>
        <w:t>Artikkel 1</w:t>
      </w:r>
    </w:p>
    <w:p>
      <w:pPr>
        <w:rPr>
          <w:noProof/>
          <w:color w:val="000000" w:themeColor="text1"/>
        </w:rPr>
      </w:pPr>
      <w:r>
        <w:rPr>
          <w:noProof/>
          <w:color w:val="000000" w:themeColor="text1"/>
        </w:rPr>
        <w:t>ELi-Filipiinide ühiskomitee esimesel koosolekul seoses ühiskomitee kodukorra ja selle allkomiteede pädevustingimuste kavandatava vastuvõtmisega võetav seisukoht põhineb käesolevale otsusele lisatud ühiskomitee otsuste eelnõudel.</w:t>
      </w:r>
    </w:p>
    <w:p>
      <w:pPr>
        <w:pStyle w:val="Titrearticle"/>
        <w:rPr>
          <w:noProof/>
        </w:rPr>
      </w:pPr>
      <w:r>
        <w:rPr>
          <w:noProof/>
        </w:rPr>
        <w:t>Artikkel 2</w:t>
      </w:r>
    </w:p>
    <w:p>
      <w:pPr>
        <w:rPr>
          <w:noProof/>
        </w:rPr>
      </w:pPr>
      <w:r>
        <w:rPr>
          <w:noProof/>
        </w:rPr>
        <w:t>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rPr>
          <w:lang w:val="fi-FI"/>
        </w:rPr>
        <w:tab/>
        <w:t xml:space="preserve">Kohtuasi C-399/12: Saksamaa </w:t>
      </w:r>
      <w:r>
        <w:rPr>
          <w:i/>
          <w:lang w:val="fi-FI"/>
        </w:rPr>
        <w:t>vs</w:t>
      </w:r>
      <w:r>
        <w:rPr>
          <w:lang w:val="fi-FI"/>
        </w:rPr>
        <w:t>. nõukogu, ECLI: EU: C:2014: 2258, punktid 61–64.</w:t>
      </w:r>
    </w:p>
  </w:footnote>
  <w:footnote w:id="2">
    <w:p>
      <w:pPr>
        <w:pStyle w:val="FootnoteText"/>
        <w:rPr>
          <w:lang w:val="fi-FI"/>
        </w:rPr>
      </w:pPr>
      <w:r>
        <w:rPr>
          <w:rStyle w:val="FootnoteReference"/>
        </w:rPr>
        <w:footnoteRef/>
      </w:r>
      <w:r>
        <w:rPr>
          <w:lang w:val="fi-FI"/>
        </w:rPr>
        <w:tab/>
        <w:t xml:space="preserve">Kohtuasi C-244/17: komisjon </w:t>
      </w:r>
      <w:r>
        <w:rPr>
          <w:i/>
          <w:lang w:val="fi-FI"/>
        </w:rPr>
        <w:t>vs</w:t>
      </w:r>
      <w:r>
        <w:rPr>
          <w:lang w:val="fi-FI"/>
        </w:rPr>
        <w:t xml:space="preserve">. nõukogu (Kasahstan), </w:t>
      </w:r>
      <w:r>
        <w:rPr>
          <w:rStyle w:val="outputecli"/>
          <w:lang w:val="fi-FI"/>
        </w:rPr>
        <w:t>ECLI:EU:C:2018:662, punkt 40.</w:t>
      </w:r>
    </w:p>
  </w:footnote>
  <w:footnote w:id="3">
    <w:p>
      <w:pPr>
        <w:pStyle w:val="FootnoteText"/>
        <w:rPr>
          <w:lang w:val="fi-FI"/>
        </w:rPr>
      </w:pPr>
      <w:r>
        <w:rPr>
          <w:rStyle w:val="FootnoteReference"/>
        </w:rPr>
        <w:footnoteRef/>
      </w:r>
      <w:r>
        <w:rPr>
          <w:lang w:val="fi-FI"/>
        </w:rPr>
        <w:tab/>
        <w:t>Arengupoliitika ulatuse kohta vt kohtuasi C-377/12, komisjon vs. nõukogu (Filipiinid), punktid 36-37.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D466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24A9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40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942A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7C42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23EFE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8A4318"/>
    <w:lvl w:ilvl="0">
      <w:start w:val="1"/>
      <w:numFmt w:val="decimal"/>
      <w:pStyle w:val="ListNumber"/>
      <w:lvlText w:val="%1."/>
      <w:lvlJc w:val="left"/>
      <w:pPr>
        <w:tabs>
          <w:tab w:val="num" w:pos="360"/>
        </w:tabs>
        <w:ind w:left="360" w:hanging="360"/>
      </w:pPr>
    </w:lvl>
  </w:abstractNum>
  <w:abstractNum w:abstractNumId="7">
    <w:nsid w:val="FFFFFF89"/>
    <w:multiLevelType w:val="singleLevel"/>
    <w:tmpl w:val="9F760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 Lukasz (SJ)">
    <w15:presenceInfo w15:providerId="None" w15:userId="BAUMGART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5 11:43: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780C44-6DDC-4BC1-BB2E-AC6BCD10F840"/>
    <w:docVar w:name="LW_COVERPAGE_TYPE" w:val="1"/>
    <w:docVar w:name="LW_CROSSREFERENCE" w:val="&lt;UNUSED&gt;"/>
    <w:docVar w:name="LW_DocType" w:val="COM"/>
    <w:docVar w:name="LW_EMISSION" w:val="29.4.2019"/>
    <w:docVar w:name="LW_EMISSION_ISODATE" w:val="2019-04-29"/>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98"/>
    <w:docVar w:name="LW_REF.II.NEW.CP_YEAR" w:val="2019"/>
    <w:docVar w:name="LW_REF.INST.NEW" w:val="COM"/>
    <w:docVar w:name="LW_REF.INST.NEW_ADOPTED" w:val="final"/>
    <w:docVar w:name="LW_REF.INST.NEW_TEXT" w:val="(2019) 1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ühelt poolt Euroopa Liidu ja selle liikmesriikide ning teiselt poolt Filipiini Vabariigi vahelise partnerluse ja koostöö raamlepingu alusel moodustatud ühiskomitees Euroopa Liidu nimel võetava seisukoha kohta seoses ühiskomitee kodukorda ning spetsialiseerunud allkomiteede pädevustingimusi käsitlevate otsuste vastuvõtmise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BBD1-1974-492B-84D0-A5189E6A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871</Words>
  <Characters>6258</Characters>
  <Application>Microsoft Office Word</Application>
  <DocSecurity>0</DocSecurity>
  <Lines>118</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2019-02-06T13:35:00Z</cp:lastPrinted>
  <dcterms:created xsi:type="dcterms:W3CDTF">2019-04-15T13:47:00Z</dcterms:created>
  <dcterms:modified xsi:type="dcterms:W3CDTF">2019-04-25T09:43:00Z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