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04E495D-3A98-4B88-9F7D-D54BE4F42AED"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t>1.</w:t>
      </w:r>
      <w:r>
        <w:tab/>
      </w:r>
      <w:r>
        <w:rPr>
          <w:noProof/>
        </w:rPr>
        <w:t>EHDOTUKSEN KOHDE</w:t>
      </w:r>
    </w:p>
    <w:p>
      <w:pPr>
        <w:widowControl w:val="0"/>
        <w:shd w:val="clear" w:color="auto" w:fill="FFFFFF"/>
        <w:autoSpaceDE w:val="0"/>
        <w:autoSpaceDN w:val="0"/>
        <w:adjustRightInd w:val="0"/>
        <w:spacing w:before="230" w:after="0" w:line="269" w:lineRule="exact"/>
        <w:ind w:right="86"/>
        <w:rPr>
          <w:noProof/>
        </w:rPr>
      </w:pPr>
      <w:r>
        <w:rPr>
          <w:noProof/>
        </w:rPr>
        <w:t>Tämä ehdotus koskee päätöstä Euroopan unionin ja sen jäsenvaltioiden sekä Filippiinien tasavallan kumppanuutta ja yhteistyötä koskevalla puitesopimuksella, jäljempänä ’sopimus’, perustetussa sekakomiteassa unionin puolesta otettavan kannan vahvistamisesta sekakomitean työjärjestyksen ja erikoistuneiden alakomiteoiden työjärjestyksen suunnitellun vahvistamisen osalta</w:t>
      </w:r>
    </w:p>
    <w:p>
      <w:pPr>
        <w:pStyle w:val="ManualHeading1"/>
        <w:rPr>
          <w:noProof/>
        </w:rPr>
      </w:pPr>
      <w:r>
        <w:t>2.</w:t>
      </w:r>
      <w:r>
        <w:tab/>
      </w:r>
      <w:r>
        <w:rPr>
          <w:noProof/>
        </w:rPr>
        <w:t>EHDOTUKSEN TAUSTA</w:t>
      </w:r>
    </w:p>
    <w:p>
      <w:pPr>
        <w:pStyle w:val="ManualHeading2"/>
        <w:rPr>
          <w:noProof/>
        </w:rPr>
      </w:pPr>
      <w:r>
        <w:t>2.1.</w:t>
      </w:r>
      <w:r>
        <w:tab/>
      </w:r>
      <w:r>
        <w:rPr>
          <w:noProof/>
        </w:rPr>
        <w:t>EU:n ja Filippiinien kumppanuutta ja yhteistyötä koskeva puitesopimus</w:t>
      </w:r>
    </w:p>
    <w:p>
      <w:pPr>
        <w:widowControl w:val="0"/>
        <w:shd w:val="clear" w:color="auto" w:fill="FFFFFF"/>
        <w:autoSpaceDE w:val="0"/>
        <w:autoSpaceDN w:val="0"/>
        <w:adjustRightInd w:val="0"/>
        <w:spacing w:before="230" w:after="0" w:line="269" w:lineRule="exact"/>
        <w:ind w:right="86"/>
        <w:rPr>
          <w:noProof/>
        </w:rPr>
      </w:pPr>
      <w:r>
        <w:rPr>
          <w:noProof/>
        </w:rPr>
        <w:t xml:space="preserve">Sopimuksen tavoitteena on luoda EU:n ja sen jäsenvaltioiden sekä Filippiinien välinen luja kumppanuus ja syventää ja tehostaa kahdenvälistä yhteistyötä yhteistä etua koskevissa asioissa yhteisten arvojen ja periaatteiden pohjalta muun muassa tiivistämällä korkean tason vuoropuhelua. Sopimuksella luodaan johdonmukaiset, oikeudellisesti sitovat puitteet EU:n ja Filippiinien välisille suhteille. Sopimus allekirjoitettiin </w:t>
      </w:r>
      <w:r>
        <w:rPr>
          <w:noProof/>
          <w:color w:val="000000"/>
          <w:szCs w:val="24"/>
        </w:rPr>
        <w:t>Phnom Penhissä 11 päivänä heinäkuuta 2012, ja</w:t>
      </w:r>
      <w:r>
        <w:rPr>
          <w:noProof/>
        </w:rPr>
        <w:t xml:space="preserve"> se tuli voimaan 1 päivänä maaliskuuta 2002.</w:t>
      </w:r>
    </w:p>
    <w:p>
      <w:pPr>
        <w:pStyle w:val="ManualHeading2"/>
        <w:rPr>
          <w:noProof/>
        </w:rPr>
      </w:pPr>
      <w:r>
        <w:t>2.2.</w:t>
      </w:r>
      <w:r>
        <w:tab/>
      </w:r>
      <w:r>
        <w:rPr>
          <w:noProof/>
        </w:rPr>
        <w:t>Sekakomitea</w:t>
      </w:r>
    </w:p>
    <w:p>
      <w:pPr>
        <w:widowControl w:val="0"/>
        <w:shd w:val="clear" w:color="auto" w:fill="FFFFFF"/>
        <w:autoSpaceDE w:val="0"/>
        <w:autoSpaceDN w:val="0"/>
        <w:adjustRightInd w:val="0"/>
        <w:spacing w:before="230" w:after="0" w:line="269" w:lineRule="exact"/>
        <w:ind w:right="86"/>
        <w:rPr>
          <w:noProof/>
        </w:rPr>
      </w:pPr>
      <w:r>
        <w:rPr>
          <w:noProof/>
        </w:rPr>
        <w:t>Sopimuksen 48 artiklalla perustetaan sekakomitea. Sen päätehtäviä on varmistaa sopimuksen moitteeton toiminta ja täytäntöönpano, asettaa sopimuksen tavoitteita koskevat painopisteet ja antaa suosituksia tämän sopimuksen tavoitteiden saavuttamisen tukemiseksi. Sekakomitean tehtävänä on myös valvoa kaikkien sopimuspuolten välillä tehtyjen tai tehtävien alakohtaisten sopimusten tai pöytäkirjojen moitteetonta toimintaa.</w:t>
      </w:r>
    </w:p>
    <w:p>
      <w:pPr>
        <w:widowControl w:val="0"/>
        <w:shd w:val="clear" w:color="auto" w:fill="FFFFFF"/>
        <w:autoSpaceDE w:val="0"/>
        <w:autoSpaceDN w:val="0"/>
        <w:adjustRightInd w:val="0"/>
        <w:spacing w:before="230" w:after="0" w:line="269" w:lineRule="exact"/>
        <w:ind w:right="86"/>
        <w:rPr>
          <w:noProof/>
        </w:rPr>
      </w:pPr>
      <w:r>
        <w:rPr>
          <w:noProof/>
        </w:rPr>
        <w:t>Sekakomitea antaa tarvittaessa suosituksia ja tekee päätöksiä sopimuksen tavoitteiden saavuttamiseksi. Sekakomitea kokoontuu ylempien virkamiesten tasolla, ja se vahvistaa oman työjärjestyksensä. Se voi perustaa erikoistuneita alakomiteoita käsittelemään erityisiä kysymyksiä.</w:t>
      </w:r>
    </w:p>
    <w:p>
      <w:pPr>
        <w:pStyle w:val="ManualHeading2"/>
        <w:rPr>
          <w:noProof/>
        </w:rPr>
      </w:pPr>
      <w:r>
        <w:t>2.3.</w:t>
      </w:r>
      <w:r>
        <w:tab/>
      </w:r>
      <w:r>
        <w:rPr>
          <w:noProof/>
        </w:rPr>
        <w:t>Suunniteltu sekakomitean säädös</w:t>
      </w:r>
    </w:p>
    <w:p>
      <w:pPr>
        <w:widowControl w:val="0"/>
        <w:shd w:val="clear" w:color="auto" w:fill="FFFFFF"/>
        <w:autoSpaceDE w:val="0"/>
        <w:autoSpaceDN w:val="0"/>
        <w:adjustRightInd w:val="0"/>
        <w:spacing w:before="230" w:after="0" w:line="269" w:lineRule="exact"/>
        <w:ind w:right="86"/>
        <w:rPr>
          <w:noProof/>
        </w:rPr>
      </w:pPr>
      <w:r>
        <w:rPr>
          <w:noProof/>
        </w:rPr>
        <w:t>Sekakomitea tekee ensimmäisessä kokouksessaan päätöksen, joka koskee sekakomitean työjärjestyksen vahvistamista, sekä päätöksen, joka koskee erikoistuneiden alakomiteoiden työjärjestyksen vahvistamista (jäljempänä ’suunnitellut säädökset’).</w:t>
      </w:r>
    </w:p>
    <w:p>
      <w:pPr>
        <w:widowControl w:val="0"/>
        <w:shd w:val="clear" w:color="auto" w:fill="FFFFFF"/>
        <w:autoSpaceDE w:val="0"/>
        <w:autoSpaceDN w:val="0"/>
        <w:adjustRightInd w:val="0"/>
        <w:spacing w:before="230" w:after="0" w:line="269" w:lineRule="exact"/>
        <w:ind w:right="86"/>
        <w:rPr>
          <w:noProof/>
        </w:rPr>
      </w:pPr>
      <w:r>
        <w:rPr>
          <w:noProof/>
        </w:rPr>
        <w:t>Suunniteltujen säädösten tarkoituksena on vahvistaa sekakomitean toimintaa ohjaava työjärjestys ja erikoistuneiden alakomiteoiden työjärjestys sopimuksen 48 artiklan 5 kohdan mukaisesti, jotta sopimus voidaan panna täytäntöön.</w:t>
      </w:r>
    </w:p>
    <w:p>
      <w:pPr>
        <w:pStyle w:val="ManualHeading1"/>
        <w:rPr>
          <w:noProof/>
        </w:rPr>
      </w:pPr>
      <w:r>
        <w:t>3.</w:t>
      </w:r>
      <w:r>
        <w:tab/>
      </w:r>
      <w:r>
        <w:rPr>
          <w:noProof/>
        </w:rPr>
        <w:t>UNIONIN PUOLESTA OTETTAVA KANTA</w:t>
      </w:r>
    </w:p>
    <w:p>
      <w:pPr>
        <w:widowControl w:val="0"/>
        <w:shd w:val="clear" w:color="auto" w:fill="FFFFFF"/>
        <w:autoSpaceDE w:val="0"/>
        <w:autoSpaceDN w:val="0"/>
        <w:adjustRightInd w:val="0"/>
        <w:spacing w:before="230" w:after="0" w:line="269" w:lineRule="exact"/>
        <w:ind w:right="86"/>
        <w:rPr>
          <w:noProof/>
        </w:rPr>
      </w:pPr>
      <w:r>
        <w:rPr>
          <w:noProof/>
        </w:rPr>
        <w:t>Unionin puolesta esitettävän kannan tarkoituksena on vahvistaa EU:n ja Filippiinien sekakomitean työjärjestys sekä erikoistuneiden alakomiteoiden työjärjestys. Kannan olisi perustuttava sekakomitean päätösluonnoksiin.</w:t>
      </w:r>
    </w:p>
    <w:p>
      <w:pPr>
        <w:pStyle w:val="ManualHeading1"/>
        <w:rPr>
          <w:noProof/>
        </w:rPr>
      </w:pPr>
      <w:r>
        <w:t>4.</w:t>
      </w:r>
      <w:r>
        <w:tab/>
      </w:r>
      <w:r>
        <w:rPr>
          <w:noProof/>
        </w:rPr>
        <w:t>OIKEUSPERUSTA</w:t>
      </w:r>
    </w:p>
    <w:p>
      <w:pPr>
        <w:pStyle w:val="ManualHeading2"/>
        <w:rPr>
          <w:noProof/>
        </w:rPr>
      </w:pPr>
      <w:r>
        <w:t>4.1.</w:t>
      </w:r>
      <w:r>
        <w:tab/>
      </w:r>
      <w:r>
        <w:rPr>
          <w:noProof/>
        </w:rPr>
        <w:t>Menettelyllinen oikeusperusta</w:t>
      </w:r>
    </w:p>
    <w:p>
      <w:pPr>
        <w:pStyle w:val="ManualHeading3"/>
        <w:rPr>
          <w:noProof/>
        </w:rPr>
      </w:pPr>
      <w:r>
        <w:t>4.1.1.</w:t>
      </w:r>
      <w:r>
        <w:tab/>
      </w:r>
      <w:r>
        <w:rPr>
          <w:noProof/>
        </w:rPr>
        <w:t>Periaatteet</w:t>
      </w:r>
    </w:p>
    <w:p>
      <w:pPr>
        <w:widowControl w:val="0"/>
        <w:shd w:val="clear" w:color="auto" w:fill="FFFFFF"/>
        <w:autoSpaceDE w:val="0"/>
        <w:autoSpaceDN w:val="0"/>
        <w:adjustRightInd w:val="0"/>
        <w:spacing w:before="230" w:after="0" w:line="269" w:lineRule="exact"/>
        <w:ind w:right="86"/>
        <w:rPr>
          <w:noProof/>
        </w:rPr>
      </w:pPr>
      <w:r>
        <w:rPr>
          <w:noProof/>
        </w:rPr>
        <w:t>Euroopan unionin toiminnasta tehdyn sopimuksen, jäljempänä ’SEUT-sopimus’, 218 artiklan 9 kohdassa määrätään päätöksistä ”</w:t>
      </w:r>
      <w:r>
        <w:rPr>
          <w:i/>
          <w:noProof/>
        </w:rPr>
        <w:t>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w:t>
      </w:r>
      <w:r>
        <w:rPr>
          <w:noProof/>
        </w:rPr>
        <w:t>”.</w:t>
      </w:r>
    </w:p>
    <w:p>
      <w:pPr>
        <w:widowControl w:val="0"/>
        <w:shd w:val="clear" w:color="auto" w:fill="FFFFFF"/>
        <w:autoSpaceDE w:val="0"/>
        <w:autoSpaceDN w:val="0"/>
        <w:adjustRightInd w:val="0"/>
        <w:spacing w:before="230" w:after="0" w:line="269" w:lineRule="exact"/>
        <w:ind w:right="86"/>
        <w:rPr>
          <w:noProof/>
        </w:rPr>
      </w:pPr>
      <w:r>
        <w:rPr>
          <w:noProof/>
        </w:rPr>
        <w:t>Ilmaisu ”</w:t>
      </w:r>
      <w:r>
        <w:rPr>
          <w:i/>
          <w:noProof/>
        </w:rPr>
        <w:t>säädökset, joilla on oikeusvaikutuksia</w:t>
      </w:r>
      <w:r>
        <w:rPr>
          <w:noProof/>
        </w:rPr>
        <w:t>”, kattaa myös säädökset, joilla on oikeusvaikutuksia kyseiseen elimeen sovellettavan kansainvälisen oikeuden nojalla. Se kattaa myös välineet, joilla ei ole sitovaa vaikutusta kansainvälisen oikeuden nojalla mutta jotka ”</w:t>
      </w:r>
      <w:r>
        <w:rPr>
          <w:i/>
          <w:noProof/>
        </w:rPr>
        <w:t>voivat vaikuttaa ratkaisevasti sen säännöstön sisältöön, jonka unionin lainsäätäjä antaa</w:t>
      </w:r>
      <w:r>
        <w:rPr>
          <w:noProof/>
        </w:rPr>
        <w:t>”</w:t>
      </w:r>
      <w:r>
        <w:rPr>
          <w:rStyle w:val="FootnoteReference"/>
          <w:noProof/>
        </w:rPr>
        <w:footnoteReference w:id="1"/>
      </w:r>
      <w:r>
        <w:rPr>
          <w:noProof/>
        </w:rPr>
        <w:t>.</w:t>
      </w:r>
    </w:p>
    <w:p>
      <w:pPr>
        <w:pStyle w:val="ManualHeading3"/>
        <w:rPr>
          <w:noProof/>
        </w:rPr>
      </w:pPr>
      <w:r>
        <w:t>4.1.2.</w:t>
      </w:r>
      <w:r>
        <w:tab/>
      </w:r>
      <w:r>
        <w:rPr>
          <w:noProof/>
        </w:rPr>
        <w:t>Soveltaminen käsiteltävänä olevassa asiassa</w:t>
      </w:r>
    </w:p>
    <w:p>
      <w:pPr>
        <w:widowControl w:val="0"/>
        <w:shd w:val="clear" w:color="auto" w:fill="FFFFFF"/>
        <w:autoSpaceDE w:val="0"/>
        <w:autoSpaceDN w:val="0"/>
        <w:adjustRightInd w:val="0"/>
        <w:spacing w:before="230" w:after="0" w:line="269" w:lineRule="exact"/>
        <w:ind w:right="86"/>
        <w:rPr>
          <w:noProof/>
        </w:rPr>
      </w:pPr>
      <w:r>
        <w:rPr>
          <w:noProof/>
        </w:rPr>
        <w:t>Sekakomitea on sopimuksella eli tässä tapauksessa Euroopan unionin ja sen jäsenvaltioiden sekä Filippiinien tasavallan kumppanuutta ja yhteistyötä koskevalla puitesopimuksella perustettu elin.</w:t>
      </w:r>
    </w:p>
    <w:p>
      <w:pPr>
        <w:widowControl w:val="0"/>
        <w:shd w:val="clear" w:color="auto" w:fill="FFFFFF"/>
        <w:autoSpaceDE w:val="0"/>
        <w:autoSpaceDN w:val="0"/>
        <w:adjustRightInd w:val="0"/>
        <w:spacing w:before="230" w:after="0" w:line="269" w:lineRule="exact"/>
        <w:ind w:right="86"/>
        <w:rPr>
          <w:noProof/>
        </w:rPr>
      </w:pPr>
      <w:r>
        <w:rPr>
          <w:noProof/>
        </w:rPr>
        <w:t>Säädös, joka sekakomitean on määrä antaa, on säädös, jolla on oikeusvaikutuksia. Tämä johtuu siitä, että sopimuksen 48 artiklan 5 kohdan mukaan sekakomitean on vahvistettava oma työjärjestyksensä, joka sitoo unionia.</w:t>
      </w:r>
    </w:p>
    <w:p>
      <w:pPr>
        <w:widowControl w:val="0"/>
        <w:shd w:val="clear" w:color="auto" w:fill="FFFFFF"/>
        <w:autoSpaceDE w:val="0"/>
        <w:autoSpaceDN w:val="0"/>
        <w:adjustRightInd w:val="0"/>
        <w:spacing w:before="230" w:after="0" w:line="269" w:lineRule="exact"/>
        <w:ind w:right="86"/>
        <w:rPr>
          <w:noProof/>
        </w:rPr>
      </w:pPr>
      <w:r>
        <w:rPr>
          <w:noProof/>
        </w:rPr>
        <w:t>Suunnitelluilla säädöksillä ei täydennetä eikä muuteta sopimuksen institutionaalisia rakenteita.</w:t>
      </w:r>
    </w:p>
    <w:p>
      <w:pPr>
        <w:widowControl w:val="0"/>
        <w:shd w:val="clear" w:color="auto" w:fill="FFFFFF"/>
        <w:autoSpaceDE w:val="0"/>
        <w:autoSpaceDN w:val="0"/>
        <w:adjustRightInd w:val="0"/>
        <w:spacing w:before="230" w:after="0" w:line="269" w:lineRule="exact"/>
        <w:ind w:right="86"/>
        <w:rPr>
          <w:noProof/>
        </w:rPr>
      </w:pPr>
      <w:r>
        <w:rPr>
          <w:noProof/>
        </w:rPr>
        <w:t>Tämän vuoksi ehdotetun päätöksen menettelyllinen oikeusperusta on SEUT-sopimuksen 218 artiklan 9 kohta.</w:t>
      </w:r>
    </w:p>
    <w:p>
      <w:pPr>
        <w:pStyle w:val="ManualHeading2"/>
        <w:rPr>
          <w:noProof/>
        </w:rPr>
      </w:pPr>
      <w:r>
        <w:t>4.2.</w:t>
      </w:r>
      <w:r>
        <w:tab/>
      </w:r>
      <w:r>
        <w:rPr>
          <w:noProof/>
        </w:rPr>
        <w:t>Aineellinen oikeusperusta</w:t>
      </w:r>
    </w:p>
    <w:p>
      <w:pPr>
        <w:pStyle w:val="ManualHeading3"/>
        <w:rPr>
          <w:noProof/>
        </w:rPr>
      </w:pPr>
      <w:r>
        <w:t>4.2.1.</w:t>
      </w:r>
      <w:r>
        <w:tab/>
      </w:r>
      <w:r>
        <w:rPr>
          <w:noProof/>
        </w:rPr>
        <w:t>Periaatteet</w:t>
      </w:r>
    </w:p>
    <w:p>
      <w:pPr>
        <w:widowControl w:val="0"/>
        <w:shd w:val="clear" w:color="auto" w:fill="FFFFFF"/>
        <w:autoSpaceDE w:val="0"/>
        <w:autoSpaceDN w:val="0"/>
        <w:adjustRightInd w:val="0"/>
        <w:spacing w:before="230" w:after="0" w:line="269" w:lineRule="exact"/>
        <w:ind w:right="86"/>
        <w:rPr>
          <w:noProof/>
        </w:rPr>
      </w:pPr>
      <w:r>
        <w:rPr>
          <w:noProof/>
        </w:rPr>
        <w:t>SEUT-sopimuksen 218 artiklan 9 kohdan nojalla annettavan päätöksen aineellinen oikeusperusta määräytyy ensisijaisesti niiden suunniteltujen säädösten tavoitteen ja sisällön perusteella, joita unionin puolesta otettava kanta koskee. Jos säädöksellä on kaksi tavoitetta tai siihen sisältyy kaksi osatekijää ja jos näistä tavoitteista tai osatekijöistä toinen on mahdollista määritellä pääasialliseksi tavoitteeksi tai osatekijäksi, johon nähden toinen tavoite tai osatekijä on liitännäinen, SEUT-sopimuksen 218 artiklan 9 kohdan nojalla hyväksyttävällä päätöksellä on oltava vain yksi aineellinen oikeusperusta, eli se, jota pääasiallinen tai ensisijainen tavoite tai osatekijä edellyttää.</w:t>
      </w:r>
    </w:p>
    <w:p>
      <w:pPr>
        <w:widowControl w:val="0"/>
        <w:shd w:val="clear" w:color="auto" w:fill="FFFFFF"/>
        <w:autoSpaceDE w:val="0"/>
        <w:autoSpaceDN w:val="0"/>
        <w:adjustRightInd w:val="0"/>
        <w:spacing w:before="230" w:after="0" w:line="269" w:lineRule="exact"/>
        <w:ind w:right="86"/>
        <w:rPr>
          <w:noProof/>
        </w:rPr>
      </w:pPr>
      <w:r>
        <w:rPr>
          <w:noProof/>
        </w:rPr>
        <w:t>Kun säädöksellä on samanaikaisesti useita tavoitteita tai kun siihen sisältyy useita osatekijöitä, joita ei voida erottaa toisistaan ja joista yksikään ei ole toisiin nähden liitännäinen, SEUT-sopimuksen 218 artiklan 9 kohdan nojalla annettavan päätöksen aineellisessa oikeusperustassa on poikkeuksellisesti mainittava kaikki asianmukaiset oikeusperustat.</w:t>
      </w:r>
    </w:p>
    <w:p>
      <w:pPr>
        <w:pStyle w:val="ManualHeading3"/>
        <w:rPr>
          <w:noProof/>
        </w:rPr>
      </w:pPr>
      <w:r>
        <w:t>4.2.2.</w:t>
      </w:r>
      <w:r>
        <w:tab/>
      </w:r>
      <w:r>
        <w:rPr>
          <w:noProof/>
        </w:rPr>
        <w:t>Soveltaminen käsiteltävänä olevassa asiassa</w:t>
      </w:r>
    </w:p>
    <w:p>
      <w:pPr>
        <w:widowControl w:val="0"/>
        <w:shd w:val="clear" w:color="auto" w:fill="FFFFFF"/>
        <w:autoSpaceDE w:val="0"/>
        <w:autoSpaceDN w:val="0"/>
        <w:adjustRightInd w:val="0"/>
        <w:spacing w:before="230" w:after="0" w:line="269" w:lineRule="exact"/>
        <w:ind w:right="86"/>
        <w:rPr>
          <w:noProof/>
        </w:rPr>
      </w:pPr>
      <w:r>
        <w:rPr>
          <w:noProof/>
        </w:rPr>
        <w:t>Suunnitelluilla säädöksillä pyritään edistämään sopimuksen tavoitteita ja helpottamaan sen täytäntöönpanoa. Työjärjestys koskee sopimuksen perusteella perustetun elimen yleistä toimintaa. Näin ollen riitautetun päätöksen soveltamisala on määritettävä koko sopimuksen perusteella.</w:t>
      </w:r>
      <w:r>
        <w:rPr>
          <w:rStyle w:val="FootnoteReference"/>
          <w:noProof/>
        </w:rPr>
        <w:footnoteReference w:id="2"/>
      </w:r>
    </w:p>
    <w:p>
      <w:pPr>
        <w:widowControl w:val="0"/>
        <w:shd w:val="clear" w:color="auto" w:fill="FFFFFF"/>
        <w:autoSpaceDE w:val="0"/>
        <w:autoSpaceDN w:val="0"/>
        <w:adjustRightInd w:val="0"/>
        <w:spacing w:before="230" w:after="0" w:line="269" w:lineRule="exact"/>
        <w:ind w:right="86"/>
        <w:rPr>
          <w:noProof/>
        </w:rPr>
      </w:pPr>
      <w:r>
        <w:rPr>
          <w:noProof/>
        </w:rPr>
        <w:t>Tässä tapauksessa sopimuksen ensisijainen tavoite ja osatekijä on yhteistyö kehitysmaan kanssa (SEUT-sopimuksen 209 artikla).</w:t>
      </w:r>
      <w:r>
        <w:rPr>
          <w:rStyle w:val="FootnoteReference"/>
          <w:noProof/>
        </w:rPr>
        <w:footnoteReference w:id="3"/>
      </w:r>
      <w:r>
        <w:rPr>
          <w:noProof/>
        </w:rPr>
        <w:t xml:space="preserve"> Näin ollen asianmukaisena oikeusperustana olisi oltava SEUT-sopimuksen 209 artikla.</w:t>
      </w:r>
    </w:p>
    <w:p>
      <w:pPr>
        <w:pStyle w:val="ManualHeading2"/>
        <w:rPr>
          <w:noProof/>
        </w:rPr>
      </w:pPr>
      <w:r>
        <w:t>4.3.</w:t>
      </w:r>
      <w:r>
        <w:tab/>
      </w:r>
      <w:r>
        <w:rPr>
          <w:noProof/>
        </w:rPr>
        <w:t>Päätelmät</w:t>
      </w:r>
    </w:p>
    <w:p>
      <w:pPr>
        <w:widowControl w:val="0"/>
        <w:shd w:val="clear" w:color="auto" w:fill="FFFFFF"/>
        <w:autoSpaceDE w:val="0"/>
        <w:autoSpaceDN w:val="0"/>
        <w:adjustRightInd w:val="0"/>
        <w:spacing w:before="230" w:after="0" w:line="269" w:lineRule="exact"/>
        <w:ind w:right="86"/>
        <w:rPr>
          <w:noProof/>
        </w:rPr>
      </w:pPr>
      <w:r>
        <w:rPr>
          <w:noProof/>
        </w:rPr>
        <w:t>Ehdotetun päätöksen oikeusperustana olisi oltava SEUT-sopimuksen 209 artikla yhdessä SEUT-sopimuksen 218 artiklan 9 kohdan kanssa.</w:t>
      </w:r>
    </w:p>
    <w:p>
      <w:pPr>
        <w:pStyle w:val="ManualHeading1"/>
        <w:rPr>
          <w:noProof/>
        </w:rPr>
      </w:pPr>
      <w:r>
        <w:t>5.</w:t>
      </w:r>
      <w:r>
        <w:tab/>
      </w:r>
      <w:r>
        <w:rPr>
          <w:noProof/>
        </w:rPr>
        <w:t>SUUNNITELTUJEN SÄÄDÖSTEN JULKAISEMINEN</w:t>
      </w:r>
    </w:p>
    <w:p>
      <w:pPr>
        <w:widowControl w:val="0"/>
        <w:shd w:val="clear" w:color="auto" w:fill="FFFFFF"/>
        <w:autoSpaceDE w:val="0"/>
        <w:autoSpaceDN w:val="0"/>
        <w:adjustRightInd w:val="0"/>
        <w:spacing w:before="230" w:after="0" w:line="269" w:lineRule="exact"/>
        <w:ind w:right="86"/>
        <w:rPr>
          <w:noProof/>
        </w:rPr>
      </w:pPr>
      <w:r>
        <w:rPr>
          <w:noProof/>
        </w:rPr>
        <w:t xml:space="preserve">Koska sekakomitean säädöksellä vahvistetaan sen työjärjestys, on aiheellista julkaista säädös Euroopan unionin virallisessa lehdessä sen jälkeen kun se on hyväksytty.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2019/0098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Euroopan unionin ja sen jäsenvaltioiden sekä Filippiinien tasavallan kumppanuutta ja yhteistyötä koskevalla puitesopimuksella perustetussa sekakomiteassa Euroopan unionin puolesta otettavasta kannasta sekakomitean työjärjestystä sekä erikoistuneiden alakomiteoiden työjärjestystä koskevien päätösten hyväksymiseen</w:t>
      </w:r>
    </w:p>
    <w:p>
      <w:pPr>
        <w:pStyle w:val="Institutionquiagit"/>
        <w:rPr>
          <w:noProof/>
        </w:rPr>
      </w:pPr>
      <w:r>
        <w:rPr>
          <w:noProof/>
        </w:rPr>
        <w:t>EUROOPAN UNIONIN NEUVOSTO, joka</w:t>
      </w:r>
    </w:p>
    <w:p>
      <w:pPr>
        <w:rPr>
          <w:noProof/>
        </w:rPr>
      </w:pPr>
      <w:r>
        <w:rPr>
          <w:noProof/>
        </w:rPr>
        <w:t>ottaa huomioon Euroopan unionin toiminnasta tehdyn sopimuksen ja erityisesti sen 209 artiklan yhdessä sen 218 artiklan 9 kohdan kanssa,</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color w:val="000000" w:themeColor="text1"/>
        </w:rPr>
        <w:t xml:space="preserve">Euroopan </w:t>
      </w:r>
      <w:r>
        <w:rPr>
          <w:noProof/>
        </w:rPr>
        <w:t>unionin ja sen jäsenvaltioiden sekä Filippiinien tasavallan kumppanuutta ja yhteistyötä koskeva puitesopimus, jäljempänä</w:t>
      </w:r>
      <w:r>
        <w:rPr>
          <w:noProof/>
          <w:color w:val="000000" w:themeColor="text1"/>
        </w:rPr>
        <w:t xml:space="preserve"> ’sopimus’, tuli voimaan 1 päivänä maaliskuuta 2018</w:t>
      </w:r>
      <w:r>
        <w:t>.</w:t>
      </w:r>
    </w:p>
    <w:p>
      <w:pPr>
        <w:pStyle w:val="ManualConsidrant"/>
        <w:rPr>
          <w:noProof/>
        </w:rPr>
      </w:pPr>
      <w:r>
        <w:t>(2)</w:t>
      </w:r>
      <w:r>
        <w:tab/>
      </w:r>
      <w:r>
        <w:rPr>
          <w:noProof/>
        </w:rPr>
        <w:t>Sopimuksen 48 artiklan 1 kohdalla perustetaan sekakomitea, jonka tehtävänä on varmistaa sopimuksen moitteeton toiminta ja täytäntöönpano.</w:t>
      </w:r>
    </w:p>
    <w:p>
      <w:pPr>
        <w:pStyle w:val="ManualConsidrant"/>
        <w:rPr>
          <w:noProof/>
        </w:rPr>
      </w:pPr>
      <w:r>
        <w:t>(3)</w:t>
      </w:r>
      <w:r>
        <w:tab/>
      </w:r>
      <w:r>
        <w:rPr>
          <w:noProof/>
        </w:rPr>
        <w:t>Sopimuksen 48 artiklan 5 kohdassa määrätään, että sekakomitea vahvistaa oman työjärjestyksensä, ja 48 artiklan 3 kohdan mukaan sekakomitea voi perustaa erikoistuneita alakomiteoita.</w:t>
      </w:r>
    </w:p>
    <w:p>
      <w:pPr>
        <w:pStyle w:val="ManualConsidrant"/>
        <w:rPr>
          <w:noProof/>
        </w:rPr>
      </w:pPr>
      <w:r>
        <w:t>(4)</w:t>
      </w:r>
      <w:r>
        <w:tab/>
      </w:r>
      <w:r>
        <w:rPr>
          <w:noProof/>
        </w:rPr>
        <w:t>Sopimuksen tehokkaan täytäntöönpanon varmistamiseksi sekakomitean työjärjestys olisi hyväksyttävä mahdollisimman pian.</w:t>
      </w:r>
    </w:p>
    <w:p>
      <w:pPr>
        <w:pStyle w:val="ManualConsidrant"/>
        <w:rPr>
          <w:noProof/>
        </w:rPr>
      </w:pPr>
      <w:r>
        <w:t>(5)</w:t>
      </w:r>
      <w:r>
        <w:tab/>
      </w:r>
      <w:r>
        <w:rPr>
          <w:noProof/>
        </w:rPr>
        <w:t>Sen vuoksi on aiheellista määrittää kanta, joka otetaan sekakomiteassa unionin puolesta. Unionin kannan sekakomiteassa olisi perustuttava tähän liitettyihin sekakomitean päätösluonnoksiin,</w:t>
      </w:r>
    </w:p>
    <w:p>
      <w:pPr>
        <w:pStyle w:val="Formuledadoption"/>
        <w:rPr>
          <w:noProof/>
        </w:rPr>
      </w:pPr>
      <w:r>
        <w:rPr>
          <w:noProof/>
        </w:rPr>
        <w:t xml:space="preserve">ON HYVÄKSYNYT TÄMÄN PÄÄTÖKSEN: </w:t>
      </w:r>
    </w:p>
    <w:p>
      <w:pPr>
        <w:pStyle w:val="Titrearticle"/>
        <w:rPr>
          <w:noProof/>
        </w:rPr>
      </w:pPr>
      <w:r>
        <w:rPr>
          <w:noProof/>
        </w:rPr>
        <w:t>1 artikla</w:t>
      </w:r>
    </w:p>
    <w:p>
      <w:pPr>
        <w:rPr>
          <w:noProof/>
          <w:color w:val="000000" w:themeColor="text1"/>
        </w:rPr>
      </w:pPr>
      <w:r>
        <w:rPr>
          <w:noProof/>
          <w:color w:val="000000" w:themeColor="text1"/>
        </w:rPr>
        <w:t>EU:n ja Filippiinien sekakomitean ensimmäisessä kokouksessa unionin puolesta otettavan kannan, joka koskee sekakomitean työjärjestyksen ja sen alakomiteoiden työjärjestyksen suunniteltua vahvistamista, on perustuttava tähän päätökseen liitettyihin sekakomitean päätösluonnoksiin.</w:t>
      </w:r>
    </w:p>
    <w:p>
      <w:pPr>
        <w:pStyle w:val="Titrearticle"/>
        <w:rPr>
          <w:noProof/>
        </w:rPr>
      </w:pPr>
      <w:r>
        <w:rPr>
          <w:noProof/>
        </w:rPr>
        <w:t>2 artikla</w:t>
      </w:r>
    </w:p>
    <w:p>
      <w:pPr>
        <w:keepNext/>
        <w:keepLines/>
        <w:rPr>
          <w:noProof/>
        </w:rPr>
      </w:pPr>
      <w:r>
        <w:rPr>
          <w:noProof/>
        </w:rPr>
        <w:t>Tämä päätös on osoitettu komissiolle.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Asia C-399/12 Saksa v. neuvosto (OIV), ECLI:EU:C:2014:2258, 61–64 kohta.</w:t>
      </w:r>
    </w:p>
  </w:footnote>
  <w:footnote w:id="2">
    <w:p>
      <w:pPr>
        <w:pStyle w:val="FootnoteText"/>
      </w:pPr>
      <w:r>
        <w:rPr>
          <w:rStyle w:val="FootnoteReference"/>
        </w:rPr>
        <w:footnoteRef/>
      </w:r>
      <w:r>
        <w:tab/>
        <w:t xml:space="preserve">Asia C-244/17, komissio v. neuvosto (Kazakstan), </w:t>
      </w:r>
      <w:r>
        <w:rPr>
          <w:rStyle w:val="outputecli"/>
        </w:rPr>
        <w:t>ECLI:EU:C:2018:662, 40 kohta.</w:t>
      </w:r>
    </w:p>
  </w:footnote>
  <w:footnote w:id="3">
    <w:p>
      <w:pPr>
        <w:pStyle w:val="FootnoteText"/>
      </w:pPr>
      <w:r>
        <w:rPr>
          <w:rStyle w:val="FootnoteReference"/>
        </w:rPr>
        <w:footnoteRef/>
      </w:r>
      <w:r>
        <w:tab/>
        <w:t>Kehityspolitiikan soveltamisalan osalta ks. asia C-377/12, komissio v. neuvosto (Filippiinit), 36–37 kohta.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D466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724A9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240E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942A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7C42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23EFE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D8A4318"/>
    <w:lvl w:ilvl="0">
      <w:start w:val="1"/>
      <w:numFmt w:val="decimal"/>
      <w:pStyle w:val="ListNumber"/>
      <w:lvlText w:val="%1."/>
      <w:lvlJc w:val="left"/>
      <w:pPr>
        <w:tabs>
          <w:tab w:val="num" w:pos="360"/>
        </w:tabs>
        <w:ind w:left="360" w:hanging="360"/>
      </w:pPr>
    </w:lvl>
  </w:abstractNum>
  <w:abstractNum w:abstractNumId="7">
    <w:nsid w:val="FFFFFF89"/>
    <w:multiLevelType w:val="singleLevel"/>
    <w:tmpl w:val="9F7603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UMGART Lukasz (SJ)">
    <w15:presenceInfo w15:providerId="None" w15:userId="BAUMGART Lukasz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25 11:43:5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9"/>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04E495D-3A98-4B88-9F7D-D54BE4F42AED"/>
    <w:docVar w:name="LW_COVERPAGE_TYPE" w:val="1"/>
    <w:docVar w:name="LW_CROSSREFERENCE" w:val="&lt;UNUSED&gt;"/>
    <w:docVar w:name="LW_DocType" w:val="COM"/>
    <w:docVar w:name="LW_EMISSION" w:val="29.4.2019"/>
    <w:docVar w:name="LW_EMISSION_ISODATE" w:val="2019-04-29"/>
    <w:docVar w:name="LW_EMISSION_LOCATION" w:val="BRX"/>
    <w:docVar w:name="LW_EMISSION_PREFIX" w:val="Bry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98"/>
    <w:docVar w:name="LW_REF.II.NEW.CP_YEAR" w:val="2019"/>
    <w:docVar w:name="LW_REF.INST.NEW" w:val="COM"/>
    <w:docVar w:name="LW_REF.INST.NEW_ADOPTED" w:val="final"/>
    <w:docVar w:name="LW_REF.INST.NEW_TEXT" w:val="(2019) 1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Euroopan unionin ja sen jäsenvaltioiden sekä Filippiinien tasavallan kumppanuutta ja yhteistyötä koskevalla puitesopimuksella perustetussa sekakomiteassa Euroopan unionin puolesta otettavasta kannasta sekakomitean työjärjestystä sekä erikoistuneiden alakomiteoiden työjärjestystä koskevien päätösten hyväksymiseen"/>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qd">
    <w:name w:val="Heqd"/>
    <w:basedOn w:val="Normal"/>
    <w:pPr>
      <w:widowControl w:val="0"/>
      <w:shd w:val="clear" w:color="auto" w:fill="FFFFFF"/>
      <w:autoSpaceDE w:val="0"/>
      <w:autoSpaceDN w:val="0"/>
      <w:adjustRightInd w:val="0"/>
      <w:spacing w:before="230" w:after="0" w:line="269" w:lineRule="exact"/>
      <w:ind w:right="86"/>
    </w:pPr>
    <w:rPr>
      <w:rFonts w:eastAsiaTheme="majorEastAsia"/>
      <w:b/>
      <w:bCs/>
      <w:szCs w:val="2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customStyle="1" w:styleId="outputecli">
    <w:name w:val="outputecli"/>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qd">
    <w:name w:val="Heqd"/>
    <w:basedOn w:val="Normal"/>
    <w:pPr>
      <w:widowControl w:val="0"/>
      <w:shd w:val="clear" w:color="auto" w:fill="FFFFFF"/>
      <w:autoSpaceDE w:val="0"/>
      <w:autoSpaceDN w:val="0"/>
      <w:adjustRightInd w:val="0"/>
      <w:spacing w:before="230" w:after="0" w:line="269" w:lineRule="exact"/>
      <w:ind w:right="86"/>
    </w:pPr>
    <w:rPr>
      <w:rFonts w:eastAsiaTheme="majorEastAsia"/>
      <w:b/>
      <w:bCs/>
      <w:szCs w:val="2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customStyle="1" w:styleId="outputecli">
    <w:name w:val="outputecli"/>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3893-C6FA-4389-978D-C9191995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856</Words>
  <Characters>6956</Characters>
  <Application>Microsoft Office Word</Application>
  <DocSecurity>0</DocSecurity>
  <Lines>128</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2019-02-06T13:35:00Z</cp:lastPrinted>
  <dcterms:created xsi:type="dcterms:W3CDTF">2019-04-15T15:28:00Z</dcterms:created>
  <dcterms:modified xsi:type="dcterms:W3CDTF">2019-04-25T09:43:00Z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