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3D5DE8F5-5ACF-4470-AD55-5487484F9A82" style="width:450.8pt;height:306.8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</w:rPr>
        <w:lastRenderedPageBreak/>
        <w:t>Tekintettel:</w:t>
      </w:r>
    </w:p>
    <w:p>
      <w:pPr>
        <w:pStyle w:val="Tiret0"/>
        <w:rPr>
          <w:noProof/>
        </w:rPr>
      </w:pPr>
      <w:r>
        <w:rPr>
          <w:noProof/>
        </w:rPr>
        <w:t>az Európai Unió működéséről szóló szerződésre és különösen annak 314. cikkére, összefüggésben az Európai Atomenergia-közösséget létrehozó szerződéssel és különösen annak 106a. cikkével,</w:t>
      </w:r>
    </w:p>
    <w:p>
      <w:pPr>
        <w:pStyle w:val="Tiret0"/>
        <w:tabs>
          <w:tab w:val="clear" w:pos="850"/>
          <w:tab w:val="num" w:pos="927"/>
        </w:tabs>
        <w:rPr>
          <w:rFonts w:cs="Arial"/>
          <w:noProof/>
          <w:szCs w:val="18"/>
        </w:rPr>
      </w:pPr>
      <w:r>
        <w:rPr>
          <w:noProof/>
        </w:rPr>
        <w:t>az Unió általános költségvetésére alkalmazandó pénzügyi szabályokról (...) szóló, 2018. július 18-i (EU, Euratom) 2018/1046 európai parlamenti és tanácsi rendeletre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és különösen annak 44. cikkére,</w:t>
      </w:r>
    </w:p>
    <w:p>
      <w:pPr>
        <w:pStyle w:val="Tiret0"/>
        <w:tabs>
          <w:tab w:val="clear" w:pos="850"/>
          <w:tab w:val="num" w:pos="927"/>
        </w:tabs>
        <w:rPr>
          <w:noProof/>
        </w:rPr>
      </w:pPr>
      <w:r>
        <w:rPr>
          <w:noProof/>
        </w:rPr>
        <w:t>az Európai Unió 2019-es pénzügyi évre vonatkozó, 2018. december 12-én elfogadott általános költségvetésére</w:t>
      </w:r>
      <w:r>
        <w:rPr>
          <w:rStyle w:val="FootnoteReference"/>
          <w:noProof/>
        </w:rPr>
        <w:footnoteReference w:id="3"/>
      </w:r>
      <w:r>
        <w:rPr>
          <w:noProof/>
        </w:rPr>
        <w:t>,</w:t>
      </w:r>
    </w:p>
    <w:p>
      <w:pPr>
        <w:jc w:val="both"/>
        <w:rPr>
          <w:noProof/>
        </w:rPr>
      </w:pPr>
      <w:r>
        <w:rPr>
          <w:noProof/>
        </w:rPr>
        <w:t>az Európai Bizottság az Európai Parlament és a Tanács elé terjeszti a 2019. évi költségvetés 1. sz. költségvetés-módosítási tervezetét.</w:t>
      </w:r>
    </w:p>
    <w:p>
      <w:pPr>
        <w:rPr>
          <w:b/>
          <w:noProof/>
          <w:u w:val="single"/>
        </w:rPr>
      </w:pPr>
    </w:p>
    <w:p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A SZAKASZONKÉNTI BONTÁSÚ BEVÉTELI ÉS KIADÁSI KIMUTATÁS VÁLTOZÁSAI</w:t>
      </w:r>
    </w:p>
    <w:p>
      <w:pPr>
        <w:rPr>
          <w:b/>
          <w:noProof/>
          <w:u w:val="single"/>
        </w:rPr>
      </w:pPr>
    </w:p>
    <w:p>
      <w:pPr>
        <w:jc w:val="both"/>
        <w:rPr>
          <w:noProof/>
        </w:rPr>
      </w:pPr>
      <w:r>
        <w:rPr>
          <w:noProof/>
        </w:rPr>
        <w:t>A szakaszonkénti bontású bevételi és kiadási kimutatás változásai elérhetők az EUR-Lexen (</w:t>
      </w:r>
      <w:hyperlink r:id="rId16">
        <w:r>
          <w:rPr>
            <w:rStyle w:val="Hyperlink"/>
            <w:noProof/>
            <w:color w:val="auto"/>
          </w:rPr>
          <w:t>http://eur-lex.europa.eu/budget/www/index-hu.htm</w:t>
        </w:r>
      </w:hyperlink>
      <w:r>
        <w:rPr>
          <w:noProof/>
        </w:rPr>
        <w:t>). E változások angol nyelvű változata tájékoztatásul költségvetési mellékletként csatolva található.</w:t>
      </w:r>
    </w:p>
    <w:p>
      <w:pPr>
        <w:rPr>
          <w:noProof/>
        </w:rPr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Exposdesmotifstitre"/>
        <w:rPr>
          <w:noProof/>
        </w:rPr>
      </w:pPr>
      <w:bookmarkStart w:id="2" w:name="_Toc194220890"/>
      <w:bookmarkStart w:id="3" w:name="_Toc294675429"/>
      <w:bookmarkStart w:id="4" w:name="_Toc378575883"/>
      <w:r>
        <w:rPr>
          <w:noProof/>
        </w:rPr>
        <w:t>INDOKOLÁS</w:t>
      </w:r>
    </w:p>
    <w:p>
      <w:pPr>
        <w:jc w:val="both"/>
        <w:rPr>
          <w:noProof/>
        </w:rPr>
      </w:pPr>
      <w:r>
        <w:rPr>
          <w:noProof/>
        </w:rPr>
        <w:t>Az 1/2019. sz. költségvetés-módosítási tervezet célja a 2018. évi költségvetés végrehajtásából származó többlet bevitele a 2019. évi költségvetésbe. Az Unió általános költségvetésére alkalmazandó költségvetési rendelet</w:t>
      </w:r>
      <w:r>
        <w:rPr>
          <w:noProof/>
          <w:vertAlign w:val="superscript"/>
        </w:rPr>
        <w:footnoteReference w:id="4"/>
      </w:r>
      <w:r>
        <w:rPr>
          <w:noProof/>
        </w:rPr>
        <w:t xml:space="preserve"> 18. cikke (3) bekezdésének megfelelően e költségvetés-módosítási tervezet témája kizárólag ez, és a tervezetet az előzetes beszámoló 2019. március végi benyújtását követő 15 napon belül be kell nyújtani.</w:t>
      </w:r>
    </w:p>
    <w:p>
      <w:pPr>
        <w:pStyle w:val="NumPar1"/>
        <w:rPr>
          <w:noProof/>
          <w:color w:val="000000"/>
        </w:rPr>
      </w:pPr>
      <w:r>
        <w:rPr>
          <w:noProof/>
        </w:rPr>
        <w:t>A 2018. évi költségvetés végrehajtása során 1 802 988 329 EUR többlet keletkezett, amely a 2019. évi költségvetésben ezért bevételként szerepel.</w:t>
      </w:r>
    </w:p>
    <w:p>
      <w:pPr>
        <w:pStyle w:val="NumPar1"/>
        <w:numPr>
          <w:ilvl w:val="0"/>
          <w:numId w:val="0"/>
        </w:numPr>
        <w:spacing w:after="0"/>
        <w:ind w:left="5954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(EUR)</w:t>
      </w:r>
    </w:p>
    <w:tbl>
      <w:tblPr>
        <w:tblW w:w="3716" w:type="dxa"/>
        <w:jc w:val="center"/>
        <w:tblLook w:val="04A0" w:firstRow="1" w:lastRow="0" w:firstColumn="1" w:lastColumn="0" w:noHBand="0" w:noVBand="1"/>
      </w:tblPr>
      <w:tblGrid>
        <w:gridCol w:w="2159"/>
        <w:gridCol w:w="1557"/>
      </w:tblGrid>
      <w:tr>
        <w:trPr>
          <w:trHeight w:val="570"/>
          <w:jc w:val="center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 2018. évi eredmény bontása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Többletbevétel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1 274 590 133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Kiadásokból származó többlet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528 398 196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Többlet összesen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1 802 988 329</w:t>
            </w:r>
          </w:p>
        </w:tc>
      </w:tr>
    </w:tbl>
    <w:bookmarkEnd w:id="2"/>
    <w:p>
      <w:pPr>
        <w:pStyle w:val="NumPar1"/>
        <w:rPr>
          <w:noProof/>
        </w:rPr>
      </w:pPr>
      <w:r>
        <w:rPr>
          <w:noProof/>
        </w:rPr>
        <w:t>A többlet költségvetésbe való bevitelével ilyen mértékben csökken a 28 tagállamnak a 2019. évi költségvetéshez való teljes hozzájárulása is</w:t>
      </w:r>
      <w:r>
        <w:rPr>
          <w:rStyle w:val="FootnoteReference"/>
          <w:noProof/>
        </w:rPr>
        <w:footnoteReference w:id="5"/>
      </w:r>
      <w:r>
        <w:rPr>
          <w:noProof/>
        </w:rPr>
        <w:t>. A tagállamok hozzájárulását a saját forrásokra vonatkozó aktualizált előrejelzés is befolyásolja majd, amely a saját forrásokkal foglalkozó tanácsadó bizottság 2019. májusi ülését követően áll majd rendelkezésre, és egy későbbi költségvetés-módosítási tervezetben fog szerepelni.</w:t>
      </w:r>
    </w:p>
    <w:p>
      <w:pPr>
        <w:pStyle w:val="NumPar1"/>
        <w:spacing w:before="240" w:after="0"/>
        <w:ind w:left="851" w:hanging="851"/>
        <w:rPr>
          <w:noProof/>
        </w:rPr>
      </w:pPr>
      <w:r>
        <w:rPr>
          <w:noProof/>
        </w:rPr>
        <w:t>Az alábbi táblázatban a 2018. évi eredmény a bevételek végrehajtása szerinti bontásban látható:</w:t>
      </w:r>
    </w:p>
    <w:p>
      <w:pPr>
        <w:pStyle w:val="NumPar1"/>
        <w:numPr>
          <w:ilvl w:val="0"/>
          <w:numId w:val="0"/>
        </w:numPr>
        <w:spacing w:after="0"/>
        <w:ind w:left="850" w:hanging="850"/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(EUR)</w:t>
      </w:r>
    </w:p>
    <w:tbl>
      <w:tblPr>
        <w:tblW w:w="9929" w:type="dxa"/>
        <w:tblInd w:w="93" w:type="dxa"/>
        <w:tblLook w:val="04A0" w:firstRow="1" w:lastRow="0" w:firstColumn="1" w:lastColumn="0" w:noHBand="0" w:noVBand="1"/>
      </w:tblPr>
      <w:tblGrid>
        <w:gridCol w:w="377"/>
        <w:gridCol w:w="4883"/>
        <w:gridCol w:w="1556"/>
        <w:gridCol w:w="1556"/>
        <w:gridCol w:w="1557"/>
      </w:tblGrid>
      <w:tr>
        <w:trPr>
          <w:trHeight w:val="5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 2018. évi eredmény bontása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Költségvetés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b/>
                <w:noProof/>
                <w:color w:val="000000"/>
                <w:sz w:val="18"/>
              </w:rPr>
              <w:t>(az 1–6. sz. költségvetés-módosítással együtt)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Eredmény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Eltérés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Bevétel részösszesen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144 767 916 298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146 042 506 431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1 274 590 133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1. cím – Saját források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142 363 728 037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142 329 649 983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–34 078 054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Lefölözések és egyéb vámok a cukorágazatban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–92 981 713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–85 070 995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7 910 718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Vámok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20 164 642 350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20 316 700 932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152 058 582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Hozzáadottérték-adóból származó saját források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17 148 885 750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17 132 576 159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–16 309 591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A GNI alapján megállapított saját források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105 143 181 650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104 978 526 257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–164 655 393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A költségvetési egyensúlyhiányra tekintettel az Egyesült Királyság részére juttatott korrekció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–18 997 428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–18 997 428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Az éves GNI-alapú hozzájárulás bruttó csökkentése egyes tagállamok esetében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5 915 059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5 915 059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3. cím – Többletek, egyenlegek és kiigazítások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555 542 325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581 255 381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25 713 056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4. cím – Az intézményeknél dolgozó személyek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1 547 408 825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1 541 840 701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–5 568 124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5. cím – Az intézmények igazgatási tevékenysége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45 050 050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3 715 390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–41 334 660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6. cím – Visszatérítések az uniós megállapodások és programok keretében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110 000 000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106 217 941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–3 782 059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7. cím – Késedelmi kamatok és pénzbírságok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115 000 000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1 427 642 570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1 312 642 570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8. cím – Hitelfelvételi és hitelfolyósítási műveletek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6 186 061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39 035 856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32 849 795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9. cím – Egyéb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25 001 000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13 148 609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–11 852 391</w:t>
            </w:r>
          </w:p>
        </w:tc>
      </w:tr>
    </w:tbl>
    <w:bookmarkEnd w:id="3"/>
    <w:bookmarkEnd w:id="4"/>
    <w:p>
      <w:pPr>
        <w:pStyle w:val="NumPar1"/>
        <w:rPr>
          <w:noProof/>
        </w:rPr>
      </w:pPr>
      <w:r>
        <w:rPr>
          <w:noProof/>
        </w:rPr>
        <w:t>Az 1. címben (</w:t>
      </w:r>
      <w:r>
        <w:rPr>
          <w:i/>
          <w:noProof/>
        </w:rPr>
        <w:t>Saját források</w:t>
      </w:r>
      <w:r>
        <w:rPr>
          <w:noProof/>
        </w:rPr>
        <w:t>) szereplő eltérések az előrejelzés 0,02 %-át teszik ki. Az eltérések elsősorban a következőket tartalmazzák: 160 millió EUR-val magasabb bevétel a tradicionális saját forrásokból (az előrejelzés 100,8 %-át szedték be) és 200 millió EUR-val alacsonyabb bevétel az árfolyam-ingadozások miatt (mivel a saját forrásokat a hazai pénznemben fizetik be, de a költségvetésbe euróban viszik be és számolják el). A 3. címben (</w:t>
      </w:r>
      <w:r>
        <w:rPr>
          <w:i/>
          <w:noProof/>
        </w:rPr>
        <w:t>Többletek, egyenlegek és kiigazítások</w:t>
      </w:r>
      <w:r>
        <w:rPr>
          <w:noProof/>
        </w:rPr>
        <w:t>) az eltérés – a saját források kiigazításaihoz kapcsolódóan – 26 millió EUR.</w:t>
      </w:r>
    </w:p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>A legnagyobb eltérés (1 313 millió EUR) a 7. címben (</w:t>
      </w:r>
      <w:r>
        <w:rPr>
          <w:i/>
          <w:noProof/>
        </w:rPr>
        <w:t>Késedelmi kamatok és pénzbírságok</w:t>
      </w:r>
      <w:r>
        <w:rPr>
          <w:noProof/>
        </w:rPr>
        <w:t>) található.</w:t>
      </w:r>
      <w:r>
        <w:rPr>
          <w:i/>
          <w:noProof/>
        </w:rPr>
        <w:t xml:space="preserve"> </w:t>
      </w:r>
      <w:r>
        <w:rPr>
          <w:noProof/>
        </w:rPr>
        <w:t>Az eredmény a versenypolitikai bírságok összegéből, valamint a késedelmi kamatok, az egyéb kényszerítő bírságok, továbbá a pénzbírságokkal és kényszerítő bírságokkal kapcsolatos kamatok összegéből áll.</w:t>
      </w:r>
    </w:p>
    <w:p>
      <w:pPr>
        <w:pStyle w:val="NumPar1"/>
        <w:spacing w:before="240" w:after="0"/>
        <w:ind w:left="851" w:hanging="851"/>
        <w:rPr>
          <w:noProof/>
        </w:rPr>
      </w:pPr>
      <w:r>
        <w:rPr>
          <w:noProof/>
        </w:rPr>
        <w:t>Az alábbi táblázatban a 2018. évi eredmény az összes intézmény kiadásainak költségvetési végrehajtása szerinti bontásban látható:</w:t>
      </w:r>
    </w:p>
    <w:p>
      <w:pPr>
        <w:pStyle w:val="NumPar1"/>
        <w:numPr>
          <w:ilvl w:val="0"/>
          <w:numId w:val="0"/>
        </w:numPr>
        <w:spacing w:after="0"/>
        <w:ind w:left="850" w:hanging="850"/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(EUR)</w:t>
      </w:r>
    </w:p>
    <w:tbl>
      <w:tblPr>
        <w:tblW w:w="9929" w:type="dxa"/>
        <w:tblInd w:w="93" w:type="dxa"/>
        <w:tblLook w:val="04A0" w:firstRow="1" w:lastRow="0" w:firstColumn="1" w:lastColumn="0" w:noHBand="0" w:noVBand="1"/>
      </w:tblPr>
      <w:tblGrid>
        <w:gridCol w:w="377"/>
        <w:gridCol w:w="4883"/>
        <w:gridCol w:w="1556"/>
        <w:gridCol w:w="1556"/>
        <w:gridCol w:w="1557"/>
      </w:tblGrid>
      <w:tr>
        <w:trPr>
          <w:trHeight w:val="5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 2018. évi eredmény bontása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Költségvetés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b/>
                <w:noProof/>
                <w:color w:val="000000"/>
                <w:sz w:val="18"/>
              </w:rPr>
              <w:t>(az 1–6. sz. költségvetés-módosítással együtt)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Eredmény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Eltérés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Kiadás részösszesen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144 767 916 298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144 239 518 102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–528 398 196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Éves eredmény-előirányzatok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144 767 916 298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144 369 781 354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–398 134 944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Európai Bizottság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140 752 776 672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140 430 555 977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–322 220 695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1a. fejezet – Versenyképesség a növekedésért és foglalkoztatásért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20 154 593 499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20 113 652 917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–40 940 582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1b. alfejezet — Gazdasági, társadalmi és területi kohézió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46 577 928 034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46 559 473 543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–18 454 491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2. fejezet — Fenntartható növekedés: természeti erőforrások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56 240 984 244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56 228 111 429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–12 872 815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3. fejezet – Biztonság és uniós polgárság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3 013 090 479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2 988 185 217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–24 905 262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4. fejezet — Globális Európa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8 812 942 021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8 776 262 725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–36 679 295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5. fejezet – Igazgatás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5 651 421 501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5 607 423 914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–43 997 587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Egyéb speciális eszközök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301 816 894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157 446 231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–144 370 663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Egyéb intézmények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4 015 139 626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3 939 225 376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–75 914 250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Európai Parlament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1 950 687 373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1 934 477 627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–16 209 746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Tanács és Európai Tanács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572 894 377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526 545 514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–46 348 863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Az Európai Unió Bírósága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410 025 089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406 681 899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–3 343 190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Európai Számvevőszék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146 015 591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140 484 381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–5 531 210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Európai Gazdasági és Szociális Bizottság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135 630 905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133 811 443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–1 819 462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Régiók Bizottsága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96 100 540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95 380 187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–720 353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Európai ombudsman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10 837 545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10 331 816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–505 729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Európai adatvédelmi biztos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14 449 068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13 539 302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–909 766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Európai Külügyi Szolgálat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678 499 138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677 973 207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–525 931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Előző évekről áthozott előirányzatok megszüntetése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–129 699 126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–129 699 126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Európai Bizottság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–68 082 034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–68 082 034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Egyéb intézmények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–61 617 091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–61 617 091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 kiadásokra vonatkozó átváltási árfolyamok változásai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–564 126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–564 126</w:t>
            </w:r>
          </w:p>
        </w:tc>
      </w:tr>
    </w:tbl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>A Bizottság a jóváhagyott kifizetési előirányzatok 99,8 %-át hajtotta végre. A végre nem hajtott összeg 322 millió EUR volt, ebből 120 millió EUR a sürgősségisegély-tartalékhoz kapcsolódik.</w:t>
      </w:r>
    </w:p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>Az előirányzatoknak a többi intézmény általi nem teljes körű felhasználása 76 millió EUR volt, ami alacsonyabb az előző három évi összegnél (2017-ben 83 millió EUR, 2016-ban 103 millió EUR, 2015-ben pedig 94 millió EUR).</w: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0"/>
      <w:ind w:left="-851" w:right="-851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0"/>
      <w:ind w:left="-851" w:right="-851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8"/>
        </w:rPr>
        <w:t>HL L 193., 2018.7.30., 1. o.</w:t>
      </w:r>
    </w:p>
  </w:footnote>
  <w:footnote w:id="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>.</w:t>
      </w:r>
      <w:r>
        <w:tab/>
      </w:r>
      <w:r>
        <w:rPr>
          <w:sz w:val="18"/>
        </w:rPr>
        <w:t>HL L 67., 2019.3.7.</w:t>
      </w:r>
    </w:p>
  </w:footnote>
  <w:footnote w:id="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HL L 193., 2018.7.30., 1. o.</w:t>
      </w:r>
    </w:p>
  </w:footnote>
  <w:footnote w:id="5">
    <w:p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ab/>
        <w:t>A költségvetés-módosítási tervezetet a 28 tagú EU-ra vonatkozóan javasolja a Bizottság, mivel az Egyesült Királyság kilépésének időpontját 2019. október 31-ig elhalasztották.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BA7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7ED41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856D4"/>
    <w:multiLevelType w:val="hybridMultilevel"/>
    <w:tmpl w:val="B07CF3C4"/>
    <w:lvl w:ilvl="0" w:tplc="3D900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4526B"/>
    <w:multiLevelType w:val="hybridMultilevel"/>
    <w:tmpl w:val="18D88870"/>
    <w:lvl w:ilvl="0" w:tplc="8A36BA8C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886"/>
    <w:multiLevelType w:val="hybridMultilevel"/>
    <w:tmpl w:val="FBA0B950"/>
    <w:lvl w:ilvl="0" w:tplc="D1CAE414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20AC0"/>
    <w:multiLevelType w:val="hybridMultilevel"/>
    <w:tmpl w:val="32B0E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36C33"/>
    <w:multiLevelType w:val="hybridMultilevel"/>
    <w:tmpl w:val="4036C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95CFC"/>
    <w:multiLevelType w:val="hybridMultilevel"/>
    <w:tmpl w:val="D988CA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27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F78565E"/>
    <w:multiLevelType w:val="hybridMultilevel"/>
    <w:tmpl w:val="3F76E5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246D7F"/>
    <w:multiLevelType w:val="hybridMultilevel"/>
    <w:tmpl w:val="E1EA8208"/>
    <w:lvl w:ilvl="0" w:tplc="94027E84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33BE45BD"/>
    <w:multiLevelType w:val="hybridMultilevel"/>
    <w:tmpl w:val="6D221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27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A3932"/>
    <w:multiLevelType w:val="hybridMultilevel"/>
    <w:tmpl w:val="FA52B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3F090162"/>
    <w:multiLevelType w:val="hybridMultilevel"/>
    <w:tmpl w:val="97F2B26A"/>
    <w:lvl w:ilvl="0" w:tplc="61E2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7">
    <w:nsid w:val="41AF2082"/>
    <w:multiLevelType w:val="hybridMultilevel"/>
    <w:tmpl w:val="A672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628B4"/>
    <w:multiLevelType w:val="hybridMultilevel"/>
    <w:tmpl w:val="7706A2BE"/>
    <w:lvl w:ilvl="0" w:tplc="3D900F3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8C3B69"/>
    <w:multiLevelType w:val="multilevel"/>
    <w:tmpl w:val="9B14DAA8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D2B5511"/>
    <w:multiLevelType w:val="singleLevel"/>
    <w:tmpl w:val="74A09970"/>
    <w:name w:val="Heading__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>
    <w:nsid w:val="7123216D"/>
    <w:multiLevelType w:val="hybridMultilevel"/>
    <w:tmpl w:val="F648ECEA"/>
    <w:lvl w:ilvl="0" w:tplc="AB00A5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A0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D8E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0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20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89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6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AA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40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E95D7F"/>
    <w:multiLevelType w:val="multilevel"/>
    <w:tmpl w:val="F126F78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3">
    <w:nsid w:val="7C966381"/>
    <w:multiLevelType w:val="multilevel"/>
    <w:tmpl w:val="DCC8806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6"/>
  </w:num>
  <w:num w:numId="5">
    <w:abstractNumId w:val="21"/>
  </w:num>
  <w:num w:numId="6">
    <w:abstractNumId w:val="16"/>
  </w:num>
  <w:num w:numId="7">
    <w:abstractNumId w:val="20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  <w:num w:numId="16">
    <w:abstractNumId w:val="18"/>
  </w:num>
  <w:num w:numId="17">
    <w:abstractNumId w:val="16"/>
  </w:num>
  <w:num w:numId="18">
    <w:abstractNumId w:val="19"/>
  </w:num>
  <w:num w:numId="19">
    <w:abstractNumId w:val="4"/>
  </w:num>
  <w:num w:numId="20">
    <w:abstractNumId w:val="9"/>
  </w:num>
  <w:num w:numId="21">
    <w:abstractNumId w:val="16"/>
  </w:num>
  <w:num w:numId="22">
    <w:abstractNumId w:val="16"/>
  </w:num>
  <w:num w:numId="23">
    <w:abstractNumId w:val="0"/>
  </w:num>
  <w:num w:numId="24">
    <w:abstractNumId w:val="17"/>
  </w:num>
  <w:num w:numId="25">
    <w:abstractNumId w:val="15"/>
  </w:num>
  <w:num w:numId="26">
    <w:abstractNumId w:val="3"/>
  </w:num>
  <w:num w:numId="27">
    <w:abstractNumId w:val="22"/>
  </w:num>
  <w:num w:numId="28">
    <w:abstractNumId w:val="1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DocumentType" w:val="ERR"/>
    <w:docVar w:name="FigNum" w:val="1"/>
    <w:docVar w:name="LW_CORRIGENDUM" w:val="&lt;UNUSED&gt;"/>
    <w:docVar w:name="LW_COVERPAGE_EXISTS" w:val="True"/>
    <w:docVar w:name="LW_COVERPAGE_GUID" w:val="3D5DE8F5-5ACF-4470-AD55-5487484F9A82"/>
    <w:docVar w:name="LW_COVERPAGE_TYPE" w:val="1"/>
    <w:docVar w:name="LW_CROSSREFERENCE" w:val="&lt;UNUSED&gt;"/>
    <w:docVar w:name="LW_DocType" w:val="NORMAL"/>
    <w:docVar w:name="LW_EMISSION" w:val="2019.4.15."/>
    <w:docVar w:name="LW_EMISSION_ISODATE" w:val="2019-04-15"/>
    <w:docVar w:name="LW_EMISSION_LOCATION" w:val="BRX"/>
    <w:docVar w:name="LW_EMISSION_PREFIX" w:val="Brüsszel, "/>
    <w:docVar w:name="LW_EMISSION_SUFFIX" w:val=" "/>
    <w:docVar w:name="LW_ID_DOCTYPE_NONLW" w:val="CP-035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3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A 2018 -AS PÉNZÜGYI ÉV TÖBBLETÉNEK BEVITELE A KÖLTSÉGVETÉSBE"/>
    <w:docVar w:name="LW_TITRE.OBJ.CP_PREVIOUS" w:val="&lt;UNUSED&gt;"/>
    <w:docVar w:name="LW_TYPE.DOC.CP" w:val="1. SZ. KÖLTSÉGVETÉS-MÓDOSÍTÁSI TERVEZET_x000b_A 2019. ÉVI KÖLTSÉGVETÉSHEZ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12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</w:numPr>
      <w:tabs>
        <w:tab w:val="num" w:pos="850"/>
      </w:tabs>
      <w:spacing w:before="120" w:after="120"/>
      <w:ind w:left="850" w:hanging="850"/>
      <w:jc w:val="both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</w:numPr>
      <w:tabs>
        <w:tab w:val="num" w:pos="1030"/>
      </w:tabs>
      <w:spacing w:before="120" w:after="120"/>
      <w:ind w:left="1030" w:hanging="85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pPr>
      <w:ind w:left="720" w:hanging="720"/>
      <w:jc w:val="both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"/>
    <w:rPr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Tiret0">
    <w:name w:val="Tiret 0"/>
    <w:basedOn w:val="Normal"/>
    <w:pPr>
      <w:numPr>
        <w:numId w:val="1"/>
      </w:numPr>
      <w:spacing w:before="120" w:after="12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</w:rPr>
  </w:style>
  <w:style w:type="paragraph" w:customStyle="1" w:styleId="ListDash">
    <w:name w:val="List Dash"/>
    <w:basedOn w:val="Normal"/>
    <w:link w:val="ListDashChar"/>
    <w:pPr>
      <w:numPr>
        <w:numId w:val="2"/>
      </w:numPr>
      <w:spacing w:before="120" w:after="120"/>
      <w:jc w:val="both"/>
    </w:pPr>
  </w:style>
  <w:style w:type="paragraph" w:styleId="TOCHeading">
    <w:name w:val="TOC Heading"/>
    <w:basedOn w:val="Normal"/>
    <w:next w:val="Normal"/>
    <w:qFormat/>
    <w:pPr>
      <w:spacing w:before="120" w:after="240"/>
      <w:jc w:val="center"/>
    </w:pPr>
    <w:rPr>
      <w:b/>
      <w:sz w:val="28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/>
      <w:jc w:val="center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ListBullet">
    <w:name w:val="List Bullet"/>
    <w:basedOn w:val="Normal"/>
    <w:pPr>
      <w:numPr>
        <w:numId w:val="7"/>
      </w:numPr>
      <w:spacing w:before="120" w:after="120"/>
      <w:jc w:val="both"/>
    </w:pPr>
  </w:style>
  <w:style w:type="paragraph" w:customStyle="1" w:styleId="ListDash2">
    <w:name w:val="List Dash 2"/>
    <w:basedOn w:val="Normal"/>
    <w:pPr>
      <w:tabs>
        <w:tab w:val="num" w:pos="1134"/>
      </w:tabs>
      <w:spacing w:before="120" w:after="120"/>
      <w:ind w:left="1134" w:hanging="283"/>
      <w:jc w:val="both"/>
    </w:pPr>
  </w:style>
  <w:style w:type="paragraph" w:customStyle="1" w:styleId="ListBullet1">
    <w:name w:val="List Bullet 1"/>
    <w:basedOn w:val="Text1"/>
    <w:pPr>
      <w:numPr>
        <w:numId w:val="8"/>
      </w:numPr>
      <w:spacing w:before="0" w:after="240"/>
    </w:pPr>
    <w:rPr>
      <w:szCs w:val="20"/>
    </w:rPr>
  </w:style>
  <w:style w:type="paragraph" w:styleId="ListBullet2">
    <w:name w:val="List Bullet 2"/>
    <w:basedOn w:val="Normal"/>
    <w:pPr>
      <w:numPr>
        <w:numId w:val="14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2">
    <w:name w:val="Text 2"/>
    <w:basedOn w:val="Normal"/>
    <w:pPr>
      <w:spacing w:before="120" w:after="120"/>
      <w:ind w:left="8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pPr>
      <w:numPr>
        <w:numId w:val="28"/>
      </w:numPr>
      <w:spacing w:before="120" w:after="12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28"/>
      </w:numPr>
      <w:spacing w:before="120" w:after="12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28"/>
      </w:numPr>
      <w:spacing w:before="120" w:after="12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28"/>
      </w:numPr>
      <w:spacing w:before="120" w:after="120"/>
      <w:jc w:val="both"/>
    </w:pPr>
  </w:style>
  <w:style w:type="character" w:customStyle="1" w:styleId="ListDashChar">
    <w:name w:val="List Dash Char"/>
    <w:link w:val="ListDash"/>
    <w:rPr>
      <w:sz w:val="24"/>
      <w:szCs w:val="24"/>
      <w:lang w:eastAsia="hu-HU"/>
    </w:rPr>
  </w:style>
  <w:style w:type="paragraph" w:customStyle="1" w:styleId="StyleManualHeading2Italic">
    <w:name w:val="Style Manual Heading 2 + Italic"/>
    <w:basedOn w:val="ManualHeading2"/>
    <w:autoRedefine/>
    <w:pPr>
      <w:spacing w:before="160" w:after="160"/>
      <w:ind w:left="851" w:hanging="851"/>
    </w:pPr>
    <w:rPr>
      <w:bCs/>
      <w:i/>
      <w:iCs/>
    </w:rPr>
  </w:style>
  <w:style w:type="character" w:customStyle="1" w:styleId="FootnoteTextChar">
    <w:name w:val="Footnote Text Char"/>
    <w:link w:val="FootnoteText"/>
    <w:rPr>
      <w:lang w:eastAsia="hu-HU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</w:style>
  <w:style w:type="paragraph" w:customStyle="1" w:styleId="NormalRight">
    <w:name w:val="Normal Right"/>
    <w:basedOn w:val="Normal"/>
    <w:pPr>
      <w:spacing w:before="120" w:after="120"/>
      <w:jc w:val="right"/>
    </w:pPr>
  </w:style>
  <w:style w:type="paragraph" w:customStyle="1" w:styleId="NormalLeft">
    <w:name w:val="Normal Left"/>
    <w:basedOn w:val="Normal"/>
    <w:pPr>
      <w:spacing w:before="120" w:after="120"/>
    </w:pPr>
  </w:style>
  <w:style w:type="paragraph" w:customStyle="1" w:styleId="Point0number">
    <w:name w:val="Point 0 (number)"/>
    <w:basedOn w:val="Normal"/>
    <w:uiPriority w:val="99"/>
    <w:pPr>
      <w:numPr>
        <w:numId w:val="27"/>
      </w:numPr>
      <w:spacing w:before="120" w:after="120"/>
      <w:jc w:val="both"/>
    </w:pPr>
  </w:style>
  <w:style w:type="paragraph" w:customStyle="1" w:styleId="Point1number">
    <w:name w:val="Point 1 (number)"/>
    <w:basedOn w:val="Normal"/>
    <w:uiPriority w:val="99"/>
    <w:pPr>
      <w:numPr>
        <w:ilvl w:val="2"/>
        <w:numId w:val="27"/>
      </w:numPr>
      <w:spacing w:before="120" w:after="120"/>
      <w:jc w:val="both"/>
    </w:pPr>
  </w:style>
  <w:style w:type="paragraph" w:customStyle="1" w:styleId="Point2number">
    <w:name w:val="Point 2 (number)"/>
    <w:basedOn w:val="Normal"/>
    <w:uiPriority w:val="99"/>
    <w:pPr>
      <w:numPr>
        <w:ilvl w:val="4"/>
        <w:numId w:val="27"/>
      </w:numPr>
      <w:spacing w:before="120" w:after="120"/>
      <w:jc w:val="both"/>
    </w:pPr>
  </w:style>
  <w:style w:type="paragraph" w:customStyle="1" w:styleId="Point3number">
    <w:name w:val="Point 3 (number)"/>
    <w:basedOn w:val="Normal"/>
    <w:uiPriority w:val="99"/>
    <w:pPr>
      <w:numPr>
        <w:ilvl w:val="6"/>
        <w:numId w:val="27"/>
      </w:numPr>
      <w:spacing w:before="120" w:after="120"/>
      <w:jc w:val="both"/>
    </w:pPr>
  </w:style>
  <w:style w:type="paragraph" w:customStyle="1" w:styleId="Point0letter">
    <w:name w:val="Point 0 (letter)"/>
    <w:basedOn w:val="Normal"/>
    <w:uiPriority w:val="99"/>
    <w:pPr>
      <w:numPr>
        <w:ilvl w:val="1"/>
        <w:numId w:val="27"/>
      </w:numPr>
      <w:spacing w:before="120" w:after="120"/>
      <w:jc w:val="both"/>
    </w:pPr>
  </w:style>
  <w:style w:type="paragraph" w:customStyle="1" w:styleId="Point1letter">
    <w:name w:val="Point 1 (letter)"/>
    <w:basedOn w:val="Normal"/>
    <w:uiPriority w:val="99"/>
    <w:pPr>
      <w:numPr>
        <w:ilvl w:val="3"/>
        <w:numId w:val="27"/>
      </w:numPr>
      <w:spacing w:before="120" w:after="120"/>
      <w:jc w:val="both"/>
    </w:pPr>
  </w:style>
  <w:style w:type="paragraph" w:customStyle="1" w:styleId="Point2letter">
    <w:name w:val="Point 2 (letter)"/>
    <w:basedOn w:val="Normal"/>
    <w:uiPriority w:val="99"/>
    <w:pPr>
      <w:numPr>
        <w:ilvl w:val="5"/>
        <w:numId w:val="27"/>
      </w:numPr>
      <w:spacing w:before="120" w:after="120"/>
      <w:jc w:val="both"/>
    </w:pPr>
  </w:style>
  <w:style w:type="paragraph" w:customStyle="1" w:styleId="Point3letter">
    <w:name w:val="Point 3 (letter)"/>
    <w:basedOn w:val="Normal"/>
    <w:uiPriority w:val="99"/>
    <w:pPr>
      <w:numPr>
        <w:ilvl w:val="7"/>
        <w:numId w:val="27"/>
      </w:numPr>
      <w:spacing w:before="120" w:after="120"/>
      <w:jc w:val="both"/>
    </w:pPr>
  </w:style>
  <w:style w:type="paragraph" w:customStyle="1" w:styleId="Point4letter">
    <w:name w:val="Point 4 (letter)"/>
    <w:basedOn w:val="Normal"/>
    <w:uiPriority w:val="99"/>
    <w:pPr>
      <w:numPr>
        <w:ilvl w:val="8"/>
        <w:numId w:val="27"/>
      </w:numPr>
      <w:spacing w:before="120" w:after="120"/>
      <w:jc w:val="both"/>
    </w:pPr>
  </w:style>
  <w:style w:type="paragraph" w:customStyle="1" w:styleId="NumPar1">
    <w:name w:val="NumPar 1"/>
    <w:basedOn w:val="Normal"/>
    <w:next w:val="Text1"/>
    <w:pPr>
      <w:numPr>
        <w:numId w:val="36"/>
      </w:numPr>
      <w:spacing w:before="120" w:after="120"/>
      <w:jc w:val="both"/>
    </w:pPr>
  </w:style>
  <w:style w:type="paragraph" w:customStyle="1" w:styleId="NumPar2">
    <w:name w:val="NumPar 2"/>
    <w:basedOn w:val="Normal"/>
    <w:next w:val="Normal"/>
    <w:pPr>
      <w:numPr>
        <w:ilvl w:val="1"/>
        <w:numId w:val="36"/>
      </w:numPr>
      <w:spacing w:before="120" w:after="120"/>
      <w:jc w:val="both"/>
    </w:pPr>
  </w:style>
  <w:style w:type="paragraph" w:customStyle="1" w:styleId="NumPar3">
    <w:name w:val="NumPar 3"/>
    <w:basedOn w:val="Normal"/>
    <w:next w:val="Normal"/>
    <w:pPr>
      <w:numPr>
        <w:ilvl w:val="2"/>
        <w:numId w:val="36"/>
      </w:numPr>
      <w:spacing w:before="120" w:after="120"/>
      <w:jc w:val="both"/>
    </w:pPr>
  </w:style>
  <w:style w:type="paragraph" w:customStyle="1" w:styleId="NumPar4">
    <w:name w:val="NumPar 4"/>
    <w:basedOn w:val="Normal"/>
    <w:next w:val="Normal"/>
    <w:pPr>
      <w:numPr>
        <w:ilvl w:val="3"/>
        <w:numId w:val="36"/>
      </w:numPr>
      <w:spacing w:before="120" w:after="120"/>
      <w:jc w:val="both"/>
    </w:pPr>
  </w:style>
  <w:style w:type="paragraph" w:customStyle="1" w:styleId="Exposdesmotifstitre">
    <w:name w:val="Exposé des motifs titre"/>
    <w:basedOn w:val="Normal"/>
    <w:next w:val="Normal"/>
    <w:pPr>
      <w:spacing w:before="120" w:after="120"/>
      <w:jc w:val="center"/>
    </w:pPr>
    <w:rPr>
      <w:b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Statut">
    <w:name w:val="Statut"/>
    <w:basedOn w:val="Normal"/>
    <w:next w:val="Typedudocument"/>
    <w:pPr>
      <w:spacing w:before="360"/>
      <w:jc w:val="center"/>
    </w:pPr>
    <w:rPr>
      <w:rFonts w:eastAsia="Calibri"/>
      <w:szCs w:val="22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hu-HU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hu-HU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12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</w:numPr>
      <w:tabs>
        <w:tab w:val="num" w:pos="850"/>
      </w:tabs>
      <w:spacing w:before="120" w:after="120"/>
      <w:ind w:left="850" w:hanging="850"/>
      <w:jc w:val="both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</w:numPr>
      <w:tabs>
        <w:tab w:val="num" w:pos="1030"/>
      </w:tabs>
      <w:spacing w:before="120" w:after="120"/>
      <w:ind w:left="1030" w:hanging="85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pPr>
      <w:ind w:left="720" w:hanging="720"/>
      <w:jc w:val="both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"/>
    <w:rPr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Tiret0">
    <w:name w:val="Tiret 0"/>
    <w:basedOn w:val="Normal"/>
    <w:pPr>
      <w:numPr>
        <w:numId w:val="1"/>
      </w:numPr>
      <w:spacing w:before="120" w:after="12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</w:rPr>
  </w:style>
  <w:style w:type="paragraph" w:customStyle="1" w:styleId="ListDash">
    <w:name w:val="List Dash"/>
    <w:basedOn w:val="Normal"/>
    <w:link w:val="ListDashChar"/>
    <w:pPr>
      <w:numPr>
        <w:numId w:val="2"/>
      </w:numPr>
      <w:spacing w:before="120" w:after="120"/>
      <w:jc w:val="both"/>
    </w:pPr>
  </w:style>
  <w:style w:type="paragraph" w:styleId="TOCHeading">
    <w:name w:val="TOC Heading"/>
    <w:basedOn w:val="Normal"/>
    <w:next w:val="Normal"/>
    <w:qFormat/>
    <w:pPr>
      <w:spacing w:before="120" w:after="240"/>
      <w:jc w:val="center"/>
    </w:pPr>
    <w:rPr>
      <w:b/>
      <w:sz w:val="28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/>
      <w:jc w:val="center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ListBullet">
    <w:name w:val="List Bullet"/>
    <w:basedOn w:val="Normal"/>
    <w:pPr>
      <w:numPr>
        <w:numId w:val="7"/>
      </w:numPr>
      <w:spacing w:before="120" w:after="120"/>
      <w:jc w:val="both"/>
    </w:pPr>
  </w:style>
  <w:style w:type="paragraph" w:customStyle="1" w:styleId="ListDash2">
    <w:name w:val="List Dash 2"/>
    <w:basedOn w:val="Normal"/>
    <w:pPr>
      <w:tabs>
        <w:tab w:val="num" w:pos="1134"/>
      </w:tabs>
      <w:spacing w:before="120" w:after="120"/>
      <w:ind w:left="1134" w:hanging="283"/>
      <w:jc w:val="both"/>
    </w:pPr>
  </w:style>
  <w:style w:type="paragraph" w:customStyle="1" w:styleId="ListBullet1">
    <w:name w:val="List Bullet 1"/>
    <w:basedOn w:val="Text1"/>
    <w:pPr>
      <w:numPr>
        <w:numId w:val="8"/>
      </w:numPr>
      <w:spacing w:before="0" w:after="240"/>
    </w:pPr>
    <w:rPr>
      <w:szCs w:val="20"/>
    </w:rPr>
  </w:style>
  <w:style w:type="paragraph" w:styleId="ListBullet2">
    <w:name w:val="List Bullet 2"/>
    <w:basedOn w:val="Normal"/>
    <w:pPr>
      <w:numPr>
        <w:numId w:val="14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2">
    <w:name w:val="Text 2"/>
    <w:basedOn w:val="Normal"/>
    <w:pPr>
      <w:spacing w:before="120" w:after="120"/>
      <w:ind w:left="8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pPr>
      <w:numPr>
        <w:numId w:val="28"/>
      </w:numPr>
      <w:spacing w:before="120" w:after="12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28"/>
      </w:numPr>
      <w:spacing w:before="120" w:after="12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28"/>
      </w:numPr>
      <w:spacing w:before="120" w:after="12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28"/>
      </w:numPr>
      <w:spacing w:before="120" w:after="120"/>
      <w:jc w:val="both"/>
    </w:pPr>
  </w:style>
  <w:style w:type="character" w:customStyle="1" w:styleId="ListDashChar">
    <w:name w:val="List Dash Char"/>
    <w:link w:val="ListDash"/>
    <w:rPr>
      <w:sz w:val="24"/>
      <w:szCs w:val="24"/>
      <w:lang w:eastAsia="hu-HU"/>
    </w:rPr>
  </w:style>
  <w:style w:type="paragraph" w:customStyle="1" w:styleId="StyleManualHeading2Italic">
    <w:name w:val="Style Manual Heading 2 + Italic"/>
    <w:basedOn w:val="ManualHeading2"/>
    <w:autoRedefine/>
    <w:pPr>
      <w:spacing w:before="160" w:after="160"/>
      <w:ind w:left="851" w:hanging="851"/>
    </w:pPr>
    <w:rPr>
      <w:bCs/>
      <w:i/>
      <w:iCs/>
    </w:rPr>
  </w:style>
  <w:style w:type="character" w:customStyle="1" w:styleId="FootnoteTextChar">
    <w:name w:val="Footnote Text Char"/>
    <w:link w:val="FootnoteText"/>
    <w:rPr>
      <w:lang w:eastAsia="hu-HU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</w:style>
  <w:style w:type="paragraph" w:customStyle="1" w:styleId="NormalRight">
    <w:name w:val="Normal Right"/>
    <w:basedOn w:val="Normal"/>
    <w:pPr>
      <w:spacing w:before="120" w:after="120"/>
      <w:jc w:val="right"/>
    </w:pPr>
  </w:style>
  <w:style w:type="paragraph" w:customStyle="1" w:styleId="NormalLeft">
    <w:name w:val="Normal Left"/>
    <w:basedOn w:val="Normal"/>
    <w:pPr>
      <w:spacing w:before="120" w:after="120"/>
    </w:pPr>
  </w:style>
  <w:style w:type="paragraph" w:customStyle="1" w:styleId="Point0number">
    <w:name w:val="Point 0 (number)"/>
    <w:basedOn w:val="Normal"/>
    <w:uiPriority w:val="99"/>
    <w:pPr>
      <w:numPr>
        <w:numId w:val="27"/>
      </w:numPr>
      <w:spacing w:before="120" w:after="120"/>
      <w:jc w:val="both"/>
    </w:pPr>
  </w:style>
  <w:style w:type="paragraph" w:customStyle="1" w:styleId="Point1number">
    <w:name w:val="Point 1 (number)"/>
    <w:basedOn w:val="Normal"/>
    <w:uiPriority w:val="99"/>
    <w:pPr>
      <w:numPr>
        <w:ilvl w:val="2"/>
        <w:numId w:val="27"/>
      </w:numPr>
      <w:spacing w:before="120" w:after="120"/>
      <w:jc w:val="both"/>
    </w:pPr>
  </w:style>
  <w:style w:type="paragraph" w:customStyle="1" w:styleId="Point2number">
    <w:name w:val="Point 2 (number)"/>
    <w:basedOn w:val="Normal"/>
    <w:uiPriority w:val="99"/>
    <w:pPr>
      <w:numPr>
        <w:ilvl w:val="4"/>
        <w:numId w:val="27"/>
      </w:numPr>
      <w:spacing w:before="120" w:after="120"/>
      <w:jc w:val="both"/>
    </w:pPr>
  </w:style>
  <w:style w:type="paragraph" w:customStyle="1" w:styleId="Point3number">
    <w:name w:val="Point 3 (number)"/>
    <w:basedOn w:val="Normal"/>
    <w:uiPriority w:val="99"/>
    <w:pPr>
      <w:numPr>
        <w:ilvl w:val="6"/>
        <w:numId w:val="27"/>
      </w:numPr>
      <w:spacing w:before="120" w:after="120"/>
      <w:jc w:val="both"/>
    </w:pPr>
  </w:style>
  <w:style w:type="paragraph" w:customStyle="1" w:styleId="Point0letter">
    <w:name w:val="Point 0 (letter)"/>
    <w:basedOn w:val="Normal"/>
    <w:uiPriority w:val="99"/>
    <w:pPr>
      <w:numPr>
        <w:ilvl w:val="1"/>
        <w:numId w:val="27"/>
      </w:numPr>
      <w:spacing w:before="120" w:after="120"/>
      <w:jc w:val="both"/>
    </w:pPr>
  </w:style>
  <w:style w:type="paragraph" w:customStyle="1" w:styleId="Point1letter">
    <w:name w:val="Point 1 (letter)"/>
    <w:basedOn w:val="Normal"/>
    <w:uiPriority w:val="99"/>
    <w:pPr>
      <w:numPr>
        <w:ilvl w:val="3"/>
        <w:numId w:val="27"/>
      </w:numPr>
      <w:spacing w:before="120" w:after="120"/>
      <w:jc w:val="both"/>
    </w:pPr>
  </w:style>
  <w:style w:type="paragraph" w:customStyle="1" w:styleId="Point2letter">
    <w:name w:val="Point 2 (letter)"/>
    <w:basedOn w:val="Normal"/>
    <w:uiPriority w:val="99"/>
    <w:pPr>
      <w:numPr>
        <w:ilvl w:val="5"/>
        <w:numId w:val="27"/>
      </w:numPr>
      <w:spacing w:before="120" w:after="120"/>
      <w:jc w:val="both"/>
    </w:pPr>
  </w:style>
  <w:style w:type="paragraph" w:customStyle="1" w:styleId="Point3letter">
    <w:name w:val="Point 3 (letter)"/>
    <w:basedOn w:val="Normal"/>
    <w:uiPriority w:val="99"/>
    <w:pPr>
      <w:numPr>
        <w:ilvl w:val="7"/>
        <w:numId w:val="27"/>
      </w:numPr>
      <w:spacing w:before="120" w:after="120"/>
      <w:jc w:val="both"/>
    </w:pPr>
  </w:style>
  <w:style w:type="paragraph" w:customStyle="1" w:styleId="Point4letter">
    <w:name w:val="Point 4 (letter)"/>
    <w:basedOn w:val="Normal"/>
    <w:uiPriority w:val="99"/>
    <w:pPr>
      <w:numPr>
        <w:ilvl w:val="8"/>
        <w:numId w:val="27"/>
      </w:numPr>
      <w:spacing w:before="120" w:after="120"/>
      <w:jc w:val="both"/>
    </w:pPr>
  </w:style>
  <w:style w:type="paragraph" w:customStyle="1" w:styleId="NumPar1">
    <w:name w:val="NumPar 1"/>
    <w:basedOn w:val="Normal"/>
    <w:next w:val="Text1"/>
    <w:pPr>
      <w:numPr>
        <w:numId w:val="36"/>
      </w:numPr>
      <w:spacing w:before="120" w:after="120"/>
      <w:jc w:val="both"/>
    </w:pPr>
  </w:style>
  <w:style w:type="paragraph" w:customStyle="1" w:styleId="NumPar2">
    <w:name w:val="NumPar 2"/>
    <w:basedOn w:val="Normal"/>
    <w:next w:val="Normal"/>
    <w:pPr>
      <w:numPr>
        <w:ilvl w:val="1"/>
        <w:numId w:val="36"/>
      </w:numPr>
      <w:spacing w:before="120" w:after="120"/>
      <w:jc w:val="both"/>
    </w:pPr>
  </w:style>
  <w:style w:type="paragraph" w:customStyle="1" w:styleId="NumPar3">
    <w:name w:val="NumPar 3"/>
    <w:basedOn w:val="Normal"/>
    <w:next w:val="Normal"/>
    <w:pPr>
      <w:numPr>
        <w:ilvl w:val="2"/>
        <w:numId w:val="36"/>
      </w:numPr>
      <w:spacing w:before="120" w:after="120"/>
      <w:jc w:val="both"/>
    </w:pPr>
  </w:style>
  <w:style w:type="paragraph" w:customStyle="1" w:styleId="NumPar4">
    <w:name w:val="NumPar 4"/>
    <w:basedOn w:val="Normal"/>
    <w:next w:val="Normal"/>
    <w:pPr>
      <w:numPr>
        <w:ilvl w:val="3"/>
        <w:numId w:val="36"/>
      </w:numPr>
      <w:spacing w:before="120" w:after="120"/>
      <w:jc w:val="both"/>
    </w:pPr>
  </w:style>
  <w:style w:type="paragraph" w:customStyle="1" w:styleId="Exposdesmotifstitre">
    <w:name w:val="Exposé des motifs titre"/>
    <w:basedOn w:val="Normal"/>
    <w:next w:val="Normal"/>
    <w:pPr>
      <w:spacing w:before="120" w:after="120"/>
      <w:jc w:val="center"/>
    </w:pPr>
    <w:rPr>
      <w:b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Statut">
    <w:name w:val="Statut"/>
    <w:basedOn w:val="Normal"/>
    <w:next w:val="Typedudocument"/>
    <w:pPr>
      <w:spacing w:before="360"/>
      <w:jc w:val="center"/>
    </w:pPr>
    <w:rPr>
      <w:rFonts w:eastAsia="Calibri"/>
      <w:szCs w:val="22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hu-HU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hu-HU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budget/www/index-hu.htm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B83A-5BDC-413C-B8F1-E07779FA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1071</Words>
  <Characters>5766</Characters>
  <Application>Microsoft Office Word</Application>
  <DocSecurity>0</DocSecurity>
  <Lines>288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6610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cp:lastPrinted>2019-04-01T14:47:00Z</cp:lastPrinted>
  <dcterms:created xsi:type="dcterms:W3CDTF">2019-04-11T12:14:00Z</dcterms:created>
  <dcterms:modified xsi:type="dcterms:W3CDTF">2019-04-29T12:18:00Z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