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8BC913FA-299B-40BA-BE34-DDB22C54AEFF" style="width:450pt;height:307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</w:rPr>
        <w:lastRenderedPageBreak/>
        <w:t>Ob upoštevanju:</w:t>
      </w:r>
    </w:p>
    <w:p>
      <w:pPr>
        <w:pStyle w:val="Tiret0"/>
        <w:rPr>
          <w:noProof/>
        </w:rPr>
      </w:pPr>
      <w:r>
        <w:rPr>
          <w:noProof/>
        </w:rPr>
        <w:t>Pogodbe o delovanju Evropske unije in zlasti člena 314 Pogodbe v povezavi s Pogodbo o ustanovitvi Evropske skupnosti za atomsko energijo in zlasti člena 106a Pogodbe,</w:t>
      </w:r>
    </w:p>
    <w:p>
      <w:pPr>
        <w:pStyle w:val="Tiret0"/>
        <w:tabs>
          <w:tab w:val="clear" w:pos="850"/>
          <w:tab w:val="num" w:pos="927"/>
        </w:tabs>
        <w:rPr>
          <w:rFonts w:cs="Arial"/>
          <w:noProof/>
          <w:szCs w:val="18"/>
        </w:rPr>
      </w:pPr>
      <w:r>
        <w:rPr>
          <w:noProof/>
        </w:rPr>
        <w:t>Uredbe (EU, Euratom) 2018/1046 Evropskega parlamenta in Sveta z dne 18. julija 2018 o finančnih pravilih, ki se uporabljajo za splošni proračun Unije (...)</w:t>
      </w:r>
      <w:r>
        <w:rPr>
          <w:rStyle w:val="FootnoteReference"/>
          <w:noProof/>
        </w:rPr>
        <w:footnoteReference w:id="2"/>
      </w:r>
      <w:r>
        <w:rPr>
          <w:noProof/>
        </w:rPr>
        <w:t>, in zlasti člena 44 Uredbe,</w:t>
      </w:r>
    </w:p>
    <w:p>
      <w:pPr>
        <w:pStyle w:val="Tiret0"/>
        <w:tabs>
          <w:tab w:val="clear" w:pos="850"/>
          <w:tab w:val="num" w:pos="927"/>
        </w:tabs>
        <w:rPr>
          <w:noProof/>
        </w:rPr>
      </w:pPr>
      <w:r>
        <w:rPr>
          <w:noProof/>
        </w:rPr>
        <w:t>splošnega proračuna Evropske unije za proračunsko leto 2019, sprejetega 12. decembra 2018</w:t>
      </w:r>
      <w:r>
        <w:rPr>
          <w:rStyle w:val="FootnoteReference"/>
          <w:noProof/>
        </w:rPr>
        <w:footnoteReference w:id="3"/>
      </w:r>
      <w:r>
        <w:rPr>
          <w:noProof/>
        </w:rPr>
        <w:t>,</w:t>
      </w:r>
    </w:p>
    <w:p>
      <w:pPr>
        <w:jc w:val="both"/>
        <w:rPr>
          <w:noProof/>
        </w:rPr>
      </w:pPr>
      <w:r>
        <w:rPr>
          <w:noProof/>
        </w:rPr>
        <w:t>Evropska komisija Evropskemu parlamentu in Svetu predlaga predlog spremembe proračuna št. 1 k proračunu za leto 2019.</w:t>
      </w:r>
    </w:p>
    <w:p>
      <w:pPr>
        <w:rPr>
          <w:b/>
          <w:noProof/>
          <w:u w:val="single"/>
        </w:rPr>
      </w:pPr>
    </w:p>
    <w:p>
      <w:pPr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SPREMEMBE IZKAZA PRIHODKOV IN ODHODKOV PO ODDELKIH</w:t>
      </w:r>
    </w:p>
    <w:p>
      <w:pPr>
        <w:rPr>
          <w:b/>
          <w:noProof/>
          <w:u w:val="single"/>
        </w:rPr>
      </w:pPr>
    </w:p>
    <w:p>
      <w:pPr>
        <w:jc w:val="both"/>
        <w:rPr>
          <w:noProof/>
        </w:rPr>
      </w:pPr>
      <w:r>
        <w:rPr>
          <w:noProof/>
        </w:rPr>
        <w:t>Spremembe izkaza prihodkov in odhodkov po oddelkih so na voljo na portalu EUR-Lex (</w:t>
      </w:r>
      <w:hyperlink r:id="rId16">
        <w:r>
          <w:rPr>
            <w:rStyle w:val="Hyperlink"/>
            <w:noProof/>
            <w:color w:val="auto"/>
          </w:rPr>
          <w:t>http://eur-lex.europa.eu/budget/www/index-sl.htm</w:t>
        </w:r>
      </w:hyperlink>
      <w:r>
        <w:rPr>
          <w:noProof/>
        </w:rPr>
        <w:t>). Temu dokumentu je za ponazoritev priložena angleška različica sprememb kot priloga v proračunskem formatu.</w:t>
      </w:r>
    </w:p>
    <w:p>
      <w:pPr>
        <w:rPr>
          <w:noProof/>
        </w:rPr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Exposdesmotifstitre"/>
        <w:rPr>
          <w:noProof/>
        </w:rPr>
      </w:pPr>
      <w:bookmarkStart w:id="2" w:name="_Toc194220890"/>
      <w:bookmarkStart w:id="3" w:name="_Toc294675429"/>
      <w:bookmarkStart w:id="4" w:name="_Toc378575883"/>
      <w:r>
        <w:rPr>
          <w:noProof/>
        </w:rPr>
        <w:t>OBRAZLOŽITVENI MEMORANDUM</w:t>
      </w:r>
    </w:p>
    <w:p>
      <w:pPr>
        <w:jc w:val="both"/>
        <w:rPr>
          <w:noProof/>
        </w:rPr>
      </w:pPr>
      <w:r>
        <w:rPr>
          <w:noProof/>
        </w:rPr>
        <w:t>Namen predloga spremembe proračuna (PSP) št. 1/2019 je, da se v proračun za leto 2019 vključi presežek, ki izhaja iz izvrševanja proračuna v proračunskem letu 2018. Kakor je določeno v členu 18(3) finančne uredbe, ki se uporablja za splošni proračun Unije</w:t>
      </w:r>
      <w:r>
        <w:rPr>
          <w:noProof/>
          <w:vertAlign w:val="superscript"/>
        </w:rPr>
        <w:footnoteReference w:id="4"/>
      </w:r>
      <w:r>
        <w:rPr>
          <w:noProof/>
        </w:rPr>
        <w:t>, je presežek edini predmet tega predloga spremembe proračuna, ki ga je treba predložiti v 15 dneh po predložitvi začasnega zaključnega računa konec marca 2019.</w:t>
      </w:r>
    </w:p>
    <w:p>
      <w:pPr>
        <w:pStyle w:val="NumPar1"/>
        <w:rPr>
          <w:noProof/>
          <w:color w:val="000000"/>
        </w:rPr>
      </w:pPr>
      <w:r>
        <w:rPr>
          <w:noProof/>
        </w:rPr>
        <w:t>Pri izvrševanju proračuna v proračunskem letu 2018 je nastal presežek v višini 1 802 988 329 EUR, ki se kot prihodek vnese v proračun za leto 2019.</w:t>
      </w:r>
    </w:p>
    <w:p>
      <w:pPr>
        <w:pStyle w:val="NumPar1"/>
        <w:numPr>
          <w:ilvl w:val="0"/>
          <w:numId w:val="0"/>
        </w:numPr>
        <w:spacing w:after="0"/>
        <w:ind w:left="5954"/>
        <w:rPr>
          <w:i/>
          <w:noProof/>
          <w:sz w:val="20"/>
          <w:szCs w:val="20"/>
        </w:rPr>
      </w:pPr>
      <w:r>
        <w:rPr>
          <w:i/>
          <w:noProof/>
          <w:sz w:val="20"/>
        </w:rPr>
        <w:t>(v EUR)</w:t>
      </w:r>
    </w:p>
    <w:tbl>
      <w:tblPr>
        <w:tblW w:w="3716" w:type="dxa"/>
        <w:jc w:val="center"/>
        <w:tblLook w:val="04A0" w:firstRow="1" w:lastRow="0" w:firstColumn="1" w:lastColumn="0" w:noHBand="0" w:noVBand="1"/>
      </w:tblPr>
      <w:tblGrid>
        <w:gridCol w:w="2159"/>
        <w:gridCol w:w="1557"/>
      </w:tblGrid>
      <w:tr>
        <w:trPr>
          <w:trHeight w:val="570"/>
          <w:jc w:val="center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Razčlenitev realizacije za leto 2018</w:t>
            </w:r>
          </w:p>
        </w:tc>
      </w:tr>
      <w:tr>
        <w:trPr>
          <w:trHeight w:val="27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Presežek prihodkov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1 274 590 133</w:t>
            </w:r>
          </w:p>
        </w:tc>
      </w:tr>
      <w:tr>
        <w:trPr>
          <w:trHeight w:val="27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Presežek odhodkov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528 398 196</w:t>
            </w:r>
          </w:p>
        </w:tc>
      </w:tr>
      <w:tr>
        <w:trPr>
          <w:trHeight w:val="27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Skupni presežek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1 802 988 329</w:t>
            </w:r>
          </w:p>
        </w:tc>
      </w:tr>
    </w:tbl>
    <w:bookmarkEnd w:id="2"/>
    <w:p>
      <w:pPr>
        <w:pStyle w:val="NumPar1"/>
        <w:rPr>
          <w:noProof/>
        </w:rPr>
      </w:pPr>
      <w:r>
        <w:rPr>
          <w:noProof/>
        </w:rPr>
        <w:t>Zaradi vključitve tega presežka v proračun se bo ustrezno zmanjšal skupni prispevek 28 držav članic k financiranju proračuna EU za leto 2019</w:t>
      </w:r>
      <w:r>
        <w:rPr>
          <w:rStyle w:val="FootnoteReference"/>
          <w:noProof/>
        </w:rPr>
        <w:footnoteReference w:id="5"/>
      </w:r>
      <w:r>
        <w:rPr>
          <w:noProof/>
        </w:rPr>
        <w:t>. Na zneske prispevkov po državah članicah bodo vplivale tudi posodobljene napovedi za lastna sredstva, ki bodo na voljo po zasedanju Svetovalnega odbora za lastna sredstva maja 2019 in se bodo vključile v naslednji predlog spremembe proračuna.</w:t>
      </w:r>
    </w:p>
    <w:p>
      <w:pPr>
        <w:pStyle w:val="NumPar1"/>
        <w:spacing w:before="240" w:after="0"/>
        <w:ind w:left="851" w:hanging="851"/>
        <w:rPr>
          <w:noProof/>
        </w:rPr>
      </w:pPr>
      <w:r>
        <w:rPr>
          <w:noProof/>
        </w:rPr>
        <w:t>V spodnji razpredelnici je prikazana razčlenitev realizacije za leto 2018 v smislu izvrševanja prihodkov:</w:t>
      </w:r>
    </w:p>
    <w:p>
      <w:pPr>
        <w:pStyle w:val="NumPar1"/>
        <w:numPr>
          <w:ilvl w:val="0"/>
          <w:numId w:val="0"/>
        </w:numPr>
        <w:spacing w:after="0"/>
        <w:ind w:left="850" w:hanging="850"/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</w:rPr>
        <w:t>(v EUR)</w:t>
      </w:r>
    </w:p>
    <w:tbl>
      <w:tblPr>
        <w:tblW w:w="9929" w:type="dxa"/>
        <w:tblInd w:w="93" w:type="dxa"/>
        <w:tblLook w:val="04A0" w:firstRow="1" w:lastRow="0" w:firstColumn="1" w:lastColumn="0" w:noHBand="0" w:noVBand="1"/>
      </w:tblPr>
      <w:tblGrid>
        <w:gridCol w:w="377"/>
        <w:gridCol w:w="4883"/>
        <w:gridCol w:w="1556"/>
        <w:gridCol w:w="1556"/>
        <w:gridCol w:w="1557"/>
      </w:tblGrid>
      <w:tr>
        <w:trPr>
          <w:trHeight w:val="51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Razčlenitev realizacije za leto 2018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Proračun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b/>
                <w:noProof/>
                <w:color w:val="000000"/>
                <w:sz w:val="18"/>
              </w:rPr>
              <w:t>(vključno s SP1–6)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Realizacija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Sprememba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Vmesni seštevek prihodkov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144 767 916 298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146 042 506 431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1 274 590 133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Naslov 1 – Lastna sredstva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142 363 728 037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142 329 649 983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–34 078 054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Prelevmani in druge dajatve za sladkor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–92 981 713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–85 070 995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7 910 718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Carine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20 164 642 350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20 316 700 932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152 058 582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Lastna sredstva iz naslova DDV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17 148 885 750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17 132 576 159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–16 309 591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Lastna sredstva iz naslova BND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105 143 181 650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104 978 526 257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–164 655 393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Popravek proračunskih neravnovesij v korist Združenega kraljestva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–18 997 428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–18 997 428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Bruto znižanje letnih prispevkov iz naslova BND za določene države članice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5 915 059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5 915 059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Naslov 3 – Presežki, neporabljena sredstva in popravki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555 542 325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581 255 381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25 713 056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Naslov 4 – Zaposleni v institucijah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1 547 408 825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1 541 840 701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–5 568 124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Naslov 5 – Upravno poslovanje institucij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45 050 050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3 715 390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–41 334 660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Naslov 6 – Nadomestila v zvezi s sporazumi in programi Unije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110 000 000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106 217 941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–3 782 059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Naslov 7 – Zamudne obresti in globe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115 000 000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1 427 642 570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1 312 642 570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Naslov 8 – Najemanje in dajanje posojil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6 186 061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39 035 856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32 849 795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Naslov 9 – Razni prihodki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25 001 000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13 148 609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–11 852 391</w:t>
            </w:r>
          </w:p>
        </w:tc>
      </w:tr>
    </w:tbl>
    <w:bookmarkEnd w:id="3"/>
    <w:bookmarkEnd w:id="4"/>
    <w:p>
      <w:pPr>
        <w:pStyle w:val="NumPar1"/>
        <w:rPr>
          <w:noProof/>
        </w:rPr>
      </w:pPr>
      <w:r>
        <w:rPr>
          <w:noProof/>
        </w:rPr>
        <w:t>Razlike pri naslovu 1 (</w:t>
      </w:r>
      <w:r>
        <w:rPr>
          <w:i/>
          <w:noProof/>
        </w:rPr>
        <w:t>Lastna sredstva</w:t>
      </w:r>
      <w:r>
        <w:rPr>
          <w:noProof/>
        </w:rPr>
        <w:t xml:space="preserve">) predstavljajo 0,02 % napovedi. Večinoma jih sestavljajo za 160 milijonov EUR višji prihodki iz tradicionalnih lastnih sredstev (zbranih je bilo 100,8 % glede na napoved) in za 200 milijonov EUR nižji prihodki iz nihanj menjalnih tečajev (ker se lastna sredstva v proračun vplačajo v nacionalni valuti, knjižijo in obračunajo pa v eurih). Pri naslovu 3 </w:t>
      </w:r>
      <w:r>
        <w:rPr>
          <w:i/>
          <w:noProof/>
        </w:rPr>
        <w:t>(Presežki, neporabljena sredstva in popravki)</w:t>
      </w:r>
      <w:r>
        <w:rPr>
          <w:noProof/>
        </w:rPr>
        <w:t>, povezanem s popravki lastnih sredstev, je razlika omejena na 26 milijonov EUR.</w:t>
      </w:r>
    </w:p>
    <w:p>
      <w:pPr>
        <w:pStyle w:val="NumPar1"/>
        <w:spacing w:before="240" w:after="240"/>
        <w:ind w:left="851" w:hanging="851"/>
        <w:rPr>
          <w:noProof/>
        </w:rPr>
      </w:pPr>
      <w:r>
        <w:rPr>
          <w:noProof/>
        </w:rPr>
        <w:t xml:space="preserve">Največja razlika (1 313 milijonov EUR) je nastala pri naslovu 7 </w:t>
      </w:r>
      <w:r>
        <w:rPr>
          <w:i/>
          <w:noProof/>
        </w:rPr>
        <w:t xml:space="preserve">(Zamudne obresti in globe) </w:t>
      </w:r>
      <w:r>
        <w:rPr>
          <w:noProof/>
        </w:rPr>
        <w:t>Realizacijo sestavljajo globe zaradi kršitev pravil konkurence in zamudne obresti, druga plačila denarnih kazni in obresti, povezane s plačilom glob in denarnih kazni.</w:t>
      </w:r>
    </w:p>
    <w:p>
      <w:pPr>
        <w:pStyle w:val="NumPar1"/>
        <w:spacing w:before="240" w:after="0"/>
        <w:ind w:left="851" w:hanging="851"/>
        <w:rPr>
          <w:noProof/>
        </w:rPr>
      </w:pPr>
      <w:r>
        <w:rPr>
          <w:noProof/>
        </w:rPr>
        <w:t>V spodnji razpredelnici je prikazana razčlenitev realizacije za leto 2018 v smislu izvrševanja odhodkov za vse institucije:</w:t>
      </w:r>
    </w:p>
    <w:p>
      <w:pPr>
        <w:pStyle w:val="NumPar1"/>
        <w:numPr>
          <w:ilvl w:val="0"/>
          <w:numId w:val="0"/>
        </w:numPr>
        <w:spacing w:after="0"/>
        <w:ind w:left="850" w:hanging="850"/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</w:rPr>
        <w:t>(v EUR)</w:t>
      </w:r>
    </w:p>
    <w:tbl>
      <w:tblPr>
        <w:tblW w:w="9929" w:type="dxa"/>
        <w:tblInd w:w="93" w:type="dxa"/>
        <w:tblLook w:val="04A0" w:firstRow="1" w:lastRow="0" w:firstColumn="1" w:lastColumn="0" w:noHBand="0" w:noVBand="1"/>
      </w:tblPr>
      <w:tblGrid>
        <w:gridCol w:w="377"/>
        <w:gridCol w:w="4883"/>
        <w:gridCol w:w="1556"/>
        <w:gridCol w:w="1556"/>
        <w:gridCol w:w="1557"/>
      </w:tblGrid>
      <w:tr>
        <w:trPr>
          <w:trHeight w:val="51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Razčlenitev realizacije za leto 2018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Proračun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b/>
                <w:noProof/>
                <w:color w:val="000000"/>
                <w:sz w:val="18"/>
              </w:rPr>
              <w:t>(vključno s SP1–6)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Realizacija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Sprememba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Vmesni seštevek odhodkov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144 767 916 298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144 239 518 102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–528 398 196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Realizacija odobritev za zadevno leto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144 767 916 298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144 369 781 354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–398 134 944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Evropska komisija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140 752 776 672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140 430 555 977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–322 220 695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Razdelek 1a – Konkurenčnost za rast in delovna mesta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20 154 593 499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20 113 652 917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–40 940 582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Podrazdelek 1b – Ekonomska, socialna in teritorialna kohezija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46 577 928 034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46 559 473 543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–18 454 491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Razdelek 2 – Trajnostna rast: naravni viri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56 240 984 244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56 228 111 429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–12 872 815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Razdelek 3 – Varnost in državljanstvo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3 013 090 479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2 988 185 217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–24 905 262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Razdelek 4 – Evropa v svetu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8 812 942 021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8 776 262 725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–36 679 295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Razdelek 5 – Uprava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5 651 421 501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5 607 423 914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–43 997 587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Drugi posebni instrumenti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301 816 894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157 446 231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–144 370 663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Druge institucije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4 015 139 626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3 939 225 376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–75 914 250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Evropski parlament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1 950 687 373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1 934 477 627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–16 209 746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Svet in Evropski svet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572 894 377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526 545 514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–46 348 863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Sodišče Evropske unije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410 025 089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406 681 899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–3 343 190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Evropsko računsko sodišče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146 015 591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140 484 381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–5 531 210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Evropski ekonomsko-socialni odbor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135 630 905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133 811 443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–1 819 462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Odbor regij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96 100 540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95 380 187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–720 353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Evropski varuh človekovih pravic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10 837 545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10 331 816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–505 729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Evropski nadzornik za varstvo podatkov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14 449 068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13 539 302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–909 766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Evropska služba za zunanje delovanje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678 499 138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677 973 207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–525 931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Razveljavitev odobritev, prenesenih iz prejšnjih let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–129 699 126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–129 699 126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Evropska komisija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–68 082 034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–68 082 034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Druge institucije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–61 617 091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–61 617 091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Spremembe menjalnih tečajev pri odhodkih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–564 126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–564 126</w:t>
            </w:r>
          </w:p>
        </w:tc>
      </w:tr>
    </w:tbl>
    <w:p>
      <w:pPr>
        <w:pStyle w:val="NumPar1"/>
        <w:spacing w:before="240" w:after="240"/>
        <w:ind w:left="851" w:hanging="851"/>
        <w:rPr>
          <w:noProof/>
        </w:rPr>
      </w:pPr>
      <w:r>
        <w:rPr>
          <w:noProof/>
        </w:rPr>
        <w:t>Komisija je izvršila 99,8 % odobrenih odobritev plačil. Neizvršen znesek je znašal 322 milijonov EUR, od tega 120 milijonov EUR iz rezerve za nujno pomoč.</w:t>
      </w:r>
    </w:p>
    <w:p>
      <w:pPr>
        <w:pStyle w:val="NumPar1"/>
        <w:spacing w:before="240" w:after="240"/>
        <w:ind w:left="851" w:hanging="851"/>
        <w:rPr>
          <w:noProof/>
        </w:rPr>
      </w:pPr>
      <w:r>
        <w:rPr>
          <w:noProof/>
        </w:rPr>
        <w:t>Nezadostno izvrševanje pri drugih institucijah v višini 76 milijonov EUR je bilo nižje kot v prejšnjih treh letih (83 milijonov EUR v letu 2017, 103 milijoni EUR v letu 2016 in 94 milijonov EUR v letu 2015).</w: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spacing w:before="0"/>
      <w:ind w:left="-851" w:right="-851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spacing w:before="0"/>
      <w:ind w:left="-851" w:right="-851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8"/>
        </w:rPr>
        <w:t>UL L 193, 30.7.2018, str. 1.</w:t>
      </w:r>
    </w:p>
  </w:footnote>
  <w:footnote w:id="3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>.</w:t>
      </w:r>
      <w:r>
        <w:tab/>
      </w:r>
      <w:r>
        <w:rPr>
          <w:sz w:val="18"/>
        </w:rPr>
        <w:t>UL L 67, 7.3.2019.</w:t>
      </w:r>
    </w:p>
  </w:footnote>
  <w:footnote w:id="4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UL L 193, 30.7.2018, str. 1.</w:t>
      </w:r>
    </w:p>
  </w:footnote>
  <w:footnote w:id="5">
    <w:p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ab/>
        <w:t>Predlog spremembe proračuna se predlaga za 28 držav članic, saj je bil datum izstopa Združenega kraljestva odložen do 31. oktobra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BA7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7ED41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856D4"/>
    <w:multiLevelType w:val="hybridMultilevel"/>
    <w:tmpl w:val="B07CF3C4"/>
    <w:lvl w:ilvl="0" w:tplc="3D900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4526B"/>
    <w:multiLevelType w:val="hybridMultilevel"/>
    <w:tmpl w:val="18D88870"/>
    <w:lvl w:ilvl="0" w:tplc="8A36BA8C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886"/>
    <w:multiLevelType w:val="hybridMultilevel"/>
    <w:tmpl w:val="FBA0B950"/>
    <w:lvl w:ilvl="0" w:tplc="D1CAE414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20AC0"/>
    <w:multiLevelType w:val="hybridMultilevel"/>
    <w:tmpl w:val="32B0E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36C33"/>
    <w:multiLevelType w:val="hybridMultilevel"/>
    <w:tmpl w:val="4036C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95CFC"/>
    <w:multiLevelType w:val="hybridMultilevel"/>
    <w:tmpl w:val="D988CA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27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F78565E"/>
    <w:multiLevelType w:val="hybridMultilevel"/>
    <w:tmpl w:val="3F76E5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246D7F"/>
    <w:multiLevelType w:val="hybridMultilevel"/>
    <w:tmpl w:val="E1EA8208"/>
    <w:lvl w:ilvl="0" w:tplc="94027E84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33BE45BD"/>
    <w:multiLevelType w:val="hybridMultilevel"/>
    <w:tmpl w:val="6D221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27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A3932"/>
    <w:multiLevelType w:val="hybridMultilevel"/>
    <w:tmpl w:val="FA52B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3F090162"/>
    <w:multiLevelType w:val="hybridMultilevel"/>
    <w:tmpl w:val="97F2B26A"/>
    <w:lvl w:ilvl="0" w:tplc="61E2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7">
    <w:nsid w:val="41AF2082"/>
    <w:multiLevelType w:val="hybridMultilevel"/>
    <w:tmpl w:val="A672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628B4"/>
    <w:multiLevelType w:val="hybridMultilevel"/>
    <w:tmpl w:val="7706A2BE"/>
    <w:lvl w:ilvl="0" w:tplc="3D900F3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8C3B69"/>
    <w:multiLevelType w:val="multilevel"/>
    <w:tmpl w:val="9B14DAA8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D2B5511"/>
    <w:multiLevelType w:val="singleLevel"/>
    <w:tmpl w:val="74A09970"/>
    <w:name w:val="Heading__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>
    <w:nsid w:val="7123216D"/>
    <w:multiLevelType w:val="hybridMultilevel"/>
    <w:tmpl w:val="F648ECEA"/>
    <w:lvl w:ilvl="0" w:tplc="AB00A5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A0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D8E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0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20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89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61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AA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C40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E95D7F"/>
    <w:multiLevelType w:val="multilevel"/>
    <w:tmpl w:val="F126F78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3">
    <w:nsid w:val="7C966381"/>
    <w:multiLevelType w:val="multilevel"/>
    <w:tmpl w:val="DCC8806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6"/>
  </w:num>
  <w:num w:numId="5">
    <w:abstractNumId w:val="21"/>
  </w:num>
  <w:num w:numId="6">
    <w:abstractNumId w:val="16"/>
  </w:num>
  <w:num w:numId="7">
    <w:abstractNumId w:val="20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  <w:num w:numId="15">
    <w:abstractNumId w:val="10"/>
  </w:num>
  <w:num w:numId="16">
    <w:abstractNumId w:val="18"/>
  </w:num>
  <w:num w:numId="17">
    <w:abstractNumId w:val="16"/>
  </w:num>
  <w:num w:numId="18">
    <w:abstractNumId w:val="19"/>
  </w:num>
  <w:num w:numId="19">
    <w:abstractNumId w:val="4"/>
  </w:num>
  <w:num w:numId="20">
    <w:abstractNumId w:val="9"/>
  </w:num>
  <w:num w:numId="21">
    <w:abstractNumId w:val="16"/>
  </w:num>
  <w:num w:numId="22">
    <w:abstractNumId w:val="16"/>
  </w:num>
  <w:num w:numId="23">
    <w:abstractNumId w:val="0"/>
  </w:num>
  <w:num w:numId="24">
    <w:abstractNumId w:val="17"/>
  </w:num>
  <w:num w:numId="25">
    <w:abstractNumId w:val="15"/>
  </w:num>
  <w:num w:numId="26">
    <w:abstractNumId w:val="3"/>
  </w:num>
  <w:num w:numId="27">
    <w:abstractNumId w:val="22"/>
  </w:num>
  <w:num w:numId="28">
    <w:abstractNumId w:val="1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DocumentType" w:val="ERR"/>
    <w:docVar w:name="FigNum" w:val="1"/>
    <w:docVar w:name="LW_CORRIGENDUM" w:val="&lt;UNUSED&gt;"/>
    <w:docVar w:name="LW_COVERPAGE_EXISTS" w:val="True"/>
    <w:docVar w:name="LW_COVERPAGE_GUID" w:val="8BC913FA-299B-40BA-BE34-DDB22C54AEFF"/>
    <w:docVar w:name="LW_COVERPAGE_TYPE" w:val="1"/>
    <w:docVar w:name="LW_CROSSREFERENCE" w:val="&lt;UNUSED&gt;"/>
    <w:docVar w:name="LW_DocType" w:val="NORMAL"/>
    <w:docVar w:name="LW_EMISSION" w:val="15.4.2019"/>
    <w:docVar w:name="LW_EMISSION_ISODATE" w:val="2019-04-15"/>
    <w:docVar w:name="LW_EMISSION_LOCATION" w:val="BRX"/>
    <w:docVar w:name="LW_EMISSION_PREFIX" w:val="Bruselj, "/>
    <w:docVar w:name="LW_EMISSION_SUFFIX" w:val=" "/>
    <w:docVar w:name="LW_ID_DOCTYPE_NONLW" w:val="CP-035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3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VKLJU\u268?ITEV PRESE\u381?KA IZ PRORA\u268?UNSKEGA LETA 2018 "/>
    <w:docVar w:name="LW_TITRE.OBJ.CP_PREVIOUS" w:val="&lt;UNUSED&gt;"/>
    <w:docVar w:name="LW_TYPE.DOC.CP" w:val="PREDLOG SPREMEMBE PRORA\u268?UNA \u353?t. 1_x000b_K SPLO\u352?NEMU PRORA\u268?UNU ZA LETO 201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120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</w:numPr>
      <w:tabs>
        <w:tab w:val="num" w:pos="850"/>
      </w:tabs>
      <w:spacing w:before="120" w:after="120"/>
      <w:ind w:left="850" w:hanging="850"/>
      <w:jc w:val="both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</w:numPr>
      <w:tabs>
        <w:tab w:val="num" w:pos="1030"/>
      </w:tabs>
      <w:spacing w:before="120" w:after="120"/>
      <w:ind w:left="1030" w:hanging="85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pPr>
      <w:ind w:left="720" w:hanging="720"/>
      <w:jc w:val="both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character" w:styleId="FootnoteReference">
    <w:name w:val="footnote reference"/>
    <w:aliases w:val="stylish,Footnote Reference Superscript,BVI fnr,Footnote symbol,Footnote symboFußnotenzeichen,Footnote sign,Footnote Reference Number,E FNZ,-E Fußnotenzeichen,Footnote#,Footnote,Times 10 Point,Exposant 3 Point,Ref,de nota al pie,SUPER"/>
    <w:rPr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</w:style>
  <w:style w:type="paragraph" w:customStyle="1" w:styleId="Tiret0">
    <w:name w:val="Tiret 0"/>
    <w:basedOn w:val="Normal"/>
    <w:pPr>
      <w:numPr>
        <w:numId w:val="1"/>
      </w:numPr>
      <w:spacing w:before="120" w:after="120"/>
      <w:jc w:val="both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</w:rPr>
  </w:style>
  <w:style w:type="paragraph" w:customStyle="1" w:styleId="ListDash">
    <w:name w:val="List Dash"/>
    <w:basedOn w:val="Normal"/>
    <w:link w:val="ListDashChar"/>
    <w:pPr>
      <w:numPr>
        <w:numId w:val="2"/>
      </w:numPr>
      <w:spacing w:before="120" w:after="120"/>
      <w:jc w:val="both"/>
    </w:pPr>
  </w:style>
  <w:style w:type="paragraph" w:styleId="TOCHeading">
    <w:name w:val="TOC Heading"/>
    <w:basedOn w:val="Normal"/>
    <w:next w:val="Normal"/>
    <w:qFormat/>
    <w:pPr>
      <w:spacing w:before="120" w:after="240"/>
      <w:jc w:val="center"/>
    </w:pPr>
    <w:rPr>
      <w:b/>
      <w:sz w:val="28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pPr>
      <w:spacing w:before="360"/>
      <w:jc w:val="center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ListBullet">
    <w:name w:val="List Bullet"/>
    <w:basedOn w:val="Normal"/>
    <w:pPr>
      <w:numPr>
        <w:numId w:val="7"/>
      </w:numPr>
      <w:spacing w:before="120" w:after="120"/>
      <w:jc w:val="both"/>
    </w:pPr>
  </w:style>
  <w:style w:type="paragraph" w:customStyle="1" w:styleId="ListDash2">
    <w:name w:val="List Dash 2"/>
    <w:basedOn w:val="Normal"/>
    <w:pPr>
      <w:tabs>
        <w:tab w:val="num" w:pos="1134"/>
      </w:tabs>
      <w:spacing w:before="120" w:after="120"/>
      <w:ind w:left="1134" w:hanging="283"/>
      <w:jc w:val="both"/>
    </w:pPr>
  </w:style>
  <w:style w:type="paragraph" w:customStyle="1" w:styleId="ListBullet1">
    <w:name w:val="List Bullet 1"/>
    <w:basedOn w:val="Text1"/>
    <w:pPr>
      <w:numPr>
        <w:numId w:val="8"/>
      </w:numPr>
      <w:spacing w:before="0" w:after="240"/>
    </w:pPr>
    <w:rPr>
      <w:szCs w:val="20"/>
    </w:rPr>
  </w:style>
  <w:style w:type="paragraph" w:styleId="ListBullet2">
    <w:name w:val="List Bullet 2"/>
    <w:basedOn w:val="Normal"/>
    <w:pPr>
      <w:numPr>
        <w:numId w:val="14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2">
    <w:name w:val="Text 2"/>
    <w:basedOn w:val="Normal"/>
    <w:pPr>
      <w:spacing w:before="120" w:after="120"/>
      <w:ind w:left="85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pPr>
      <w:numPr>
        <w:numId w:val="28"/>
      </w:numPr>
      <w:spacing w:before="120" w:after="12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28"/>
      </w:numPr>
      <w:spacing w:before="120" w:after="12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28"/>
      </w:numPr>
      <w:spacing w:before="120" w:after="12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28"/>
      </w:numPr>
      <w:spacing w:before="120" w:after="120"/>
      <w:jc w:val="both"/>
    </w:pPr>
  </w:style>
  <w:style w:type="character" w:customStyle="1" w:styleId="ListDashChar">
    <w:name w:val="List Dash Char"/>
    <w:link w:val="ListDash"/>
    <w:rPr>
      <w:sz w:val="24"/>
      <w:szCs w:val="24"/>
      <w:lang w:eastAsia="sl-SI"/>
    </w:rPr>
  </w:style>
  <w:style w:type="paragraph" w:customStyle="1" w:styleId="StyleManualHeading2Italic">
    <w:name w:val="Style Manual Heading 2 + Italic"/>
    <w:basedOn w:val="ManualHeading2"/>
    <w:autoRedefine/>
    <w:pPr>
      <w:spacing w:before="160" w:after="160"/>
      <w:ind w:left="851" w:hanging="851"/>
    </w:pPr>
    <w:rPr>
      <w:bCs/>
      <w:i/>
      <w:iCs/>
    </w:rPr>
  </w:style>
  <w:style w:type="character" w:customStyle="1" w:styleId="FootnoteTextChar">
    <w:name w:val="Footnote Text Char"/>
    <w:link w:val="FootnoteText"/>
    <w:rPr>
      <w:lang w:eastAsia="sl-SI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</w:style>
  <w:style w:type="paragraph" w:customStyle="1" w:styleId="NormalRight">
    <w:name w:val="Normal Right"/>
    <w:basedOn w:val="Normal"/>
    <w:pPr>
      <w:spacing w:before="120" w:after="120"/>
      <w:jc w:val="right"/>
    </w:pPr>
  </w:style>
  <w:style w:type="paragraph" w:customStyle="1" w:styleId="NormalLeft">
    <w:name w:val="Normal Left"/>
    <w:basedOn w:val="Normal"/>
    <w:pPr>
      <w:spacing w:before="120" w:after="120"/>
    </w:pPr>
  </w:style>
  <w:style w:type="paragraph" w:customStyle="1" w:styleId="Point0number">
    <w:name w:val="Point 0 (number)"/>
    <w:basedOn w:val="Normal"/>
    <w:uiPriority w:val="99"/>
    <w:pPr>
      <w:numPr>
        <w:numId w:val="27"/>
      </w:numPr>
      <w:spacing w:before="120" w:after="120"/>
      <w:jc w:val="both"/>
    </w:pPr>
  </w:style>
  <w:style w:type="paragraph" w:customStyle="1" w:styleId="Point1number">
    <w:name w:val="Point 1 (number)"/>
    <w:basedOn w:val="Normal"/>
    <w:uiPriority w:val="99"/>
    <w:pPr>
      <w:numPr>
        <w:ilvl w:val="2"/>
        <w:numId w:val="27"/>
      </w:numPr>
      <w:spacing w:before="120" w:after="120"/>
      <w:jc w:val="both"/>
    </w:pPr>
  </w:style>
  <w:style w:type="paragraph" w:customStyle="1" w:styleId="Point2number">
    <w:name w:val="Point 2 (number)"/>
    <w:basedOn w:val="Normal"/>
    <w:uiPriority w:val="99"/>
    <w:pPr>
      <w:numPr>
        <w:ilvl w:val="4"/>
        <w:numId w:val="27"/>
      </w:numPr>
      <w:spacing w:before="120" w:after="120"/>
      <w:jc w:val="both"/>
    </w:pPr>
  </w:style>
  <w:style w:type="paragraph" w:customStyle="1" w:styleId="Point3number">
    <w:name w:val="Point 3 (number)"/>
    <w:basedOn w:val="Normal"/>
    <w:uiPriority w:val="99"/>
    <w:pPr>
      <w:numPr>
        <w:ilvl w:val="6"/>
        <w:numId w:val="27"/>
      </w:numPr>
      <w:spacing w:before="120" w:after="120"/>
      <w:jc w:val="both"/>
    </w:pPr>
  </w:style>
  <w:style w:type="paragraph" w:customStyle="1" w:styleId="Point0letter">
    <w:name w:val="Point 0 (letter)"/>
    <w:basedOn w:val="Normal"/>
    <w:uiPriority w:val="99"/>
    <w:pPr>
      <w:numPr>
        <w:ilvl w:val="1"/>
        <w:numId w:val="27"/>
      </w:numPr>
      <w:spacing w:before="120" w:after="120"/>
      <w:jc w:val="both"/>
    </w:pPr>
  </w:style>
  <w:style w:type="paragraph" w:customStyle="1" w:styleId="Point1letter">
    <w:name w:val="Point 1 (letter)"/>
    <w:basedOn w:val="Normal"/>
    <w:uiPriority w:val="99"/>
    <w:pPr>
      <w:numPr>
        <w:ilvl w:val="3"/>
        <w:numId w:val="27"/>
      </w:numPr>
      <w:spacing w:before="120" w:after="120"/>
      <w:jc w:val="both"/>
    </w:pPr>
  </w:style>
  <w:style w:type="paragraph" w:customStyle="1" w:styleId="Point2letter">
    <w:name w:val="Point 2 (letter)"/>
    <w:basedOn w:val="Normal"/>
    <w:uiPriority w:val="99"/>
    <w:pPr>
      <w:numPr>
        <w:ilvl w:val="5"/>
        <w:numId w:val="27"/>
      </w:numPr>
      <w:spacing w:before="120" w:after="120"/>
      <w:jc w:val="both"/>
    </w:pPr>
  </w:style>
  <w:style w:type="paragraph" w:customStyle="1" w:styleId="Point3letter">
    <w:name w:val="Point 3 (letter)"/>
    <w:basedOn w:val="Normal"/>
    <w:uiPriority w:val="99"/>
    <w:pPr>
      <w:numPr>
        <w:ilvl w:val="7"/>
        <w:numId w:val="27"/>
      </w:numPr>
      <w:spacing w:before="120" w:after="120"/>
      <w:jc w:val="both"/>
    </w:pPr>
  </w:style>
  <w:style w:type="paragraph" w:customStyle="1" w:styleId="Point4letter">
    <w:name w:val="Point 4 (letter)"/>
    <w:basedOn w:val="Normal"/>
    <w:uiPriority w:val="99"/>
    <w:pPr>
      <w:numPr>
        <w:ilvl w:val="8"/>
        <w:numId w:val="27"/>
      </w:numPr>
      <w:spacing w:before="120" w:after="120"/>
      <w:jc w:val="both"/>
    </w:pPr>
  </w:style>
  <w:style w:type="paragraph" w:customStyle="1" w:styleId="NumPar1">
    <w:name w:val="NumPar 1"/>
    <w:basedOn w:val="Normal"/>
    <w:next w:val="Text1"/>
    <w:pPr>
      <w:numPr>
        <w:numId w:val="36"/>
      </w:numPr>
      <w:spacing w:before="120" w:after="120"/>
      <w:jc w:val="both"/>
    </w:pPr>
  </w:style>
  <w:style w:type="paragraph" w:customStyle="1" w:styleId="NumPar2">
    <w:name w:val="NumPar 2"/>
    <w:basedOn w:val="Normal"/>
    <w:next w:val="Normal"/>
    <w:pPr>
      <w:numPr>
        <w:ilvl w:val="1"/>
        <w:numId w:val="36"/>
      </w:numPr>
      <w:spacing w:before="120" w:after="120"/>
      <w:jc w:val="both"/>
    </w:pPr>
  </w:style>
  <w:style w:type="paragraph" w:customStyle="1" w:styleId="NumPar3">
    <w:name w:val="NumPar 3"/>
    <w:basedOn w:val="Normal"/>
    <w:next w:val="Normal"/>
    <w:pPr>
      <w:numPr>
        <w:ilvl w:val="2"/>
        <w:numId w:val="36"/>
      </w:numPr>
      <w:spacing w:before="120" w:after="120"/>
      <w:jc w:val="both"/>
    </w:pPr>
  </w:style>
  <w:style w:type="paragraph" w:customStyle="1" w:styleId="NumPar4">
    <w:name w:val="NumPar 4"/>
    <w:basedOn w:val="Normal"/>
    <w:next w:val="Normal"/>
    <w:pPr>
      <w:numPr>
        <w:ilvl w:val="3"/>
        <w:numId w:val="36"/>
      </w:numPr>
      <w:spacing w:before="120" w:after="120"/>
      <w:jc w:val="both"/>
    </w:pPr>
  </w:style>
  <w:style w:type="paragraph" w:customStyle="1" w:styleId="Exposdesmotifstitre">
    <w:name w:val="Exposé des motifs titre"/>
    <w:basedOn w:val="Normal"/>
    <w:next w:val="Normal"/>
    <w:pPr>
      <w:spacing w:before="120" w:after="120"/>
      <w:jc w:val="center"/>
    </w:pPr>
    <w:rPr>
      <w:b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Statut">
    <w:name w:val="Statut"/>
    <w:basedOn w:val="Normal"/>
    <w:next w:val="Typedudocument"/>
    <w:pPr>
      <w:spacing w:before="360"/>
      <w:jc w:val="center"/>
    </w:pPr>
    <w:rPr>
      <w:rFonts w:eastAsia="Calibri"/>
      <w:szCs w:val="22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sl-SI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sl-SI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120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</w:numPr>
      <w:tabs>
        <w:tab w:val="num" w:pos="850"/>
      </w:tabs>
      <w:spacing w:before="120" w:after="120"/>
      <w:ind w:left="850" w:hanging="850"/>
      <w:jc w:val="both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</w:numPr>
      <w:tabs>
        <w:tab w:val="num" w:pos="1030"/>
      </w:tabs>
      <w:spacing w:before="120" w:after="120"/>
      <w:ind w:left="1030" w:hanging="85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pPr>
      <w:ind w:left="720" w:hanging="720"/>
      <w:jc w:val="both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character" w:styleId="FootnoteReference">
    <w:name w:val="footnote reference"/>
    <w:aliases w:val="stylish,Footnote Reference Superscript,BVI fnr,Footnote symbol,Footnote symboFußnotenzeichen,Footnote sign,Footnote Reference Number,E FNZ,-E Fußnotenzeichen,Footnote#,Footnote,Times 10 Point,Exposant 3 Point,Ref,de nota al pie,SUPER"/>
    <w:rPr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</w:style>
  <w:style w:type="paragraph" w:customStyle="1" w:styleId="Tiret0">
    <w:name w:val="Tiret 0"/>
    <w:basedOn w:val="Normal"/>
    <w:pPr>
      <w:numPr>
        <w:numId w:val="1"/>
      </w:numPr>
      <w:spacing w:before="120" w:after="120"/>
      <w:jc w:val="both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</w:rPr>
  </w:style>
  <w:style w:type="paragraph" w:customStyle="1" w:styleId="ListDash">
    <w:name w:val="List Dash"/>
    <w:basedOn w:val="Normal"/>
    <w:link w:val="ListDashChar"/>
    <w:pPr>
      <w:numPr>
        <w:numId w:val="2"/>
      </w:numPr>
      <w:spacing w:before="120" w:after="120"/>
      <w:jc w:val="both"/>
    </w:pPr>
  </w:style>
  <w:style w:type="paragraph" w:styleId="TOCHeading">
    <w:name w:val="TOC Heading"/>
    <w:basedOn w:val="Normal"/>
    <w:next w:val="Normal"/>
    <w:qFormat/>
    <w:pPr>
      <w:spacing w:before="120" w:after="240"/>
      <w:jc w:val="center"/>
    </w:pPr>
    <w:rPr>
      <w:b/>
      <w:sz w:val="28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pPr>
      <w:spacing w:before="360"/>
      <w:jc w:val="center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ListBullet">
    <w:name w:val="List Bullet"/>
    <w:basedOn w:val="Normal"/>
    <w:pPr>
      <w:numPr>
        <w:numId w:val="7"/>
      </w:numPr>
      <w:spacing w:before="120" w:after="120"/>
      <w:jc w:val="both"/>
    </w:pPr>
  </w:style>
  <w:style w:type="paragraph" w:customStyle="1" w:styleId="ListDash2">
    <w:name w:val="List Dash 2"/>
    <w:basedOn w:val="Normal"/>
    <w:pPr>
      <w:tabs>
        <w:tab w:val="num" w:pos="1134"/>
      </w:tabs>
      <w:spacing w:before="120" w:after="120"/>
      <w:ind w:left="1134" w:hanging="283"/>
      <w:jc w:val="both"/>
    </w:pPr>
  </w:style>
  <w:style w:type="paragraph" w:customStyle="1" w:styleId="ListBullet1">
    <w:name w:val="List Bullet 1"/>
    <w:basedOn w:val="Text1"/>
    <w:pPr>
      <w:numPr>
        <w:numId w:val="8"/>
      </w:numPr>
      <w:spacing w:before="0" w:after="240"/>
    </w:pPr>
    <w:rPr>
      <w:szCs w:val="20"/>
    </w:rPr>
  </w:style>
  <w:style w:type="paragraph" w:styleId="ListBullet2">
    <w:name w:val="List Bullet 2"/>
    <w:basedOn w:val="Normal"/>
    <w:pPr>
      <w:numPr>
        <w:numId w:val="14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2">
    <w:name w:val="Text 2"/>
    <w:basedOn w:val="Normal"/>
    <w:pPr>
      <w:spacing w:before="120" w:after="120"/>
      <w:ind w:left="85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pPr>
      <w:numPr>
        <w:numId w:val="28"/>
      </w:numPr>
      <w:spacing w:before="120" w:after="12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28"/>
      </w:numPr>
      <w:spacing w:before="120" w:after="12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28"/>
      </w:numPr>
      <w:spacing w:before="120" w:after="12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28"/>
      </w:numPr>
      <w:spacing w:before="120" w:after="120"/>
      <w:jc w:val="both"/>
    </w:pPr>
  </w:style>
  <w:style w:type="character" w:customStyle="1" w:styleId="ListDashChar">
    <w:name w:val="List Dash Char"/>
    <w:link w:val="ListDash"/>
    <w:rPr>
      <w:sz w:val="24"/>
      <w:szCs w:val="24"/>
      <w:lang w:eastAsia="sl-SI"/>
    </w:rPr>
  </w:style>
  <w:style w:type="paragraph" w:customStyle="1" w:styleId="StyleManualHeading2Italic">
    <w:name w:val="Style Manual Heading 2 + Italic"/>
    <w:basedOn w:val="ManualHeading2"/>
    <w:autoRedefine/>
    <w:pPr>
      <w:spacing w:before="160" w:after="160"/>
      <w:ind w:left="851" w:hanging="851"/>
    </w:pPr>
    <w:rPr>
      <w:bCs/>
      <w:i/>
      <w:iCs/>
    </w:rPr>
  </w:style>
  <w:style w:type="character" w:customStyle="1" w:styleId="FootnoteTextChar">
    <w:name w:val="Footnote Text Char"/>
    <w:link w:val="FootnoteText"/>
    <w:rPr>
      <w:lang w:eastAsia="sl-SI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</w:style>
  <w:style w:type="paragraph" w:customStyle="1" w:styleId="NormalRight">
    <w:name w:val="Normal Right"/>
    <w:basedOn w:val="Normal"/>
    <w:pPr>
      <w:spacing w:before="120" w:after="120"/>
      <w:jc w:val="right"/>
    </w:pPr>
  </w:style>
  <w:style w:type="paragraph" w:customStyle="1" w:styleId="NormalLeft">
    <w:name w:val="Normal Left"/>
    <w:basedOn w:val="Normal"/>
    <w:pPr>
      <w:spacing w:before="120" w:after="120"/>
    </w:pPr>
  </w:style>
  <w:style w:type="paragraph" w:customStyle="1" w:styleId="Point0number">
    <w:name w:val="Point 0 (number)"/>
    <w:basedOn w:val="Normal"/>
    <w:uiPriority w:val="99"/>
    <w:pPr>
      <w:numPr>
        <w:numId w:val="27"/>
      </w:numPr>
      <w:spacing w:before="120" w:after="120"/>
      <w:jc w:val="both"/>
    </w:pPr>
  </w:style>
  <w:style w:type="paragraph" w:customStyle="1" w:styleId="Point1number">
    <w:name w:val="Point 1 (number)"/>
    <w:basedOn w:val="Normal"/>
    <w:uiPriority w:val="99"/>
    <w:pPr>
      <w:numPr>
        <w:ilvl w:val="2"/>
        <w:numId w:val="27"/>
      </w:numPr>
      <w:spacing w:before="120" w:after="120"/>
      <w:jc w:val="both"/>
    </w:pPr>
  </w:style>
  <w:style w:type="paragraph" w:customStyle="1" w:styleId="Point2number">
    <w:name w:val="Point 2 (number)"/>
    <w:basedOn w:val="Normal"/>
    <w:uiPriority w:val="99"/>
    <w:pPr>
      <w:numPr>
        <w:ilvl w:val="4"/>
        <w:numId w:val="27"/>
      </w:numPr>
      <w:spacing w:before="120" w:after="120"/>
      <w:jc w:val="both"/>
    </w:pPr>
  </w:style>
  <w:style w:type="paragraph" w:customStyle="1" w:styleId="Point3number">
    <w:name w:val="Point 3 (number)"/>
    <w:basedOn w:val="Normal"/>
    <w:uiPriority w:val="99"/>
    <w:pPr>
      <w:numPr>
        <w:ilvl w:val="6"/>
        <w:numId w:val="27"/>
      </w:numPr>
      <w:spacing w:before="120" w:after="120"/>
      <w:jc w:val="both"/>
    </w:pPr>
  </w:style>
  <w:style w:type="paragraph" w:customStyle="1" w:styleId="Point0letter">
    <w:name w:val="Point 0 (letter)"/>
    <w:basedOn w:val="Normal"/>
    <w:uiPriority w:val="99"/>
    <w:pPr>
      <w:numPr>
        <w:ilvl w:val="1"/>
        <w:numId w:val="27"/>
      </w:numPr>
      <w:spacing w:before="120" w:after="120"/>
      <w:jc w:val="both"/>
    </w:pPr>
  </w:style>
  <w:style w:type="paragraph" w:customStyle="1" w:styleId="Point1letter">
    <w:name w:val="Point 1 (letter)"/>
    <w:basedOn w:val="Normal"/>
    <w:uiPriority w:val="99"/>
    <w:pPr>
      <w:numPr>
        <w:ilvl w:val="3"/>
        <w:numId w:val="27"/>
      </w:numPr>
      <w:spacing w:before="120" w:after="120"/>
      <w:jc w:val="both"/>
    </w:pPr>
  </w:style>
  <w:style w:type="paragraph" w:customStyle="1" w:styleId="Point2letter">
    <w:name w:val="Point 2 (letter)"/>
    <w:basedOn w:val="Normal"/>
    <w:uiPriority w:val="99"/>
    <w:pPr>
      <w:numPr>
        <w:ilvl w:val="5"/>
        <w:numId w:val="27"/>
      </w:numPr>
      <w:spacing w:before="120" w:after="120"/>
      <w:jc w:val="both"/>
    </w:pPr>
  </w:style>
  <w:style w:type="paragraph" w:customStyle="1" w:styleId="Point3letter">
    <w:name w:val="Point 3 (letter)"/>
    <w:basedOn w:val="Normal"/>
    <w:uiPriority w:val="99"/>
    <w:pPr>
      <w:numPr>
        <w:ilvl w:val="7"/>
        <w:numId w:val="27"/>
      </w:numPr>
      <w:spacing w:before="120" w:after="120"/>
      <w:jc w:val="both"/>
    </w:pPr>
  </w:style>
  <w:style w:type="paragraph" w:customStyle="1" w:styleId="Point4letter">
    <w:name w:val="Point 4 (letter)"/>
    <w:basedOn w:val="Normal"/>
    <w:uiPriority w:val="99"/>
    <w:pPr>
      <w:numPr>
        <w:ilvl w:val="8"/>
        <w:numId w:val="27"/>
      </w:numPr>
      <w:spacing w:before="120" w:after="120"/>
      <w:jc w:val="both"/>
    </w:pPr>
  </w:style>
  <w:style w:type="paragraph" w:customStyle="1" w:styleId="NumPar1">
    <w:name w:val="NumPar 1"/>
    <w:basedOn w:val="Normal"/>
    <w:next w:val="Text1"/>
    <w:pPr>
      <w:numPr>
        <w:numId w:val="36"/>
      </w:numPr>
      <w:spacing w:before="120" w:after="120"/>
      <w:jc w:val="both"/>
    </w:pPr>
  </w:style>
  <w:style w:type="paragraph" w:customStyle="1" w:styleId="NumPar2">
    <w:name w:val="NumPar 2"/>
    <w:basedOn w:val="Normal"/>
    <w:next w:val="Normal"/>
    <w:pPr>
      <w:numPr>
        <w:ilvl w:val="1"/>
        <w:numId w:val="36"/>
      </w:numPr>
      <w:spacing w:before="120" w:after="120"/>
      <w:jc w:val="both"/>
    </w:pPr>
  </w:style>
  <w:style w:type="paragraph" w:customStyle="1" w:styleId="NumPar3">
    <w:name w:val="NumPar 3"/>
    <w:basedOn w:val="Normal"/>
    <w:next w:val="Normal"/>
    <w:pPr>
      <w:numPr>
        <w:ilvl w:val="2"/>
        <w:numId w:val="36"/>
      </w:numPr>
      <w:spacing w:before="120" w:after="120"/>
      <w:jc w:val="both"/>
    </w:pPr>
  </w:style>
  <w:style w:type="paragraph" w:customStyle="1" w:styleId="NumPar4">
    <w:name w:val="NumPar 4"/>
    <w:basedOn w:val="Normal"/>
    <w:next w:val="Normal"/>
    <w:pPr>
      <w:numPr>
        <w:ilvl w:val="3"/>
        <w:numId w:val="36"/>
      </w:numPr>
      <w:spacing w:before="120" w:after="120"/>
      <w:jc w:val="both"/>
    </w:pPr>
  </w:style>
  <w:style w:type="paragraph" w:customStyle="1" w:styleId="Exposdesmotifstitre">
    <w:name w:val="Exposé des motifs titre"/>
    <w:basedOn w:val="Normal"/>
    <w:next w:val="Normal"/>
    <w:pPr>
      <w:spacing w:before="120" w:after="120"/>
      <w:jc w:val="center"/>
    </w:pPr>
    <w:rPr>
      <w:b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Statut">
    <w:name w:val="Statut"/>
    <w:basedOn w:val="Normal"/>
    <w:next w:val="Typedudocument"/>
    <w:pPr>
      <w:spacing w:before="360"/>
      <w:jc w:val="center"/>
    </w:pPr>
    <w:rPr>
      <w:rFonts w:eastAsia="Calibri"/>
      <w:szCs w:val="22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sl-SI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sl-SI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budget/www/index-sl.htm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5750-EBEE-4229-B9DF-B8CFCDD9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1124</Words>
  <Characters>5364</Characters>
  <Application>Microsoft Office Word</Application>
  <DocSecurity>0</DocSecurity>
  <Lines>282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6257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19</cp:revision>
  <cp:lastPrinted>2019-04-01T14:47:00Z</cp:lastPrinted>
  <dcterms:created xsi:type="dcterms:W3CDTF">2019-04-11T12:14:00Z</dcterms:created>
  <dcterms:modified xsi:type="dcterms:W3CDTF">2019-04-29T12:18:00Z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