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4E7ED692-733A-4B2B-A7F1-6D2F97116AA9" style="width:450.8pt;height:320.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Saturs</w:t>
          </w:r>
        </w:p>
        <w:p>
          <w:pPr>
            <w:rPr>
              <w:noProof/>
            </w:rPr>
          </w:pPr>
        </w:p>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5885141"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ELGF 2019. gada budžeta procedūra</w:t>
            </w:r>
            <w:r>
              <w:rPr>
                <w:noProof/>
                <w:webHidden/>
              </w:rPr>
              <w:tab/>
            </w:r>
            <w:r>
              <w:rPr>
                <w:noProof/>
                <w:webHidden/>
              </w:rPr>
              <w:fldChar w:fldCharType="begin"/>
            </w:r>
            <w:r>
              <w:rPr>
                <w:noProof/>
                <w:webHidden/>
              </w:rPr>
              <w:instrText xml:space="preserve"> PAGEREF _Toc5885141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885142"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ELGF piešķirtie ieņēmumi</w:t>
            </w:r>
            <w:r>
              <w:rPr>
                <w:noProof/>
                <w:webHidden/>
              </w:rPr>
              <w:tab/>
            </w:r>
            <w:r>
              <w:rPr>
                <w:noProof/>
                <w:webHidden/>
              </w:rPr>
              <w:fldChar w:fldCharType="begin"/>
            </w:r>
            <w:r>
              <w:rPr>
                <w:noProof/>
                <w:webHidden/>
              </w:rPr>
              <w:instrText xml:space="preserve"> PAGEREF _Toc5885142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885143"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Piezīmes par ELGF 2019. gada budžeta provizorisko izpildi</w:t>
            </w:r>
            <w:r>
              <w:rPr>
                <w:noProof/>
                <w:webHidden/>
              </w:rPr>
              <w:tab/>
            </w:r>
            <w:r>
              <w:rPr>
                <w:noProof/>
                <w:webHidden/>
              </w:rPr>
              <w:fldChar w:fldCharType="begin"/>
            </w:r>
            <w:r>
              <w:rPr>
                <w:noProof/>
                <w:webHidden/>
              </w:rPr>
              <w:instrText xml:space="preserve"> PAGEREF _Toc5885143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bidi="ar-SA"/>
            </w:rPr>
          </w:pPr>
          <w:hyperlink w:anchor="_Toc5885144" w:history="1">
            <w:r>
              <w:rPr>
                <w:rStyle w:val="Hyperlink"/>
                <w:noProof/>
              </w:rPr>
              <w:t>3.1.</w:t>
            </w:r>
            <w:r>
              <w:rPr>
                <w:rFonts w:asciiTheme="minorHAnsi" w:eastAsiaTheme="minorEastAsia" w:hAnsiTheme="minorHAnsi" w:cstheme="minorBidi"/>
                <w:noProof/>
                <w:lang w:val="en-GB" w:eastAsia="en-GB" w:bidi="ar-SA"/>
              </w:rPr>
              <w:tab/>
            </w:r>
            <w:r>
              <w:rPr>
                <w:rStyle w:val="Hyperlink"/>
                <w:noProof/>
              </w:rPr>
              <w:t>Tirgus pasākumi</w:t>
            </w:r>
            <w:r>
              <w:rPr>
                <w:noProof/>
                <w:webHidden/>
              </w:rPr>
              <w:tab/>
            </w:r>
            <w:r>
              <w:rPr>
                <w:noProof/>
                <w:webHidden/>
              </w:rPr>
              <w:fldChar w:fldCharType="begin"/>
            </w:r>
            <w:r>
              <w:rPr>
                <w:noProof/>
                <w:webHidden/>
              </w:rPr>
              <w:instrText xml:space="preserve"> PAGEREF _Toc5885144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45" w:history="1">
            <w:r>
              <w:rPr>
                <w:rStyle w:val="Hyperlink"/>
                <w:noProof/>
              </w:rPr>
              <w:t>3.1.1.</w:t>
            </w:r>
            <w:r>
              <w:rPr>
                <w:rFonts w:asciiTheme="minorHAnsi" w:eastAsiaTheme="minorEastAsia" w:hAnsiTheme="minorHAnsi" w:cstheme="minorBidi"/>
                <w:noProof/>
                <w:lang w:val="en-GB" w:eastAsia="en-GB" w:bidi="ar-SA"/>
              </w:rPr>
              <w:tab/>
            </w:r>
            <w:r>
              <w:rPr>
                <w:rStyle w:val="Hyperlink"/>
                <w:noProof/>
              </w:rPr>
              <w:t>Veicināšana</w:t>
            </w:r>
            <w:r>
              <w:rPr>
                <w:noProof/>
                <w:webHidden/>
              </w:rPr>
              <w:tab/>
            </w:r>
            <w:r>
              <w:rPr>
                <w:noProof/>
                <w:webHidden/>
              </w:rPr>
              <w:fldChar w:fldCharType="begin"/>
            </w:r>
            <w:r>
              <w:rPr>
                <w:noProof/>
                <w:webHidden/>
              </w:rPr>
              <w:instrText xml:space="preserve"> PAGEREF _Toc5885145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46" w:history="1">
            <w:r>
              <w:rPr>
                <w:rStyle w:val="Hyperlink"/>
                <w:noProof/>
              </w:rPr>
              <w:t>3.1.2.</w:t>
            </w:r>
            <w:r>
              <w:rPr>
                <w:rFonts w:asciiTheme="minorHAnsi" w:eastAsiaTheme="minorEastAsia" w:hAnsiTheme="minorHAnsi" w:cstheme="minorBidi"/>
                <w:noProof/>
                <w:lang w:val="en-GB" w:eastAsia="en-GB" w:bidi="ar-SA"/>
              </w:rPr>
              <w:tab/>
            </w:r>
            <w:r>
              <w:rPr>
                <w:rStyle w:val="Hyperlink"/>
                <w:noProof/>
              </w:rPr>
              <w:t>Augļi un dārzeņi</w:t>
            </w:r>
            <w:r>
              <w:rPr>
                <w:noProof/>
                <w:webHidden/>
              </w:rPr>
              <w:tab/>
            </w:r>
            <w:r>
              <w:rPr>
                <w:noProof/>
                <w:webHidden/>
              </w:rPr>
              <w:fldChar w:fldCharType="begin"/>
            </w:r>
            <w:r>
              <w:rPr>
                <w:noProof/>
                <w:webHidden/>
              </w:rPr>
              <w:instrText xml:space="preserve"> PAGEREF _Toc5885146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47" w:history="1">
            <w:r>
              <w:rPr>
                <w:rStyle w:val="Hyperlink"/>
                <w:noProof/>
              </w:rPr>
              <w:t>3.1.3.</w:t>
            </w:r>
            <w:r>
              <w:rPr>
                <w:rFonts w:asciiTheme="minorHAnsi" w:eastAsiaTheme="minorEastAsia" w:hAnsiTheme="minorHAnsi" w:cstheme="minorBidi"/>
                <w:noProof/>
                <w:lang w:val="en-GB" w:eastAsia="en-GB" w:bidi="ar-SA"/>
              </w:rPr>
              <w:tab/>
            </w:r>
            <w:r>
              <w:rPr>
                <w:rStyle w:val="Hyperlink"/>
                <w:noProof/>
              </w:rPr>
              <w:t>Vīnkopības nozares produkti</w:t>
            </w:r>
            <w:r>
              <w:rPr>
                <w:noProof/>
                <w:webHidden/>
              </w:rPr>
              <w:tab/>
            </w:r>
            <w:r>
              <w:rPr>
                <w:noProof/>
                <w:webHidden/>
              </w:rPr>
              <w:fldChar w:fldCharType="begin"/>
            </w:r>
            <w:r>
              <w:rPr>
                <w:noProof/>
                <w:webHidden/>
              </w:rPr>
              <w:instrText xml:space="preserve"> PAGEREF _Toc5885147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48" w:history="1">
            <w:r>
              <w:rPr>
                <w:rStyle w:val="Hyperlink"/>
                <w:noProof/>
              </w:rPr>
              <w:t>3.1.4.</w:t>
            </w:r>
            <w:r>
              <w:rPr>
                <w:rFonts w:asciiTheme="minorHAnsi" w:eastAsiaTheme="minorEastAsia" w:hAnsiTheme="minorHAnsi" w:cstheme="minorBidi"/>
                <w:noProof/>
                <w:lang w:val="en-GB" w:eastAsia="en-GB" w:bidi="ar-SA"/>
              </w:rPr>
              <w:tab/>
            </w:r>
            <w:r>
              <w:rPr>
                <w:rStyle w:val="Hyperlink"/>
                <w:noProof/>
              </w:rPr>
              <w:t>Citi augu valsts produkti / citi pasākumi</w:t>
            </w:r>
            <w:r>
              <w:rPr>
                <w:noProof/>
                <w:webHidden/>
              </w:rPr>
              <w:tab/>
            </w:r>
            <w:r>
              <w:rPr>
                <w:noProof/>
                <w:webHidden/>
              </w:rPr>
              <w:fldChar w:fldCharType="begin"/>
            </w:r>
            <w:r>
              <w:rPr>
                <w:noProof/>
                <w:webHidden/>
              </w:rPr>
              <w:instrText xml:space="preserve"> PAGEREF _Toc5885148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49" w:history="1">
            <w:r>
              <w:rPr>
                <w:rStyle w:val="Hyperlink"/>
                <w:noProof/>
              </w:rPr>
              <w:t>3.1.5.</w:t>
            </w:r>
            <w:r>
              <w:rPr>
                <w:rFonts w:asciiTheme="minorHAnsi" w:eastAsiaTheme="minorEastAsia" w:hAnsiTheme="minorHAnsi" w:cstheme="minorBidi"/>
                <w:noProof/>
                <w:lang w:val="en-GB" w:eastAsia="en-GB" w:bidi="ar-SA"/>
              </w:rPr>
              <w:tab/>
            </w:r>
            <w:r>
              <w:rPr>
                <w:rStyle w:val="Hyperlink"/>
                <w:noProof/>
              </w:rPr>
              <w:t>Piens un piena produkti</w:t>
            </w:r>
            <w:r>
              <w:rPr>
                <w:noProof/>
                <w:webHidden/>
              </w:rPr>
              <w:tab/>
            </w:r>
            <w:r>
              <w:rPr>
                <w:noProof/>
                <w:webHidden/>
              </w:rPr>
              <w:fldChar w:fldCharType="begin"/>
            </w:r>
            <w:r>
              <w:rPr>
                <w:noProof/>
                <w:webHidden/>
              </w:rPr>
              <w:instrText xml:space="preserve"> PAGEREF _Toc5885149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bidi="ar-SA"/>
            </w:rPr>
          </w:pPr>
          <w:hyperlink w:anchor="_Toc5885150" w:history="1">
            <w:r>
              <w:rPr>
                <w:rStyle w:val="Hyperlink"/>
                <w:noProof/>
              </w:rPr>
              <w:t>3.2.</w:t>
            </w:r>
            <w:r>
              <w:rPr>
                <w:rFonts w:asciiTheme="minorHAnsi" w:eastAsiaTheme="minorEastAsia" w:hAnsiTheme="minorHAnsi" w:cstheme="minorBidi"/>
                <w:noProof/>
                <w:lang w:val="en-GB" w:eastAsia="en-GB" w:bidi="ar-SA"/>
              </w:rPr>
              <w:tab/>
            </w:r>
            <w:r>
              <w:rPr>
                <w:rStyle w:val="Hyperlink"/>
                <w:noProof/>
              </w:rPr>
              <w:t>Tiešie maksājumi</w:t>
            </w:r>
            <w:r>
              <w:rPr>
                <w:noProof/>
                <w:webHidden/>
              </w:rPr>
              <w:tab/>
            </w:r>
            <w:r>
              <w:rPr>
                <w:noProof/>
                <w:webHidden/>
              </w:rPr>
              <w:fldChar w:fldCharType="begin"/>
            </w:r>
            <w:r>
              <w:rPr>
                <w:noProof/>
                <w:webHidden/>
              </w:rPr>
              <w:instrText xml:space="preserve"> PAGEREF _Toc5885150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51" w:history="1">
            <w:r>
              <w:rPr>
                <w:rStyle w:val="Hyperlink"/>
                <w:noProof/>
              </w:rPr>
              <w:t>3.2.1.</w:t>
            </w:r>
            <w:r>
              <w:rPr>
                <w:rFonts w:asciiTheme="minorHAnsi" w:eastAsiaTheme="minorEastAsia" w:hAnsiTheme="minorHAnsi" w:cstheme="minorBidi"/>
                <w:noProof/>
                <w:lang w:val="en-GB" w:eastAsia="en-GB" w:bidi="ar-SA"/>
              </w:rPr>
              <w:tab/>
            </w:r>
            <w:r>
              <w:rPr>
                <w:rStyle w:val="Hyperlink"/>
                <w:noProof/>
              </w:rPr>
              <w:t>Atsaistītie tiešie maksājumi</w:t>
            </w:r>
            <w:r>
              <w:rPr>
                <w:noProof/>
                <w:webHidden/>
              </w:rPr>
              <w:tab/>
            </w:r>
            <w:r>
              <w:rPr>
                <w:noProof/>
                <w:webHidden/>
              </w:rPr>
              <w:fldChar w:fldCharType="begin"/>
            </w:r>
            <w:r>
              <w:rPr>
                <w:noProof/>
                <w:webHidden/>
              </w:rPr>
              <w:instrText xml:space="preserve"> PAGEREF _Toc5885151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5885152" w:history="1">
            <w:r>
              <w:rPr>
                <w:rStyle w:val="Hyperlink"/>
                <w:noProof/>
              </w:rPr>
              <w:t>3.2.2.</w:t>
            </w:r>
            <w:r>
              <w:rPr>
                <w:rFonts w:asciiTheme="minorHAnsi" w:eastAsiaTheme="minorEastAsia" w:hAnsiTheme="minorHAnsi" w:cstheme="minorBidi"/>
                <w:noProof/>
                <w:lang w:val="en-GB" w:eastAsia="en-GB" w:bidi="ar-SA"/>
              </w:rPr>
              <w:tab/>
            </w:r>
            <w:r>
              <w:rPr>
                <w:rStyle w:val="Hyperlink"/>
                <w:noProof/>
              </w:rPr>
              <w:t>Citi tiešie maksājumi</w:t>
            </w:r>
            <w:r>
              <w:rPr>
                <w:noProof/>
                <w:webHidden/>
              </w:rPr>
              <w:tab/>
            </w:r>
            <w:r>
              <w:rPr>
                <w:noProof/>
                <w:webHidden/>
              </w:rPr>
              <w:fldChar w:fldCharType="begin"/>
            </w:r>
            <w:r>
              <w:rPr>
                <w:noProof/>
                <w:webHidden/>
              </w:rPr>
              <w:instrText xml:space="preserve"> PAGEREF _Toc5885152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885153"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ELGF piešķirto ieņēmumu izpilde</w:t>
            </w:r>
            <w:r>
              <w:rPr>
                <w:noProof/>
                <w:webHidden/>
              </w:rPr>
              <w:tab/>
            </w:r>
            <w:r>
              <w:rPr>
                <w:noProof/>
                <w:webHidden/>
              </w:rPr>
              <w:fldChar w:fldCharType="begin"/>
            </w:r>
            <w:r>
              <w:rPr>
                <w:noProof/>
                <w:webHidden/>
              </w:rPr>
              <w:instrText xml:space="preserve"> PAGEREF _Toc5885153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5885154"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Secinājumi</w:t>
            </w:r>
            <w:r>
              <w:rPr>
                <w:noProof/>
                <w:webHidden/>
              </w:rPr>
              <w:tab/>
            </w:r>
            <w:r>
              <w:rPr>
                <w:noProof/>
                <w:webHidden/>
              </w:rPr>
              <w:fldChar w:fldCharType="begin"/>
            </w:r>
            <w:r>
              <w:rPr>
                <w:noProof/>
                <w:webHidden/>
              </w:rPr>
              <w:instrText xml:space="preserve"> PAGEREF _Toc5885154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2064"/>
        <w:gridCol w:w="7201"/>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1. pielikums.</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ELGF apropriāciju provizoriskais izlietojums līdz 31.1.2019.</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29306111"/>
      <w:bookmarkStart w:id="3" w:name="_Toc413145207"/>
      <w:bookmarkStart w:id="4" w:name="_Toc5008859"/>
      <w:bookmarkStart w:id="5" w:name="_Toc5885141"/>
      <w:bookmarkStart w:id="6" w:name="_Toc244054012"/>
      <w:bookmarkStart w:id="7" w:name="_Toc244054013"/>
      <w:r>
        <w:rPr>
          <w:noProof/>
        </w:rPr>
        <w:t>ELGF 2019. gada budžeta procedūra</w:t>
      </w:r>
      <w:bookmarkEnd w:id="2"/>
      <w:bookmarkEnd w:id="3"/>
      <w:bookmarkEnd w:id="4"/>
      <w:bookmarkEnd w:id="5"/>
    </w:p>
    <w:p>
      <w:pPr>
        <w:pStyle w:val="Text1"/>
        <w:rPr>
          <w:noProof/>
        </w:rPr>
      </w:pPr>
      <w:r>
        <w:rPr>
          <w:noProof/>
        </w:rPr>
        <w:t>2018. gada 12. decembrī Eiropas Parlaments pieņēma Eiropas Savienības 2019. gada vispārējo budžetu. Eiropas Lauksaimniecības garantiju fonda (ELGF) vajadzībām budžetā tika iekļautas tiešajiem maksājumiem un ar tirgu saistītiem izdevumiem paredzētas saistību apropriācijas 43 192 milj. EUR apmērā un maksājumu apropriācijas 43 116 milj. EUR apmērā.</w:t>
      </w:r>
    </w:p>
    <w:p>
      <w:pPr>
        <w:pStyle w:val="Text1"/>
        <w:rPr>
          <w:noProof/>
        </w:rPr>
      </w:pPr>
      <w:r>
        <w:rPr>
          <w:noProof/>
        </w:rPr>
        <w:t>Abu veidu apropriāciju summas atšķiras tāpēc, ka dažiem Komisijas tieši īstenotiem pasākumiem tiek izmantotas diferencētas apropriācijas. Tās saistītas galvenokārt ar lauksaimniecības produktu veicināšanas pasākumiem un politikas stratēģijas un koordinācijas pasākumiem.</w:t>
      </w:r>
    </w:p>
    <w:p>
      <w:pPr>
        <w:pStyle w:val="Heading1"/>
        <w:rPr>
          <w:noProof/>
        </w:rPr>
      </w:pPr>
      <w:bookmarkStart w:id="8" w:name="_Toc413145208"/>
      <w:bookmarkStart w:id="9" w:name="_Toc5008860"/>
      <w:bookmarkStart w:id="10" w:name="_Toc5885142"/>
      <w:bookmarkEnd w:id="6"/>
      <w:r>
        <w:rPr>
          <w:noProof/>
        </w:rPr>
        <w:t>ELGF piešķirtie ieņēmumi</w:t>
      </w:r>
      <w:bookmarkEnd w:id="7"/>
      <w:bookmarkEnd w:id="8"/>
      <w:bookmarkEnd w:id="9"/>
      <w:bookmarkEnd w:id="10"/>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Uz Regulas (ES) Nr. 1306/2013 43. panta noteikumu pamata ieņēmumi, kas gūti no grāmatojumu noskaidrošanas un atbilstības noskaidrošanas lēmumos noteiktajām finanšu korekcijām un no pārkāpumiem, ir ELGF izdevumu finansēšanai piešķirtie ieņēmumi.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Šie noteikumi paredz, ka piešķirtie ieņēmumi var segt jebkādu ELGF izdevumu finansēšanas vajadzības. Jebkāda šo ieņēmumu daļa, kas budžeta gadā paliek neizmantota, tiek automātiski pārnesta uz nākamo budžeta gadu</w:t>
      </w:r>
      <w:r>
        <w:rPr>
          <w:rFonts w:ascii="Times New Roman" w:hAnsi="Times New Roman"/>
          <w:noProof/>
          <w:sz w:val="24"/>
          <w:vertAlign w:val="superscript"/>
        </w:rPr>
        <w:footnoteReference w:id="1"/>
      </w:r>
      <w:r>
        <w:rPr>
          <w:rFonts w:ascii="Times New Roman" w:hAnsi="Times New Roman"/>
          <w:noProof/>
          <w:sz w:val="24"/>
        </w:rPr>
        <w:t>.</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ELGF 2019. gada budžetā ietilpst:</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Komisijas jaunākās aplēses par tirgus pasākumu un tiešo maksājumu finansēšanas vajadzībām,</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aplēses par piešķirtajiem ieņēmumiem, kas jāiekasē attiecīgā budžeta gada laikā,</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un pārnestais piešķirto ieņēmumu atlikums, kas pieejams no iepriekšējā budžeta gada.</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Priekšlikumā par ELGF 2019. gada budžeta apropriācijām Komisija ņēma vērā paredzamos kopējos piešķirtos ieņēmumus un 2019. gada budžetam pieprasīja apropriācijas tādā apmērā, kas aprēķināts, no aplēstajām vajadzībām atņemot aplēstos piešķirtos ieņēmumus. Budžeta lēmējinstitūcija ELGF budžetu pieņēma, ņemot vērā gaidāmos piešķirtos ieņēmumus.</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2019. gada budžeta sagatavošanas laikā Komisija pieejamo piešķirto ieņēmumu kopsummu aplēsa 1078 milj. EUR apmērā, un to veido:</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piešķirtie ieņēmumi, ko plānots gūt 2019. budžeta gadā un kas aplēsti 634 milj. EUR apmērā (499 milj. EUR no atbilstības noskaidrošanas rezultātā veiktajām korekcijām un 135 milj. EUR no pārkāpumiem),</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no 2018. gada pārnesamie piešķirtie ieņēmumi, kas aplēsti 444 milj. EUR apmērā.</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Šos aplēstos ieņēmumus 1078 milj. EUR apmērā Komisija atvēlēja šādām shēmām:</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140 milj. EUR augļu un dārzeņu nozares ražotāju organizāciju darbības fondiem un</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938 milj. EUR pamata maksājuma shēmai.</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Nobalsoto apropriāciju un piešķirto ieņēmumu summa šīm shēmām ir šāda:</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849 milj. EUR augļu un dārzeņu nozares ražotāju organizāciju darbības fondiem un</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17 149 milj. EUR pamata maksājuma shēmai.</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Pielikumā, kurā apkopota 2019. gada budžeta provizoriskā izpilde, budžeta apropriācijās, kas pantu līmenī norādītas augļu un dārzeņu nozarei un atsaistītajiem tiešajiem maksājumiem, iepriekš minētie piešķirtie ieņēmumi nav ņemti vērā. Tās ir šiem pantiem nobalsotās apropriācijas attiecīgi 715 milj. EUR un 34 388 milj. EUR apmērā.</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Pieskaitot šiem pantiem piešķirtos ieņēmumus, 2019. gada budžetā paredzētā kopsumma augļu un dārzeņu nozarei ir 855 milj. EUR, bet atsaistītajiem tiešajiem maksājumiem 35 326 milj. EUR.</w:t>
      </w:r>
    </w:p>
    <w:p>
      <w:pPr>
        <w:pStyle w:val="Heading1"/>
        <w:rPr>
          <w:noProof/>
        </w:rPr>
      </w:pPr>
      <w:bookmarkStart w:id="11" w:name="_Toc244054015"/>
      <w:bookmarkStart w:id="12" w:name="_Toc413145209"/>
      <w:bookmarkStart w:id="13" w:name="_Toc5008861"/>
      <w:bookmarkStart w:id="14" w:name="_Toc5885143"/>
      <w:r>
        <w:rPr>
          <w:noProof/>
        </w:rPr>
        <w:t>Piezīmes par ELGF 2019. gada budžeta provizorisko izpildi</w:t>
      </w:r>
      <w:bookmarkEnd w:id="11"/>
      <w:bookmarkEnd w:id="12"/>
      <w:bookmarkEnd w:id="13"/>
      <w:bookmarkEnd w:id="14"/>
    </w:p>
    <w:p>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Šā ziņojuma pielikumā ir izklāstīta budžeta provizoriskā izpilde laikā no 2018. gada 16. oktobra līdz 2019. gada 31. janvārim. Izpildes līmenis ir salīdzināts ar izdevumu profilu, kas prognozēts agrīnās brīdināšanas sistēmā, kura izveidota saskaņā ar Regulas (ES) Nr. 1306/2013 28. pantu.</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16" w:name="_Toc5008862"/>
      <w:bookmarkStart w:id="17" w:name="_Toc5885144"/>
      <w:r>
        <w:rPr>
          <w:noProof/>
        </w:rPr>
        <w:t>Tirgus pasākumi</w:t>
      </w:r>
      <w:bookmarkEnd w:id="15"/>
      <w:bookmarkEnd w:id="16"/>
      <w:bookmarkEnd w:id="17"/>
    </w:p>
    <w:p>
      <w:pPr>
        <w:pStyle w:val="Text1"/>
        <w:rPr>
          <w:noProof/>
        </w:rPr>
      </w:pPr>
      <w:r>
        <w:rPr>
          <w:noProof/>
        </w:rPr>
        <w:t>Intervences pasākumiem lauksaimniecības tirgos paredzēto apropriāciju izlietojums bijis par 152 milj. EUR mazāks, nekā gaidīts. Tas galvenokārt izskaidrojams ar to, ka lauksaimniecības produktu veicināšanai paredzētā budžeta panta apropriāciju izlietojums ir mazāks (sk. 3.1.1. punktu).</w:t>
      </w:r>
    </w:p>
    <w:p>
      <w:pPr>
        <w:pStyle w:val="Heading3"/>
        <w:rPr>
          <w:noProof/>
        </w:rPr>
      </w:pPr>
      <w:bookmarkStart w:id="18" w:name="_Toc525722902"/>
      <w:bookmarkStart w:id="19" w:name="_Toc525734906"/>
      <w:bookmarkStart w:id="20" w:name="_Toc525736637"/>
      <w:bookmarkStart w:id="21" w:name="_Toc526175165"/>
      <w:bookmarkStart w:id="22" w:name="_Toc5008863"/>
      <w:bookmarkStart w:id="23" w:name="_Toc5885145"/>
      <w:bookmarkEnd w:id="18"/>
      <w:bookmarkEnd w:id="19"/>
      <w:bookmarkEnd w:id="20"/>
      <w:bookmarkEnd w:id="21"/>
      <w:r>
        <w:rPr>
          <w:noProof/>
        </w:rPr>
        <w:t>Veicināšana</w:t>
      </w:r>
      <w:bookmarkEnd w:id="22"/>
      <w:bookmarkEnd w:id="23"/>
    </w:p>
    <w:p>
      <w:pPr>
        <w:pStyle w:val="Text1"/>
        <w:rPr>
          <w:noProof/>
        </w:rPr>
      </w:pPr>
      <w:r>
        <w:rPr>
          <w:noProof/>
        </w:rPr>
        <w:t>Izdevumu profilā bija paredzēts, ka tā saukto “daudzvalstu” programmu budžeta apropriācijas tiks piesaistītas janvārī. Tomēr līdz janvāra beigām bija piesaistīta tikai daļa no kopsummas, un tas izskaidro 112 milj. EUR lielo starpību ar profilu.</w:t>
      </w:r>
    </w:p>
    <w:p>
      <w:pPr>
        <w:pStyle w:val="Heading3"/>
        <w:rPr>
          <w:noProof/>
        </w:rPr>
      </w:pPr>
      <w:bookmarkStart w:id="24" w:name="_Toc5008864"/>
      <w:bookmarkStart w:id="25" w:name="_Toc5885146"/>
      <w:r>
        <w:rPr>
          <w:noProof/>
        </w:rPr>
        <w:t>Augļi un dārzeņi</w:t>
      </w:r>
      <w:bookmarkEnd w:id="24"/>
      <w:bookmarkEnd w:id="25"/>
    </w:p>
    <w:p>
      <w:pPr>
        <w:pStyle w:val="Text1"/>
        <w:rPr>
          <w:noProof/>
        </w:rPr>
      </w:pPr>
      <w:r>
        <w:rPr>
          <w:noProof/>
        </w:rPr>
        <w:t>Izpilde šajā nozarē sekmējas raiti, un deklarētie izdevumi par 8 milj. EUR pārsniedz profilu.</w:t>
      </w:r>
    </w:p>
    <w:p>
      <w:pPr>
        <w:pStyle w:val="Heading3"/>
        <w:rPr>
          <w:noProof/>
        </w:rPr>
      </w:pPr>
      <w:bookmarkStart w:id="26" w:name="_Toc5008865"/>
      <w:bookmarkStart w:id="27" w:name="_Toc5885147"/>
      <w:r>
        <w:rPr>
          <w:noProof/>
        </w:rPr>
        <w:t>Vīnkopības nozares produkti</w:t>
      </w:r>
      <w:bookmarkEnd w:id="26"/>
      <w:bookmarkEnd w:id="27"/>
    </w:p>
    <w:p>
      <w:pPr>
        <w:pStyle w:val="Text1"/>
        <w:rPr>
          <w:noProof/>
        </w:rPr>
      </w:pPr>
      <w:r>
        <w:rPr>
          <w:noProof/>
        </w:rPr>
        <w:t>Šajā budžeta pantā līdz šim deklarētie izdevumi ir par 2 procentpunktiem jeb 23 milj. EUR mazāki par izdevumu profilu.</w:t>
      </w:r>
    </w:p>
    <w:p>
      <w:pPr>
        <w:pStyle w:val="Text1"/>
        <w:rPr>
          <w:noProof/>
        </w:rPr>
      </w:pPr>
      <w:r>
        <w:rPr>
          <w:noProof/>
        </w:rPr>
        <w:t>Nelielo novirzi uzskata par īslaicīgu, un ir paredzams, ka budžetā plānotā summa līdz gada beigām būs apgūta.</w:t>
      </w:r>
    </w:p>
    <w:p>
      <w:pPr>
        <w:pStyle w:val="Heading3"/>
        <w:rPr>
          <w:noProof/>
        </w:rPr>
      </w:pPr>
      <w:bookmarkStart w:id="28" w:name="_Toc5008866"/>
      <w:bookmarkStart w:id="29" w:name="_Toc5885148"/>
      <w:r>
        <w:rPr>
          <w:noProof/>
        </w:rPr>
        <w:t>Citi augu valsts produkti / citi pasākumi</w:t>
      </w:r>
      <w:bookmarkEnd w:id="28"/>
      <w:bookmarkEnd w:id="29"/>
    </w:p>
    <w:p>
      <w:pPr>
        <w:pStyle w:val="Text1"/>
        <w:rPr>
          <w:noProof/>
        </w:rPr>
      </w:pPr>
      <w:r>
        <w:rPr>
          <w:noProof/>
        </w:rPr>
        <w:t xml:space="preserve">Deklarēto izdevumu izpilde no profila atpaliek par 6 procentpunktiem jeb 14 milj. EUR. Maksājumi </w:t>
      </w:r>
      <w:r>
        <w:rPr>
          <w:i/>
          <w:noProof/>
        </w:rPr>
        <w:t>POSEI</w:t>
      </w:r>
      <w:r>
        <w:rPr>
          <w:noProof/>
        </w:rPr>
        <w:t xml:space="preserve"> programmām (tālākajiem reģioniem paredzētās programmas) ir mazāki, nekā gaidīts.</w:t>
      </w:r>
    </w:p>
    <w:p>
      <w:pPr>
        <w:pStyle w:val="Text1"/>
        <w:rPr>
          <w:noProof/>
        </w:rPr>
      </w:pPr>
      <w:r>
        <w:rPr>
          <w:noProof/>
        </w:rPr>
        <w:t>Arī šajā gadījumā novirzi uzskata par īslaicīgu, un ir paredzams, ka budžetā plānotā summa līdz gada beigām būs apgūta.</w:t>
      </w:r>
    </w:p>
    <w:p>
      <w:pPr>
        <w:pStyle w:val="Heading3"/>
        <w:rPr>
          <w:noProof/>
        </w:rPr>
      </w:pPr>
      <w:bookmarkStart w:id="30" w:name="_Toc5008867"/>
      <w:bookmarkStart w:id="31" w:name="_Toc5885149"/>
      <w:r>
        <w:rPr>
          <w:noProof/>
        </w:rPr>
        <w:t>Piens un piena produkti</w:t>
      </w:r>
      <w:bookmarkEnd w:id="30"/>
      <w:bookmarkEnd w:id="31"/>
      <w:r>
        <w:rPr>
          <w:noProof/>
        </w:rPr>
        <w:t xml:space="preserve"> </w:t>
      </w:r>
    </w:p>
    <w:p>
      <w:pPr>
        <w:pStyle w:val="Text1"/>
        <w:rPr>
          <w:noProof/>
        </w:rPr>
      </w:pPr>
      <w:r>
        <w:rPr>
          <w:noProof/>
        </w:rPr>
        <w:t>Novirze no izdevumu profila ir izskaidrojama ar dalībvalstu deklarēto peļņu, kas gūta no vājpiena pulvera pārdošanas (salīdzinājumā ar uzskaites vērtību).</w:t>
      </w:r>
    </w:p>
    <w:p>
      <w:pPr>
        <w:pStyle w:val="Text1"/>
        <w:rPr>
          <w:noProof/>
        </w:rPr>
      </w:pPr>
    </w:p>
    <w:p>
      <w:pPr>
        <w:pStyle w:val="Heading2"/>
        <w:rPr>
          <w:noProof/>
        </w:rPr>
      </w:pPr>
      <w:bookmarkStart w:id="32" w:name="_Toc5008868"/>
      <w:bookmarkStart w:id="33" w:name="_Toc5885150"/>
      <w:bookmarkStart w:id="34" w:name="_Toc244054022"/>
      <w:r>
        <w:rPr>
          <w:noProof/>
        </w:rPr>
        <w:t>Tiešie maksājumi</w:t>
      </w:r>
      <w:bookmarkEnd w:id="32"/>
      <w:bookmarkEnd w:id="33"/>
      <w:r>
        <w:rPr>
          <w:noProof/>
        </w:rPr>
        <w:t xml:space="preserve"> </w:t>
      </w:r>
      <w:bookmarkEnd w:id="34"/>
    </w:p>
    <w:p>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Tiešajiem maksājumiem paredzēto apropriāciju apguve ir pārsniegusi izdevumu profilu par EUR 1347 milj. jeb 3,4 procentpunktiem.</w:t>
      </w:r>
    </w:p>
    <w:p>
      <w:pPr>
        <w:pStyle w:val="Heading3"/>
        <w:rPr>
          <w:noProof/>
        </w:rPr>
      </w:pPr>
      <w:bookmarkStart w:id="36" w:name="_Toc5008869"/>
      <w:bookmarkStart w:id="37" w:name="_Toc5885151"/>
      <w:r>
        <w:rPr>
          <w:noProof/>
        </w:rPr>
        <w:t>Atsaistītie tiešie maksājumi</w:t>
      </w:r>
      <w:bookmarkEnd w:id="36"/>
      <w:bookmarkEnd w:id="37"/>
    </w:p>
    <w:p>
      <w:pPr>
        <w:pStyle w:val="Text1"/>
        <w:rPr>
          <w:noProof/>
        </w:rPr>
      </w:pPr>
      <w:r>
        <w:rPr>
          <w:noProof/>
        </w:rPr>
        <w:t>Deklarētie izdevumi par 1359 milj. EUR jeb 4 procentpunktiem pārsniedz profilu. Maksājums lauksaimniekiem apgabalos, kuros ir dabas radīti ierobežojumi, atbilst profilam, bet pārējo piecu shēmu izdevumi izdevumu profilu pārsniedz. Agrīnā pārsnieguma lielāko daļu attiecīgi 977 milj. EUR un 278 milj. EUR apmērā ir radījusi pamata maksājuma shēma un maksājums par klimatam un videi labvēlīgu lauksaimniecības praksi.</w:t>
      </w:r>
    </w:p>
    <w:p>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5008870"/>
      <w:bookmarkStart w:id="48" w:name="_Toc5885152"/>
      <w:bookmarkEnd w:id="38"/>
      <w:bookmarkEnd w:id="39"/>
      <w:bookmarkEnd w:id="40"/>
      <w:bookmarkEnd w:id="41"/>
      <w:bookmarkEnd w:id="42"/>
      <w:bookmarkEnd w:id="43"/>
      <w:bookmarkEnd w:id="44"/>
      <w:bookmarkEnd w:id="45"/>
      <w:bookmarkEnd w:id="46"/>
      <w:r>
        <w:rPr>
          <w:noProof/>
        </w:rPr>
        <w:t>Citi tiešie maksājumi</w:t>
      </w:r>
      <w:bookmarkEnd w:id="47"/>
      <w:bookmarkEnd w:id="48"/>
    </w:p>
    <w:p>
      <w:pPr>
        <w:spacing w:before="120" w:after="120" w:line="240" w:lineRule="auto"/>
        <w:ind w:left="850"/>
        <w:jc w:val="both"/>
        <w:rPr>
          <w:rFonts w:ascii="Times New Roman" w:eastAsia="Times New Roman" w:hAnsi="Times New Roman"/>
          <w:noProof/>
          <w:sz w:val="24"/>
          <w:szCs w:val="24"/>
        </w:rPr>
      </w:pPr>
      <w:bookmarkStart w:id="49" w:name="_Toc244054027"/>
      <w:bookmarkEnd w:id="35"/>
      <w:r>
        <w:rPr>
          <w:rFonts w:ascii="Times New Roman" w:hAnsi="Times New Roman"/>
          <w:noProof/>
          <w:sz w:val="24"/>
        </w:rPr>
        <w:t>Šajā budžeta pantā deklarētie izdevumi atbilst profilam.</w:t>
      </w:r>
    </w:p>
    <w:p>
      <w:pPr>
        <w:pStyle w:val="Heading1"/>
        <w:rPr>
          <w:noProof/>
        </w:rPr>
      </w:pPr>
      <w:bookmarkStart w:id="50" w:name="_Toc413145210"/>
      <w:bookmarkStart w:id="51" w:name="_Toc5008871"/>
      <w:bookmarkStart w:id="52" w:name="_Toc5885153"/>
      <w:r>
        <w:rPr>
          <w:noProof/>
        </w:rPr>
        <w:t>ELGF piešķirto ieņēmumu izpilde</w:t>
      </w:r>
      <w:bookmarkEnd w:id="49"/>
      <w:bookmarkEnd w:id="50"/>
      <w:bookmarkEnd w:id="51"/>
      <w:bookmarkEnd w:id="52"/>
    </w:p>
    <w:p>
      <w:pPr>
        <w:spacing w:before="90" w:after="120" w:line="240" w:lineRule="auto"/>
        <w:ind w:left="851"/>
        <w:jc w:val="both"/>
        <w:rPr>
          <w:rFonts w:ascii="Times New Roman" w:eastAsia="Times New Roman" w:hAnsi="Times New Roman"/>
          <w:noProof/>
          <w:sz w:val="24"/>
          <w:szCs w:val="24"/>
        </w:rPr>
      </w:pPr>
      <w:bookmarkStart w:id="53" w:name="_Toc244054028"/>
      <w:r>
        <w:rPr>
          <w:rFonts w:ascii="Times New Roman" w:hAnsi="Times New Roman"/>
          <w:noProof/>
          <w:sz w:val="24"/>
        </w:rPr>
        <w:t>Pielikuma tabulā redzams, ka līdz 2019. gada janvāra beigām ir tikuši iekasēti piešķirtie ieņēmumi 195 milj. EUR apmērā. Konkrēti:</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ieņēmumi no korekcijām, kas veiktas, pamatojoties uz grāmatojumu noskaidrošanas un atbilstības noskaidrošanas lēmumiem, bija 146 milj. EUR, un ir paredzams, ka līdz budžeta gada beigām tiks iekasētas papildu summas,</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ieņēmumi no pārkāpumiem bija 48 milj. EUR, arī šeit paredzams, ka līdz budžeta gada beigām tiks iekasētas papildu summas, un</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daži atlikušie ieņēmumi no piena nodevas bija 0,8 milj. EUR.</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Visbeidzot, piešķirto ieņēmumu summa, kas no 2018. gada pārnesta uz 2019. gadu, ir 449 milj. EUR, kas ir par 4,8 milj. EUR vairāk, nekā paredzēts 2019. gada budžeta pieņemšanas laikā.</w:t>
      </w:r>
    </w:p>
    <w:p>
      <w:pPr>
        <w:pStyle w:val="Text1"/>
        <w:rPr>
          <w:noProof/>
        </w:rPr>
      </w:pPr>
      <w:r>
        <w:rPr>
          <w:noProof/>
        </w:rPr>
        <w:t>Tāpēc kopējā piešķirto ieņēmumu summa, kas 2019. gada 31. janvārī pieejama ELGF izdevumu finansēšanai, bija 644 milj. EUR, un paredzams, ka attiecīgā budžeta gada laikā tiks iekasētas papildu summas.</w:t>
      </w:r>
    </w:p>
    <w:p>
      <w:pPr>
        <w:pStyle w:val="Heading1"/>
        <w:rPr>
          <w:noProof/>
        </w:rPr>
      </w:pPr>
      <w:bookmarkStart w:id="54" w:name="_Toc244054030"/>
      <w:bookmarkStart w:id="55" w:name="_Toc413145211"/>
      <w:bookmarkStart w:id="56" w:name="_Toc5008872"/>
      <w:bookmarkStart w:id="57" w:name="_Toc5885154"/>
      <w:bookmarkEnd w:id="53"/>
      <w:r>
        <w:rPr>
          <w:noProof/>
        </w:rPr>
        <w:t>Secinājumi</w:t>
      </w:r>
      <w:bookmarkEnd w:id="54"/>
      <w:bookmarkEnd w:id="55"/>
      <w:bookmarkEnd w:id="56"/>
      <w:bookmarkEnd w:id="57"/>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ELGF 2019. gada budžeta apropriāciju provizoriskais izlietojums laikā līdz 2019. gada 31. janvārim liecina, ka ikmēneša atlīdzinājumi dalībvalstīm ir par aptuveni 1183 milj. EUR lielāki nekā aprēķinātais izlietojuma profils.</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Jau ir pieejami piešķirtie ieņēmumi 644 milj. EUR apmērā, un paredzams, ka budžeta gada laikā tiks iekasētas papildu summas.</w:t>
      </w:r>
    </w:p>
    <w:p>
      <w:pPr>
        <w:spacing w:before="120" w:after="120" w:line="240" w:lineRule="auto"/>
        <w:ind w:left="850"/>
        <w:jc w:val="both"/>
        <w:rPr>
          <w:noProof/>
        </w:rPr>
      </w:pPr>
      <w:r>
        <w:rPr>
          <w:rFonts w:ascii="Times New Roman" w:hAnsi="Times New Roman"/>
          <w:noProof/>
          <w:sz w:val="24"/>
        </w:rPr>
        <w:t>Patlaban Komisija prognozē, ka nobalsotās apropriācijas un piešķirtie ieņēmumi, kas būs pieejami līdz budžeta gada beigām, būs pietiekami, lai segtu visus izdevumus.</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Eiropas Parlamenta un Padomes Regula (ES, Euratom) 2018/1046 par finanšu noteikumiem, ko piemēro Savienības vispārējam budžetam, proti, tās 12. panta 4. punkta b) apakšpunkts, nosaka, ka apropriācijas, kas atbilst iekšējiem piešķirtajiem ieņēmumiem, drīkst pārnest vienīgi uz nākamo finanšu gadu.</w:t>
      </w:r>
      <w:r>
        <w:t xml:space="preserve"> </w:t>
      </w:r>
      <w:r>
        <w:rPr>
          <w:rFonts w:ascii="Times New Roman" w:hAnsi="Times New Roman"/>
        </w:rPr>
        <w:t>Tāpēc pareizas budžeta pārvaldības labad šie piešķirtie ieņēmumi parasti tiek izmantoti pirms attiecīgajam budžeta pantam nobalsotajām apropriācijām.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E7ED692-733A-4B2B-A7F1-6D2F97116AA9"/>
    <w:docVar w:name="LW_COVERPAGE_TYPE" w:val="1"/>
    <w:docVar w:name="LW_CROSSREFERENCE" w:val="&lt;UNUSED&gt;"/>
    <w:docVar w:name="LW_DocType" w:val="NORMAL"/>
    <w:docVar w:name="LW_EMISSION" w:val="25.4.2019"/>
    <w:docVar w:name="LW_EMISSION_ISODATE" w:val="2019-04-25"/>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par ELGF izdevumiem_x000d__x000d__x000d__x000d__x000d__x000d__x000d__x000d__x000d__x000d__x000d__x000d__x000b__x000d__x000d__x000d__x000d__x000d__x000d__x000d__x000d__x000d__x000d__x000d__x000d__x000b_Agr\u299?n\u257?s br\u299?din\u257?\u353?anas sist\u275?ma, Nr. 1-3/2019"/>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lv-LV"/>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lv-LV"/>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lv-LV"/>
    </w:rPr>
  </w:style>
  <w:style w:type="character" w:customStyle="1" w:styleId="Heading2Char">
    <w:name w:val="Heading 2 Char"/>
    <w:link w:val="Heading2"/>
    <w:rPr>
      <w:rFonts w:ascii="Times New Roman" w:eastAsia="Times New Roman" w:hAnsi="Times New Roman"/>
      <w:b/>
      <w:bCs/>
      <w:iCs/>
      <w:sz w:val="24"/>
      <w:szCs w:val="28"/>
      <w:lang w:eastAsia="lv-LV"/>
    </w:rPr>
  </w:style>
  <w:style w:type="character" w:customStyle="1" w:styleId="Heading3Char">
    <w:name w:val="Heading 3 Char"/>
    <w:link w:val="Heading3"/>
    <w:rPr>
      <w:rFonts w:ascii="Times New Roman" w:eastAsia="Times New Roman" w:hAnsi="Times New Roman"/>
      <w:bCs/>
      <w:i/>
      <w:sz w:val="24"/>
      <w:szCs w:val="26"/>
      <w:lang w:eastAsia="lv-LV"/>
    </w:rPr>
  </w:style>
  <w:style w:type="character" w:customStyle="1" w:styleId="Heading4Char">
    <w:name w:val="Heading 4 Char"/>
    <w:link w:val="Heading4"/>
    <w:semiHidden/>
    <w:rPr>
      <w:rFonts w:ascii="Times New Roman" w:eastAsia="Times New Roman" w:hAnsi="Times New Roman"/>
      <w:bCs/>
      <w:sz w:val="24"/>
      <w:szCs w:val="28"/>
      <w:lang w:eastAsia="lv-LV"/>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lv-LV"/>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lv-LV"/>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lv-LV"/>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lv-LV"/>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lv-LV"/>
    </w:rPr>
  </w:style>
  <w:style w:type="character" w:customStyle="1" w:styleId="Heading2Char">
    <w:name w:val="Heading 2 Char"/>
    <w:link w:val="Heading2"/>
    <w:rPr>
      <w:rFonts w:ascii="Times New Roman" w:eastAsia="Times New Roman" w:hAnsi="Times New Roman"/>
      <w:b/>
      <w:bCs/>
      <w:iCs/>
      <w:sz w:val="24"/>
      <w:szCs w:val="28"/>
      <w:lang w:eastAsia="lv-LV"/>
    </w:rPr>
  </w:style>
  <w:style w:type="character" w:customStyle="1" w:styleId="Heading3Char">
    <w:name w:val="Heading 3 Char"/>
    <w:link w:val="Heading3"/>
    <w:rPr>
      <w:rFonts w:ascii="Times New Roman" w:eastAsia="Times New Roman" w:hAnsi="Times New Roman"/>
      <w:bCs/>
      <w:i/>
      <w:sz w:val="24"/>
      <w:szCs w:val="26"/>
      <w:lang w:eastAsia="lv-LV"/>
    </w:rPr>
  </w:style>
  <w:style w:type="character" w:customStyle="1" w:styleId="Heading4Char">
    <w:name w:val="Heading 4 Char"/>
    <w:link w:val="Heading4"/>
    <w:semiHidden/>
    <w:rPr>
      <w:rFonts w:ascii="Times New Roman" w:eastAsia="Times New Roman" w:hAnsi="Times New Roman"/>
      <w:bCs/>
      <w:sz w:val="24"/>
      <w:szCs w:val="28"/>
      <w:lang w:eastAsia="lv-LV"/>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lv-LV"/>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lv-LV"/>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B845-B512-45DA-A699-D53611D9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1170</Words>
  <Characters>7292</Characters>
  <Application>Microsoft Office Word</Application>
  <DocSecurity>0</DocSecurity>
  <Lines>169</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2019-03-08T13:41:00Z</cp:lastPrinted>
  <dcterms:created xsi:type="dcterms:W3CDTF">2019-04-01T09:02:00Z</dcterms:created>
  <dcterms:modified xsi:type="dcterms:W3CDTF">2019-04-25T09:36:00Z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