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6A3D4E3-B716-4276-B138-E6DCA47CF6A8" style="width:450.45pt;height:425.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PRIEDAS</w:t>
      </w:r>
    </w:p>
    <w:p>
      <w:pPr>
        <w:jc w:val="center"/>
        <w:rPr>
          <w:b/>
          <w:noProof/>
          <w:u w:val="single"/>
        </w:rPr>
      </w:pPr>
    </w:p>
    <w:p>
      <w:pPr>
        <w:jc w:val="center"/>
        <w:rPr>
          <w:b/>
          <w:noProof/>
        </w:rPr>
      </w:pPr>
      <w:r>
        <w:rPr>
          <w:b/>
          <w:noProof/>
        </w:rPr>
        <w:t>Projektas</w:t>
      </w:r>
    </w:p>
    <w:p>
      <w:pPr>
        <w:jc w:val="center"/>
        <w:rPr>
          <w:b/>
          <w:noProof/>
        </w:rPr>
      </w:pPr>
      <w:r>
        <w:rPr>
          <w:b/>
          <w:noProof/>
        </w:rPr>
        <w:t>ES IR SAN MARINO BENDRADARBIAVIMO KOMITETO SPRENDIMAS Nr. …/2018</w:t>
      </w:r>
    </w:p>
    <w:p>
      <w:pPr>
        <w:jc w:val="center"/>
        <w:rPr>
          <w:b/>
          <w:noProof/>
        </w:rPr>
      </w:pPr>
      <w:r>
        <w:rPr>
          <w:b/>
          <w:noProof/>
        </w:rPr>
        <w:t>2018 m. ... ... d.</w:t>
      </w:r>
    </w:p>
    <w:p>
      <w:pPr>
        <w:jc w:val="center"/>
        <w:rPr>
          <w:b/>
          <w:noProof/>
        </w:rPr>
      </w:pPr>
      <w:r>
        <w:rPr>
          <w:b/>
          <w:noProof/>
        </w:rPr>
        <w:t xml:space="preserve">dėl taikytinų ekologinės gamybos, ekologiškų produktų ženklinimo ir ekologiškų produktų importo tvarkos nuostatų, priimtų Europos ekonominės bendrijos ir San Marino Respublikos susitarimu dėl bendradarbiavimo ir muitų sąjungos </w:t>
      </w:r>
    </w:p>
    <w:p>
      <w:pPr>
        <w:keepNext/>
        <w:spacing w:before="600"/>
        <w:rPr>
          <w:noProof/>
        </w:rPr>
      </w:pPr>
      <w:r>
        <w:rPr>
          <w:noProof/>
        </w:rPr>
        <w:t>ES IR SAN MARINO BENDRADARBIAVIMO KOMITETAS,</w:t>
      </w:r>
    </w:p>
    <w:p>
      <w:pPr>
        <w:rPr>
          <w:noProof/>
        </w:rPr>
      </w:pPr>
      <w:r>
        <w:rPr>
          <w:noProof/>
        </w:rPr>
        <w:t>atsižvelgdamas į Europos ekonominės bendrijos ir San Marino Respublikos susitarimą dėl bendradarbiavimo ir muitų sąjungos</w:t>
      </w:r>
      <w:r>
        <w:rPr>
          <w:rStyle w:val="FootnoteReference"/>
          <w:noProof/>
        </w:rPr>
        <w:footnoteReference w:id="1"/>
      </w:r>
      <w:r>
        <w:rPr>
          <w:noProof/>
        </w:rPr>
        <w:t>, ypač į jo 7 straipsnio 2 dalį, 8 straipsnio 3 dalies c punktą ir 23 straipsnio 1 dalį,</w:t>
      </w:r>
    </w:p>
    <w:p>
      <w:pPr>
        <w:rPr>
          <w:noProof/>
        </w:rPr>
      </w:pPr>
      <w:r>
        <w:rPr>
          <w:noProof/>
        </w:rPr>
        <w:t>kadangi:</w:t>
      </w:r>
    </w:p>
    <w:p>
      <w:pPr>
        <w:ind w:left="709" w:hanging="709"/>
        <w:rPr>
          <w:noProof/>
        </w:rPr>
      </w:pPr>
      <w:r>
        <w:rPr>
          <w:noProof/>
        </w:rPr>
        <w:t>(1)</w:t>
      </w:r>
      <w:r>
        <w:rPr>
          <w:noProof/>
        </w:rPr>
        <w:tab/>
        <w:t xml:space="preserve">Europos ekonominės bendrijos ir San Marino Respublikos susitarimo dėl bendradarbiavimo ir muitų sąjungos (toliau – Susitarimas) 6 straipsnio 4 dalyje nustatyta, kad vykdant Sąjungos ir San Marino Respublikos prekybą žemės ūkio produktais, San Marino Respublika įsipareigoja priimti Sąjungos teisės aktus dėl kokybės, kai tai yra būtina tinkamam Susitarimo veikimui užtikrinti; </w:t>
      </w:r>
    </w:p>
    <w:p>
      <w:pPr>
        <w:ind w:left="709" w:hanging="709"/>
        <w:rPr>
          <w:noProof/>
        </w:rPr>
      </w:pPr>
      <w:r>
        <w:rPr>
          <w:noProof/>
        </w:rPr>
        <w:t>(2)</w:t>
      </w:r>
      <w:r>
        <w:rPr>
          <w:noProof/>
        </w:rPr>
        <w:tab/>
        <w:t>pagal Susitarimo 7 straipsnio 1 dalies penktą įtrauką San Marino Respublika šalims, kurios nėra Sąjungos narės (toliau – trečiosios šalys), turi taikyti Sąjungos teisės aktus dėl kokybės, kai tai yra būtina tinkamam Susitarimo veikimui užtikrinti;</w:t>
      </w:r>
    </w:p>
    <w:p>
      <w:pPr>
        <w:ind w:left="709" w:hanging="709"/>
        <w:rPr>
          <w:noProof/>
        </w:rPr>
      </w:pPr>
      <w:r>
        <w:rPr>
          <w:noProof/>
        </w:rPr>
        <w:t>(3)</w:t>
      </w:r>
      <w:r>
        <w:rPr>
          <w:noProof/>
        </w:rPr>
        <w:tab/>
        <w:t xml:space="preserve">siekiant išvengti kliūčių laisvam prekių judėjimui ir užtikrinti tinkamą Susitarimu sukurtos muitų sąjungos veikimą, tikslinga išsamiau apibrėžti ekologinei gamybai, ekologiškų produktų ženklinimui ir ekologiškų produktų importo tvarkai taikytinas Sąjungos teisės aktų dėl kokybės nuostatas; </w:t>
      </w:r>
    </w:p>
    <w:p>
      <w:pPr>
        <w:ind w:left="709" w:hanging="709"/>
        <w:rPr>
          <w:noProof/>
        </w:rPr>
      </w:pPr>
      <w:r>
        <w:rPr>
          <w:noProof/>
        </w:rPr>
        <w:t>(4)</w:t>
      </w:r>
      <w:r>
        <w:rPr>
          <w:noProof/>
        </w:rPr>
        <w:tab/>
        <w:t xml:space="preserve">siekiant užtikrinti atitiktį Sąjungos teisės aktams dėl ekologiškų produktų importo iš trečiųjų šalių į San Marino Respubliką, būtina nustatyti atitinkamą tvarką, kurią turi taikyti jos nacionalinės valdžios institucijos;   </w:t>
      </w:r>
    </w:p>
    <w:p>
      <w:pPr>
        <w:ind w:left="709" w:hanging="709"/>
        <w:rPr>
          <w:noProof/>
        </w:rPr>
      </w:pPr>
      <w:r>
        <w:rPr>
          <w:noProof/>
        </w:rPr>
        <w:t xml:space="preserve">(5) </w:t>
      </w:r>
      <w:r>
        <w:rPr>
          <w:noProof/>
        </w:rPr>
        <w:tab/>
        <w:t xml:space="preserve">taip pat turėtų būti nustatyta atitinkama tvarka siekiant užtikrinti atitiktį Sąjungos teisės aktams dėl San Marino Respublikoje paruoštų arba pagamintų ekologiškų produktų; </w:t>
      </w:r>
    </w:p>
    <w:p>
      <w:pPr>
        <w:ind w:left="709" w:hanging="709"/>
        <w:rPr>
          <w:noProof/>
        </w:rPr>
      </w:pPr>
      <w:r>
        <w:rPr>
          <w:noProof/>
        </w:rPr>
        <w:t>(6)</w:t>
      </w:r>
      <w:r>
        <w:rPr>
          <w:noProof/>
        </w:rPr>
        <w:tab/>
        <w:t>be to, tikslinga nustatyti procedūrą, kurios turi būti laikomasi, kai priimami nauji Sąjungos teisės aktai dėl ekologinės gamybos ir ekologiškų produktų ženklinimo, kurie daro poveikį nuorodoms į šiame sprendime nustatytas nuostatas ir tvarką,</w:t>
      </w:r>
    </w:p>
    <w:p>
      <w:pPr>
        <w:ind w:left="709" w:hanging="709"/>
        <w:rPr>
          <w:noProof/>
        </w:rPr>
      </w:pPr>
      <w:r>
        <w:rPr>
          <w:noProof/>
        </w:rPr>
        <w:tab/>
        <w:t>PRIĖMĖ ŠĮ SPRENDIMĄ:</w:t>
      </w:r>
    </w:p>
    <w:p>
      <w:pPr>
        <w:keepNext/>
        <w:spacing w:before="360"/>
        <w:jc w:val="center"/>
        <w:rPr>
          <w:i/>
          <w:noProof/>
        </w:rPr>
      </w:pPr>
      <w:r>
        <w:rPr>
          <w:i/>
          <w:noProof/>
        </w:rPr>
        <w:lastRenderedPageBreak/>
        <w:t>1 straipsnis</w:t>
      </w:r>
    </w:p>
    <w:p>
      <w:pPr>
        <w:keepNext/>
        <w:spacing w:before="360"/>
        <w:rPr>
          <w:noProof/>
        </w:rPr>
      </w:pPr>
      <w:r>
        <w:rPr>
          <w:noProof/>
        </w:rPr>
        <w:t>Ekologinei gamybai ir ekologiškų produktų ženklinimui taikytinos Sąjungos teisės aktų nuostatos yra išvardytos A priede.</w:t>
      </w:r>
    </w:p>
    <w:p>
      <w:pPr>
        <w:keepNext/>
        <w:spacing w:before="360"/>
        <w:ind w:left="720" w:hanging="720"/>
        <w:jc w:val="center"/>
        <w:rPr>
          <w:i/>
          <w:noProof/>
        </w:rPr>
      </w:pPr>
      <w:r>
        <w:rPr>
          <w:i/>
          <w:noProof/>
        </w:rPr>
        <w:t>2 straipsnis</w:t>
      </w:r>
    </w:p>
    <w:p>
      <w:pPr>
        <w:spacing w:before="150" w:after="150"/>
        <w:ind w:right="527"/>
        <w:rPr>
          <w:noProof/>
        </w:rPr>
      </w:pPr>
      <w:r>
        <w:rPr>
          <w:noProof/>
          <w:color w:val="000000"/>
        </w:rPr>
        <w:t>1 straipsnyje nurodytai atitikčiai Sąjungos teisės aktams užtikrinti būtina tvarka, susijusi su ekologiškų produktų importu iš trečiųjų šalių į San Marino Respubliką, yra išdėstyta B priede.</w:t>
      </w:r>
    </w:p>
    <w:p>
      <w:pPr>
        <w:spacing w:before="150" w:after="150"/>
        <w:ind w:left="225" w:right="525"/>
        <w:jc w:val="center"/>
        <w:rPr>
          <w:rFonts w:eastAsia="Times New Roman"/>
          <w:i/>
          <w:noProof/>
          <w:color w:val="000000"/>
          <w:szCs w:val="24"/>
        </w:rPr>
      </w:pPr>
      <w:r>
        <w:rPr>
          <w:i/>
          <w:noProof/>
          <w:color w:val="000000"/>
        </w:rPr>
        <w:t>3 straipsnis</w:t>
      </w:r>
    </w:p>
    <w:p>
      <w:pPr>
        <w:spacing w:before="150" w:after="150"/>
        <w:ind w:right="525"/>
        <w:rPr>
          <w:rFonts w:eastAsia="Times New Roman"/>
          <w:noProof/>
          <w:color w:val="000000"/>
          <w:szCs w:val="24"/>
        </w:rPr>
      </w:pPr>
      <w:r>
        <w:rPr>
          <w:noProof/>
        </w:rPr>
        <w:t xml:space="preserve">1 straipsnyje nurodytai atitikčiai Sąjungos teisės aktams užtikrinti būtina tvarka, susijusi su San Marino Respublikoje paruoštais ar pagamintais ekologiškais produktais, yra išdėstyta C priede. </w:t>
      </w:r>
    </w:p>
    <w:p>
      <w:pPr>
        <w:spacing w:before="150" w:after="150"/>
        <w:ind w:left="225" w:right="525"/>
        <w:jc w:val="center"/>
        <w:rPr>
          <w:rFonts w:eastAsia="Times New Roman"/>
          <w:i/>
          <w:noProof/>
          <w:color w:val="000000"/>
          <w:szCs w:val="24"/>
        </w:rPr>
      </w:pPr>
      <w:r>
        <w:rPr>
          <w:i/>
          <w:noProof/>
          <w:color w:val="000000"/>
        </w:rPr>
        <w:t>4 straipsnis</w:t>
      </w:r>
    </w:p>
    <w:p>
      <w:pPr>
        <w:spacing w:before="150" w:after="150"/>
        <w:ind w:right="525"/>
        <w:rPr>
          <w:noProof/>
        </w:rPr>
      </w:pPr>
      <w:r>
        <w:rPr>
          <w:noProof/>
        </w:rPr>
        <w:t xml:space="preserve">Dėl A, B ir C priedų pakeitimų ir kitų praktinių susitarimų, būtinų tuose prieduose nurodytiems teisės aktams taikyti, susitaria Europos Komisijos tarnybos ir San Marino Respublikos valdžios institucijos.   </w:t>
      </w:r>
    </w:p>
    <w:p>
      <w:pPr>
        <w:keepNext/>
        <w:spacing w:before="360"/>
        <w:jc w:val="center"/>
        <w:rPr>
          <w:i/>
          <w:noProof/>
        </w:rPr>
      </w:pPr>
      <w:r>
        <w:rPr>
          <w:i/>
          <w:noProof/>
        </w:rPr>
        <w:t>5 straipsnis</w:t>
      </w:r>
    </w:p>
    <w:p>
      <w:pPr>
        <w:rPr>
          <w:noProof/>
          <w:vertAlign w:val="superscript"/>
        </w:rPr>
      </w:pPr>
      <w:r>
        <w:rPr>
          <w:noProof/>
        </w:rPr>
        <w:t xml:space="preserve">Šis sprendimas įsigalioja jo priėmimo dieną. </w:t>
      </w:r>
    </w:p>
    <w:p>
      <w:pPr>
        <w:keepNext/>
        <w:spacing w:after="0"/>
        <w:rPr>
          <w:noProof/>
        </w:rPr>
      </w:pPr>
      <w:r>
        <w:rPr>
          <w:noProof/>
        </w:rPr>
        <w:t>Priimta Briuselyje, 2018 m. YYYY XX.</w:t>
      </w:r>
    </w:p>
    <w:p>
      <w:pPr>
        <w:keepNext/>
        <w:tabs>
          <w:tab w:val="left" w:pos="4252"/>
        </w:tabs>
        <w:spacing w:before="720" w:after="0"/>
        <w:rPr>
          <w:i/>
          <w:noProof/>
        </w:rPr>
      </w:pPr>
      <w:r>
        <w:rPr>
          <w:noProof/>
        </w:rPr>
        <w:tab/>
      </w:r>
      <w:r>
        <w:rPr>
          <w:i/>
          <w:noProof/>
        </w:rPr>
        <w:t>Bendradarbiavimo komiteto vardu</w:t>
      </w:r>
    </w:p>
    <w:p>
      <w:pPr>
        <w:tabs>
          <w:tab w:val="left" w:pos="4252"/>
        </w:tabs>
        <w:spacing w:before="0" w:after="0"/>
        <w:ind w:left="2880"/>
        <w:jc w:val="left"/>
        <w:rPr>
          <w:i/>
          <w:noProof/>
        </w:rPr>
      </w:pPr>
      <w:r>
        <w:rPr>
          <w:noProof/>
        </w:rPr>
        <w:tab/>
      </w:r>
      <w:r>
        <w:rPr>
          <w:i/>
          <w:noProof/>
        </w:rPr>
        <w:t xml:space="preserve">Pirmininkas </w:t>
      </w:r>
      <w:r>
        <w:rPr>
          <w:i/>
          <w:noProof/>
        </w:rPr>
        <w:br/>
      </w:r>
    </w:p>
    <w:p>
      <w:pPr>
        <w:tabs>
          <w:tab w:val="left" w:pos="4252"/>
        </w:tabs>
        <w:spacing w:before="0" w:after="0"/>
        <w:jc w:val="left"/>
        <w:rPr>
          <w:i/>
          <w:noProof/>
        </w:rPr>
      </w:pPr>
      <w:r>
        <w:rPr>
          <w:i/>
          <w:noProof/>
        </w:rPr>
        <w:br/>
      </w:r>
    </w:p>
    <w:p>
      <w:pPr>
        <w:spacing w:before="0" w:after="200" w:line="276" w:lineRule="auto"/>
        <w:jc w:val="left"/>
        <w:rPr>
          <w:i/>
          <w:noProof/>
        </w:rPr>
      </w:pPr>
      <w:r>
        <w:rPr>
          <w:noProof/>
        </w:rPr>
        <w:br w:type="page"/>
      </w:r>
    </w:p>
    <w:p>
      <w:pPr>
        <w:jc w:val="center"/>
        <w:rPr>
          <w:b/>
          <w:noProof/>
        </w:rPr>
      </w:pPr>
      <w:r>
        <w:rPr>
          <w:b/>
          <w:noProof/>
        </w:rPr>
        <w:lastRenderedPageBreak/>
        <w:t>A PRIEDAS</w:t>
      </w:r>
    </w:p>
    <w:p>
      <w:pPr>
        <w:jc w:val="center"/>
        <w:rPr>
          <w:b/>
          <w:noProof/>
        </w:rPr>
      </w:pPr>
      <w:r>
        <w:rPr>
          <w:b/>
          <w:noProof/>
        </w:rPr>
        <w:t xml:space="preserve">TAIKYTINŲ EKOLOGINĖS GAMYBOS IR EKOLOGIŠKŲ PRODUKTŲ ŽENKLINIMO NUOSTATŲ SĄRAŠAS  </w:t>
      </w:r>
    </w:p>
    <w:p>
      <w:pPr>
        <w:autoSpaceDE w:val="0"/>
        <w:autoSpaceDN w:val="0"/>
        <w:adjustRightInd w:val="0"/>
        <w:spacing w:before="0" w:after="0"/>
        <w:rPr>
          <w:b/>
          <w:noProof/>
        </w:rPr>
      </w:pPr>
    </w:p>
    <w:p>
      <w:pPr>
        <w:rPr>
          <w:rFonts w:eastAsia="Times New Roman"/>
          <w:noProof/>
          <w:szCs w:val="24"/>
        </w:rPr>
      </w:pPr>
      <w:r>
        <w:rPr>
          <w:noProof/>
        </w:rPr>
        <w:t>2007 m. birželio 28 d. Tarybos reglamentas (EB) Nr. 834/2007 dėl ekologinės gamybos ir ekologiškų produktų ženklinimo ir panaikinantis Reglamentą (EEB) Nr. 2092/91 (OL L 189, 2007 7 20, p. 1) su pakeitimais, padarytais:</w:t>
      </w:r>
    </w:p>
    <w:p>
      <w:pPr>
        <w:ind w:left="1417" w:hanging="567"/>
        <w:rPr>
          <w:noProof/>
        </w:rPr>
      </w:pPr>
      <w:r>
        <w:rPr>
          <w:noProof/>
        </w:rPr>
        <w:t>-</w:t>
      </w:r>
      <w:r>
        <w:rPr>
          <w:noProof/>
        </w:rPr>
        <w:tab/>
        <w:t xml:space="preserve">2008 m. rugsėjo 29 d. Tarybos reglamentu (EB) Nr. 967/2008 (OL L 264, 2008 10 3, p. 1), </w:t>
      </w:r>
    </w:p>
    <w:p>
      <w:pPr>
        <w:ind w:left="1417" w:hanging="567"/>
        <w:rPr>
          <w:rFonts w:eastAsia="Times New Roman"/>
          <w:noProof/>
          <w:szCs w:val="24"/>
        </w:rPr>
      </w:pPr>
      <w:r>
        <w:rPr>
          <w:noProof/>
        </w:rPr>
        <w:t>-</w:t>
      </w:r>
      <w:r>
        <w:rPr>
          <w:noProof/>
        </w:rPr>
        <w:tab/>
        <w:t>2013 m. gegužės 13 d. Tarybos reglamentu (ES) Nr. 517/2013 (OL L 158, 2013 6 10, p. 1).</w:t>
      </w:r>
    </w:p>
    <w:p>
      <w:pPr>
        <w:rPr>
          <w:rFonts w:eastAsia="Times New Roman"/>
          <w:noProof/>
          <w:szCs w:val="24"/>
        </w:rPr>
      </w:pPr>
      <w:r>
        <w:rPr>
          <w:noProof/>
        </w:rPr>
        <w:t>2008 m. rugsėjo 5 d. Komisijos reglamentas (EB) Nr. 889/2008, kuriuo nustatomos išsamios Tarybos reglamento (EB) Nr. 834/2007 dėl ekologinės gamybos ir ekologiškų produktų ženklinimo įgyvendinimo taisyklės dėl ekologinės gamybos, ženklinimo ir kontrolės (OL L 250, 2008 9 18, p. 1) su pakeitimais, padarytais:</w:t>
      </w:r>
    </w:p>
    <w:p>
      <w:pPr>
        <w:ind w:left="1984" w:hanging="567"/>
        <w:rPr>
          <w:rFonts w:eastAsia="Times New Roman"/>
          <w:noProof/>
          <w:szCs w:val="24"/>
        </w:rPr>
      </w:pPr>
      <w:r>
        <w:rPr>
          <w:noProof/>
        </w:rPr>
        <w:t>-</w:t>
      </w:r>
      <w:r>
        <w:rPr>
          <w:noProof/>
        </w:rPr>
        <w:tab/>
        <w:t>2008 m. gruodžio 15 d. Komisijos reglamentu (EB) Nr. 1254/2008 (OL L 337, 2008 12 16, p. 80),</w:t>
      </w:r>
    </w:p>
    <w:p>
      <w:pPr>
        <w:ind w:left="1984" w:hanging="567"/>
        <w:rPr>
          <w:rFonts w:eastAsia="Times New Roman"/>
          <w:noProof/>
          <w:szCs w:val="24"/>
        </w:rPr>
      </w:pPr>
      <w:r>
        <w:rPr>
          <w:noProof/>
        </w:rPr>
        <w:t>-</w:t>
      </w:r>
      <w:r>
        <w:rPr>
          <w:noProof/>
        </w:rPr>
        <w:tab/>
        <w:t>2009 m. rugpjūčio 5 d. Komisijos reglamentu (EB) Nr. 710/2009 (OL L 204, 2009 8 6, p. 15),</w:t>
      </w:r>
    </w:p>
    <w:p>
      <w:pPr>
        <w:ind w:left="1984" w:hanging="567"/>
        <w:rPr>
          <w:rFonts w:eastAsia="Times New Roman"/>
          <w:noProof/>
          <w:szCs w:val="24"/>
        </w:rPr>
      </w:pPr>
      <w:r>
        <w:rPr>
          <w:noProof/>
        </w:rPr>
        <w:t>-</w:t>
      </w:r>
      <w:r>
        <w:rPr>
          <w:noProof/>
        </w:rPr>
        <w:tab/>
        <w:t>2010 m. kovo 24 d. Komisijos reglamentu (ES) Nr. 271/2010 (OL L 84, 2010 3 31, p. 19),</w:t>
      </w:r>
    </w:p>
    <w:p>
      <w:pPr>
        <w:ind w:left="1984" w:hanging="567"/>
        <w:rPr>
          <w:rFonts w:eastAsia="Times New Roman"/>
          <w:noProof/>
          <w:szCs w:val="24"/>
        </w:rPr>
      </w:pPr>
      <w:r>
        <w:rPr>
          <w:noProof/>
        </w:rPr>
        <w:t>-</w:t>
      </w:r>
      <w:r>
        <w:rPr>
          <w:noProof/>
        </w:rPr>
        <w:tab/>
        <w:t>2011 m. balandžio 8 d. Komisijos įgyvendinimo reglamentu (ES) Nr. 344/2011 (OL L 96, 2011 4 9, p. 10),</w:t>
      </w:r>
    </w:p>
    <w:p>
      <w:pPr>
        <w:ind w:left="1984" w:hanging="567"/>
        <w:rPr>
          <w:rFonts w:eastAsia="Times New Roman"/>
          <w:noProof/>
          <w:szCs w:val="24"/>
        </w:rPr>
      </w:pPr>
      <w:r>
        <w:rPr>
          <w:noProof/>
        </w:rPr>
        <w:t>-</w:t>
      </w:r>
      <w:r>
        <w:rPr>
          <w:noProof/>
        </w:rPr>
        <w:tab/>
        <w:t>2011 m. gegužės 2 d. Komisijos įgyvendinimo reglamentu (ES) Nr. 426/2011 (OL L 113, 2011 5 3, p. 1),</w:t>
      </w:r>
    </w:p>
    <w:p>
      <w:pPr>
        <w:ind w:left="1984" w:hanging="567"/>
        <w:rPr>
          <w:rFonts w:eastAsia="Times New Roman"/>
          <w:noProof/>
          <w:szCs w:val="24"/>
        </w:rPr>
      </w:pPr>
      <w:r>
        <w:rPr>
          <w:noProof/>
        </w:rPr>
        <w:t>-</w:t>
      </w:r>
      <w:r>
        <w:rPr>
          <w:noProof/>
        </w:rPr>
        <w:tab/>
        <w:t>2012 m. vasario 14 d. Komisijos įgyvendinimo reglamentu (ES) Nr. 126/2012 (OL L 41, 2012 2 15, p. 5),</w:t>
      </w:r>
    </w:p>
    <w:p>
      <w:pPr>
        <w:ind w:left="1984" w:hanging="566"/>
        <w:rPr>
          <w:rFonts w:eastAsia="Times New Roman"/>
          <w:noProof/>
          <w:szCs w:val="24"/>
        </w:rPr>
      </w:pPr>
      <w:r>
        <w:rPr>
          <w:noProof/>
        </w:rPr>
        <w:t xml:space="preserve">- </w:t>
      </w:r>
      <w:r>
        <w:rPr>
          <w:noProof/>
        </w:rPr>
        <w:tab/>
        <w:t>2012 m. kovo 8 d. Komisijos įgyvendinimo reglamentu (ES) Nr. 203/2012 (OL L 71, 2012 3 9, p. 42),</w:t>
      </w:r>
    </w:p>
    <w:p>
      <w:pPr>
        <w:ind w:left="1984" w:hanging="566"/>
        <w:rPr>
          <w:rFonts w:eastAsia="Times New Roman"/>
          <w:noProof/>
          <w:szCs w:val="24"/>
        </w:rPr>
      </w:pPr>
      <w:r>
        <w:rPr>
          <w:noProof/>
        </w:rPr>
        <w:t>-</w:t>
      </w:r>
      <w:r>
        <w:rPr>
          <w:noProof/>
        </w:rPr>
        <w:tab/>
        <w:t xml:space="preserve">2012 m. birželio 14 d. Komisijos įgyvendinimo reglamentu (ES) Nr. 505/2012 (OL L 154, 2012 6 15, p. 12), </w:t>
      </w:r>
    </w:p>
    <w:p>
      <w:pPr>
        <w:ind w:left="1984" w:hanging="567"/>
        <w:rPr>
          <w:rFonts w:eastAsia="Times New Roman"/>
          <w:noProof/>
          <w:szCs w:val="24"/>
        </w:rPr>
      </w:pPr>
      <w:r>
        <w:rPr>
          <w:noProof/>
        </w:rPr>
        <w:t>-</w:t>
      </w:r>
      <w:r>
        <w:rPr>
          <w:noProof/>
        </w:rPr>
        <w:tab/>
        <w:t xml:space="preserve">2013 m. balandžio 29 d. Komisijos įgyvendinimo reglamentu (ES) Nr. 392/2013 (OL L 118, 2013 4 30, p. 5), </w:t>
      </w:r>
    </w:p>
    <w:p>
      <w:pPr>
        <w:ind w:left="1984" w:hanging="567"/>
        <w:rPr>
          <w:rFonts w:eastAsia="Times New Roman"/>
          <w:noProof/>
          <w:szCs w:val="24"/>
        </w:rPr>
      </w:pPr>
      <w:r>
        <w:rPr>
          <w:noProof/>
        </w:rPr>
        <w:t>-</w:t>
      </w:r>
      <w:r>
        <w:rPr>
          <w:noProof/>
        </w:rPr>
        <w:tab/>
        <w:t>2013 m. vasario 21 d. Komisijos reglamentu (ES) Nr. 519/2013 (OL L 158, 2013 6 10, p. 74),</w:t>
      </w:r>
    </w:p>
    <w:p>
      <w:pPr>
        <w:ind w:left="1984" w:hanging="567"/>
        <w:rPr>
          <w:rFonts w:eastAsia="Times New Roman"/>
          <w:noProof/>
          <w:szCs w:val="24"/>
        </w:rPr>
      </w:pPr>
      <w:r>
        <w:rPr>
          <w:noProof/>
        </w:rPr>
        <w:t>-</w:t>
      </w:r>
      <w:r>
        <w:rPr>
          <w:noProof/>
        </w:rPr>
        <w:tab/>
        <w:t>2013 m. spalio 24 d. Komisijos įgyvendinimo reglamentu (ES) Nr. 1030/2013 (OL L 283, 2013 10 25, p. 15),</w:t>
      </w:r>
    </w:p>
    <w:p>
      <w:pPr>
        <w:ind w:left="1984" w:hanging="567"/>
        <w:rPr>
          <w:rFonts w:eastAsia="Times New Roman"/>
          <w:iCs/>
          <w:noProof/>
          <w:szCs w:val="24"/>
        </w:rPr>
      </w:pPr>
      <w:r>
        <w:rPr>
          <w:noProof/>
        </w:rPr>
        <w:t>-</w:t>
      </w:r>
      <w:r>
        <w:rPr>
          <w:noProof/>
        </w:rPr>
        <w:tab/>
        <w:t>2013 m. gruodžio 17 d. Komisijos įgyvendinimo reglamentu (ES) Nr. 1364/2013 (OL L 343, 2013 12 19, p. 29),</w:t>
      </w:r>
    </w:p>
    <w:p>
      <w:pPr>
        <w:ind w:left="1984" w:hanging="567"/>
        <w:rPr>
          <w:rFonts w:eastAsia="Times New Roman"/>
          <w:noProof/>
          <w:szCs w:val="24"/>
        </w:rPr>
      </w:pPr>
      <w:r>
        <w:rPr>
          <w:noProof/>
        </w:rPr>
        <w:t>-</w:t>
      </w:r>
      <w:r>
        <w:rPr>
          <w:noProof/>
        </w:rPr>
        <w:tab/>
        <w:t>2014 m. balandžio 8 d. Komisijos įgyvendinimo reglamentu (ES) Nr. 354/2014 (OL L 106, 2014 4 9, p. 7),</w:t>
      </w:r>
    </w:p>
    <w:p>
      <w:pPr>
        <w:ind w:left="1984" w:hanging="567"/>
        <w:rPr>
          <w:rFonts w:eastAsia="Times New Roman"/>
          <w:noProof/>
          <w:szCs w:val="24"/>
        </w:rPr>
      </w:pPr>
      <w:r>
        <w:rPr>
          <w:noProof/>
        </w:rPr>
        <w:t>-</w:t>
      </w:r>
      <w:r>
        <w:rPr>
          <w:noProof/>
        </w:rPr>
        <w:tab/>
        <w:t xml:space="preserve">2014 m. liepos 31 d. Komisijos įgyvendinimo reglamentu (ES) Nr. 836/2014 (OL L 230, 2014 8 1, p. 10), </w:t>
      </w:r>
    </w:p>
    <w:p>
      <w:pPr>
        <w:ind w:left="1984" w:hanging="567"/>
        <w:rPr>
          <w:rFonts w:eastAsia="Times New Roman"/>
          <w:noProof/>
          <w:szCs w:val="24"/>
        </w:rPr>
      </w:pPr>
      <w:r>
        <w:rPr>
          <w:noProof/>
        </w:rPr>
        <w:t>-</w:t>
      </w:r>
      <w:r>
        <w:rPr>
          <w:noProof/>
        </w:rPr>
        <w:tab/>
        <w:t>2014 m. gruodžio 18 d. Komisijos įgyvendinimo reglamentu (ES) Nr. 1358/2014 (OL L 365, 2014 12 19, p. 97),</w:t>
      </w:r>
    </w:p>
    <w:p>
      <w:pPr>
        <w:ind w:left="1984" w:hanging="567"/>
        <w:rPr>
          <w:rFonts w:eastAsia="Times New Roman"/>
          <w:bCs/>
          <w:noProof/>
          <w:szCs w:val="24"/>
        </w:rPr>
      </w:pPr>
      <w:r>
        <w:rPr>
          <w:noProof/>
        </w:rPr>
        <w:t>-</w:t>
      </w:r>
      <w:r>
        <w:rPr>
          <w:noProof/>
        </w:rPr>
        <w:tab/>
        <w:t>2016 m. balandžio 29 d. Komisijos įgyvendinimo reglamentu (ES) 2016/673 (OL L 116, 2016 4 30, p. 8),</w:t>
      </w:r>
    </w:p>
    <w:p>
      <w:pPr>
        <w:ind w:left="1984" w:hanging="567"/>
        <w:rPr>
          <w:rFonts w:eastAsia="Times New Roman"/>
          <w:bCs/>
          <w:noProof/>
          <w:szCs w:val="24"/>
        </w:rPr>
      </w:pPr>
      <w:r>
        <w:rPr>
          <w:noProof/>
        </w:rPr>
        <w:t>-</w:t>
      </w:r>
      <w:r>
        <w:rPr>
          <w:noProof/>
        </w:rPr>
        <w:tab/>
        <w:t>2016 m. spalio 14 d. Komisijos įgyvendinimo reglamentu (ES) 2016/1842 (OL L 282, 2016 10 19, p. 19),</w:t>
      </w:r>
    </w:p>
    <w:p>
      <w:pPr>
        <w:ind w:left="1984" w:hanging="567"/>
        <w:rPr>
          <w:rFonts w:eastAsia="Times New Roman"/>
          <w:bCs/>
          <w:noProof/>
          <w:szCs w:val="24"/>
        </w:rPr>
      </w:pPr>
      <w:r>
        <w:rPr>
          <w:noProof/>
        </w:rPr>
        <w:t>-</w:t>
      </w:r>
      <w:r>
        <w:rPr>
          <w:noProof/>
        </w:rPr>
        <w:tab/>
        <w:t>2017 m. gegužės 17 d. Komisijos įgyvendinimo reglamentu (ES) 2017/838 (OL L 125, 2017 5 18, p. 5),</w:t>
      </w:r>
    </w:p>
    <w:p>
      <w:pPr>
        <w:ind w:left="1984" w:hanging="567"/>
        <w:rPr>
          <w:rFonts w:eastAsia="Times New Roman"/>
          <w:bCs/>
          <w:noProof/>
          <w:szCs w:val="24"/>
        </w:rPr>
      </w:pPr>
      <w:r>
        <w:rPr>
          <w:noProof/>
        </w:rPr>
        <w:t>-</w:t>
      </w:r>
      <w:r>
        <w:rPr>
          <w:noProof/>
        </w:rPr>
        <w:tab/>
        <w:t>2017 m. gruodžio 8 d. Komisijos įgyvendinimo reglamentu (ES) 2017/2273 (OL L 326, 2017 12 9, p. 42).</w:t>
      </w:r>
    </w:p>
    <w:p>
      <w:pPr>
        <w:rPr>
          <w:rFonts w:eastAsia="Times New Roman"/>
          <w:noProof/>
          <w:szCs w:val="24"/>
        </w:rPr>
      </w:pPr>
    </w:p>
    <w:p>
      <w:pPr>
        <w:rPr>
          <w:rFonts w:eastAsia="Times New Roman"/>
          <w:noProof/>
          <w:szCs w:val="24"/>
        </w:rPr>
      </w:pPr>
      <w:r>
        <w:rPr>
          <w:noProof/>
        </w:rPr>
        <w:t>2008 m. gruodžio 8 d. Komisijos reglamentas (EB) Nr. 1235/2008, kuriuo nustatomos išsamios Tarybos reglamento (EB) Nr. 834/2007 įgyvendinimo taisyklės dėl ekologiškų produktų importo iš trečiųjų šalių (OL L 334, 2008 12 12, p. 25) su pakeitimais, padarytais:</w:t>
      </w:r>
    </w:p>
    <w:p>
      <w:pPr>
        <w:ind w:left="1984" w:hanging="567"/>
        <w:rPr>
          <w:rFonts w:eastAsia="Times New Roman"/>
          <w:noProof/>
          <w:szCs w:val="24"/>
        </w:rPr>
      </w:pPr>
      <w:r>
        <w:rPr>
          <w:noProof/>
        </w:rPr>
        <w:t>-</w:t>
      </w:r>
      <w:r>
        <w:rPr>
          <w:noProof/>
        </w:rPr>
        <w:tab/>
        <w:t>2009 m. birželio 19 d. Komisijos reglamentu (EB) Nr. 537/2009 (OL L 159, 2009 6 20, p. 6),</w:t>
      </w:r>
    </w:p>
    <w:p>
      <w:pPr>
        <w:ind w:left="1984" w:hanging="567"/>
        <w:rPr>
          <w:rFonts w:eastAsia="Times New Roman"/>
          <w:noProof/>
          <w:szCs w:val="24"/>
        </w:rPr>
      </w:pPr>
      <w:r>
        <w:rPr>
          <w:noProof/>
        </w:rPr>
        <w:t>-</w:t>
      </w:r>
      <w:r>
        <w:rPr>
          <w:noProof/>
        </w:rPr>
        <w:tab/>
        <w:t>2010 m. gegužės 31 d. Komisijos reglamentu (ES) Nr. 471/2010 (OL L 134, 2010 6 1, p. 1),</w:t>
      </w:r>
    </w:p>
    <w:p>
      <w:pPr>
        <w:ind w:left="1984" w:hanging="567"/>
        <w:rPr>
          <w:rFonts w:eastAsia="Times New Roman"/>
          <w:noProof/>
          <w:szCs w:val="24"/>
        </w:rPr>
      </w:pPr>
      <w:r>
        <w:rPr>
          <w:noProof/>
        </w:rPr>
        <w:t>-</w:t>
      </w:r>
      <w:r>
        <w:rPr>
          <w:noProof/>
        </w:rPr>
        <w:tab/>
        <w:t>2011 m. birželio 20 d. Komisijos įgyvendinimo reglamentu (ES) Nr. 590/2011 (OL L 161, 2011 6 21, p. 9),</w:t>
      </w:r>
    </w:p>
    <w:p>
      <w:pPr>
        <w:ind w:left="1984" w:hanging="567"/>
        <w:rPr>
          <w:rFonts w:eastAsia="Times New Roman"/>
          <w:noProof/>
          <w:szCs w:val="24"/>
        </w:rPr>
      </w:pPr>
      <w:r>
        <w:rPr>
          <w:noProof/>
        </w:rPr>
        <w:t>-</w:t>
      </w:r>
      <w:r>
        <w:rPr>
          <w:noProof/>
        </w:rPr>
        <w:tab/>
        <w:t>2011 m. spalio 27 d. Komisijos įgyvendinimo reglamentu (ES) Nr. 1084/2011 (OL L 281, 2011 10 28, p. 3),</w:t>
      </w:r>
    </w:p>
    <w:p>
      <w:pPr>
        <w:ind w:left="1984" w:hanging="567"/>
        <w:rPr>
          <w:rFonts w:eastAsia="Times New Roman"/>
          <w:noProof/>
          <w:szCs w:val="24"/>
        </w:rPr>
      </w:pPr>
      <w:r>
        <w:rPr>
          <w:noProof/>
        </w:rPr>
        <w:t>-</w:t>
      </w:r>
      <w:r>
        <w:rPr>
          <w:noProof/>
        </w:rPr>
        <w:tab/>
        <w:t xml:space="preserve">2011 m. gruodžio 6 d. Komisijos įgyvendinimo reglamentu (ES) Nr. 1267/2011 (OL L 324, 2011 12 7, p. 9), </w:t>
      </w:r>
    </w:p>
    <w:p>
      <w:pPr>
        <w:ind w:left="1984" w:hanging="567"/>
        <w:rPr>
          <w:rFonts w:eastAsia="Times New Roman"/>
          <w:noProof/>
          <w:szCs w:val="24"/>
        </w:rPr>
      </w:pPr>
      <w:r>
        <w:rPr>
          <w:noProof/>
        </w:rPr>
        <w:t>-</w:t>
      </w:r>
      <w:r>
        <w:rPr>
          <w:noProof/>
        </w:rPr>
        <w:tab/>
        <w:t xml:space="preserve">2012 m. vasario 14 d. Komisijos įgyvendinimo reglamentu (ES) Nr. 126/2012 (OL L 41, 2012 2 15, p. 5), </w:t>
      </w:r>
    </w:p>
    <w:p>
      <w:pPr>
        <w:ind w:left="1984" w:hanging="567"/>
        <w:rPr>
          <w:rFonts w:eastAsia="Times New Roman"/>
          <w:noProof/>
          <w:szCs w:val="24"/>
        </w:rPr>
      </w:pPr>
      <w:r>
        <w:rPr>
          <w:noProof/>
        </w:rPr>
        <w:t>-</w:t>
      </w:r>
      <w:r>
        <w:rPr>
          <w:noProof/>
        </w:rPr>
        <w:tab/>
        <w:t>2012 m. birželio 20 d. Komisijos įgyvendinimo reglamentu (ES) Nr. 508/2012 (OL L 162, 2012 6 21, p. 1),</w:t>
      </w:r>
    </w:p>
    <w:p>
      <w:pPr>
        <w:ind w:left="1984" w:hanging="567"/>
        <w:rPr>
          <w:rFonts w:eastAsia="Times New Roman"/>
          <w:noProof/>
          <w:szCs w:val="24"/>
        </w:rPr>
      </w:pPr>
      <w:r>
        <w:rPr>
          <w:noProof/>
        </w:rPr>
        <w:t>-</w:t>
      </w:r>
      <w:r>
        <w:rPr>
          <w:noProof/>
        </w:rPr>
        <w:tab/>
        <w:t>2012 m. rugpjūčio 16 d. Komisijos įgyvendinimo reglamentu (ES) Nr. 751/2012 (OL L 222, 2012 8 18, p. 5),</w:t>
      </w:r>
    </w:p>
    <w:p>
      <w:pPr>
        <w:ind w:left="1984" w:hanging="566"/>
        <w:rPr>
          <w:rFonts w:eastAsia="Times New Roman"/>
          <w:noProof/>
          <w:szCs w:val="24"/>
        </w:rPr>
      </w:pPr>
      <w:r>
        <w:rPr>
          <w:noProof/>
        </w:rPr>
        <w:t>-</w:t>
      </w:r>
      <w:r>
        <w:rPr>
          <w:noProof/>
        </w:rPr>
        <w:tab/>
        <w:t>2013 m. vasario 13 d. Komisijos įgyvendinimo reglamentu (ES) Nr. 125/2013 (OL L 43, 2013 2 14, p. 1),</w:t>
      </w:r>
    </w:p>
    <w:p>
      <w:pPr>
        <w:ind w:left="1984" w:hanging="566"/>
        <w:rPr>
          <w:rFonts w:eastAsia="Times New Roman"/>
          <w:noProof/>
          <w:szCs w:val="24"/>
        </w:rPr>
      </w:pPr>
      <w:r>
        <w:rPr>
          <w:noProof/>
        </w:rPr>
        <w:t>-</w:t>
      </w:r>
      <w:r>
        <w:rPr>
          <w:noProof/>
        </w:rPr>
        <w:tab/>
        <w:t>2013 m. vasario 21 d. Komisijos reglamentu (ES) Nr. 519/2013 (OL L 158, 2013 6 10, p. 74),</w:t>
      </w:r>
    </w:p>
    <w:p>
      <w:pPr>
        <w:ind w:left="1984" w:hanging="567"/>
        <w:rPr>
          <w:rFonts w:eastAsia="Times New Roman"/>
          <w:noProof/>
          <w:szCs w:val="24"/>
        </w:rPr>
      </w:pPr>
      <w:r>
        <w:rPr>
          <w:noProof/>
        </w:rPr>
        <w:t>-</w:t>
      </w:r>
      <w:r>
        <w:rPr>
          <w:noProof/>
        </w:rPr>
        <w:tab/>
        <w:t>2013 m. birželio 18 d. Komisijos įgyvendinimo reglamentu (ES) Nr. 567/2013 (OL L 167, 2013 6 19, p. 30),</w:t>
      </w:r>
    </w:p>
    <w:p>
      <w:pPr>
        <w:ind w:left="1984" w:hanging="567"/>
        <w:rPr>
          <w:rFonts w:eastAsia="Times New Roman"/>
          <w:noProof/>
          <w:szCs w:val="24"/>
        </w:rPr>
      </w:pPr>
      <w:r>
        <w:rPr>
          <w:noProof/>
        </w:rPr>
        <w:t>-</w:t>
      </w:r>
      <w:r>
        <w:rPr>
          <w:noProof/>
        </w:rPr>
        <w:tab/>
        <w:t>2013 m. birželio 20 d. Komisijos įgyvendinimo reglamentu (ES) Nr. 586/2013 (OL L 169, 2013 6 21, p. 51),</w:t>
      </w:r>
    </w:p>
    <w:p>
      <w:pPr>
        <w:ind w:left="1984" w:hanging="567"/>
        <w:rPr>
          <w:rFonts w:eastAsia="Times New Roman"/>
          <w:noProof/>
          <w:szCs w:val="24"/>
        </w:rPr>
      </w:pPr>
      <w:r>
        <w:rPr>
          <w:noProof/>
        </w:rPr>
        <w:t>-</w:t>
      </w:r>
      <w:r>
        <w:rPr>
          <w:noProof/>
        </w:rPr>
        <w:tab/>
        <w:t>2014 m. balandžio 8 d. Komisijos įgyvendinimo reglamentu (ES) Nr. 355/2014 (OL L 106, 2014 4 9, p. 15),</w:t>
      </w:r>
    </w:p>
    <w:p>
      <w:pPr>
        <w:ind w:left="1984" w:hanging="567"/>
        <w:rPr>
          <w:rFonts w:eastAsia="Times New Roman"/>
          <w:noProof/>
          <w:szCs w:val="24"/>
        </w:rPr>
      </w:pPr>
      <w:r>
        <w:rPr>
          <w:noProof/>
        </w:rPr>
        <w:t>-</w:t>
      </w:r>
      <w:r>
        <w:rPr>
          <w:noProof/>
        </w:rPr>
        <w:tab/>
        <w:t>2014 m. balandžio 30 d. Komisijos įgyvendinimo reglamentu (ES) Nr. 442/2014 (OL L 130, 2014 5 1, p. 39),</w:t>
      </w:r>
    </w:p>
    <w:p>
      <w:pPr>
        <w:ind w:left="1984" w:hanging="567"/>
        <w:rPr>
          <w:rFonts w:eastAsia="Times New Roman"/>
          <w:noProof/>
          <w:szCs w:val="24"/>
        </w:rPr>
      </w:pPr>
      <w:r>
        <w:rPr>
          <w:noProof/>
        </w:rPr>
        <w:t>-</w:t>
      </w:r>
      <w:r>
        <w:rPr>
          <w:noProof/>
        </w:rPr>
        <w:tab/>
        <w:t>2014 m. birželio 16 d. Komisijos įgyvendinimo reglamentu (ES) Nr. 644/2014 (OL L 177, 2014 6 17, p. 42),</w:t>
      </w:r>
    </w:p>
    <w:p>
      <w:pPr>
        <w:ind w:left="1984" w:hanging="567"/>
        <w:rPr>
          <w:rFonts w:eastAsia="Times New Roman"/>
          <w:noProof/>
          <w:szCs w:val="24"/>
        </w:rPr>
      </w:pPr>
      <w:r>
        <w:rPr>
          <w:noProof/>
        </w:rPr>
        <w:t>-</w:t>
      </w:r>
      <w:r>
        <w:rPr>
          <w:noProof/>
        </w:rPr>
        <w:tab/>
        <w:t>2014 m. liepos 30 d. Komisijos įgyvendinimo reglamentu (ES) Nr. 829/2014 (OL L 228, 2014 7 31, p. 9),</w:t>
      </w:r>
    </w:p>
    <w:p>
      <w:pPr>
        <w:ind w:left="1984" w:hanging="567"/>
        <w:rPr>
          <w:rFonts w:eastAsia="Times New Roman"/>
          <w:noProof/>
          <w:szCs w:val="24"/>
        </w:rPr>
      </w:pPr>
      <w:r>
        <w:rPr>
          <w:noProof/>
        </w:rPr>
        <w:t>-</w:t>
      </w:r>
      <w:r>
        <w:rPr>
          <w:noProof/>
        </w:rPr>
        <w:tab/>
        <w:t xml:space="preserve">2014 m. lapkričio 28 d. Komisijos įgyvendinimo reglamentu (ES) Nr. 1287/2014 (OL L 348, 2014 12 4, p. 1), </w:t>
      </w:r>
    </w:p>
    <w:p>
      <w:pPr>
        <w:ind w:left="1984" w:hanging="567"/>
        <w:rPr>
          <w:rFonts w:eastAsia="Times New Roman"/>
          <w:noProof/>
          <w:szCs w:val="24"/>
        </w:rPr>
      </w:pPr>
      <w:r>
        <w:rPr>
          <w:noProof/>
        </w:rPr>
        <w:t>-</w:t>
      </w:r>
      <w:r>
        <w:rPr>
          <w:noProof/>
        </w:rPr>
        <w:tab/>
        <w:t>2015 m. sausio 26 d. Komisijos įgyvendinimo reglamentu (ES) 2015/131 (OL L 23, 2015 1 29, p. 1),</w:t>
      </w:r>
    </w:p>
    <w:p>
      <w:pPr>
        <w:ind w:left="1984" w:hanging="567"/>
        <w:rPr>
          <w:rFonts w:eastAsia="Times New Roman"/>
          <w:noProof/>
          <w:szCs w:val="24"/>
        </w:rPr>
      </w:pPr>
      <w:r>
        <w:rPr>
          <w:noProof/>
        </w:rPr>
        <w:t>-</w:t>
      </w:r>
      <w:r>
        <w:rPr>
          <w:noProof/>
        </w:rPr>
        <w:tab/>
        <w:t>2015 m. birželio 17 d. Komisijos įgyvendinimo reglamentu (ES) 2015/931 (OL L 151, 2015 6 18, p. 1),</w:t>
      </w:r>
    </w:p>
    <w:p>
      <w:pPr>
        <w:ind w:left="1984" w:hanging="567"/>
        <w:rPr>
          <w:rFonts w:eastAsia="Times New Roman"/>
          <w:noProof/>
          <w:szCs w:val="24"/>
        </w:rPr>
      </w:pPr>
      <w:r>
        <w:rPr>
          <w:noProof/>
        </w:rPr>
        <w:t>-</w:t>
      </w:r>
      <w:r>
        <w:rPr>
          <w:noProof/>
        </w:rPr>
        <w:tab/>
        <w:t>2015 m. lapkričio 4 d. Komisijos įgyvendinimo reglamentu (ES) 2015/1980 (OL L 289, 2015 11 5, p. 6),</w:t>
      </w:r>
    </w:p>
    <w:p>
      <w:pPr>
        <w:ind w:left="1984" w:hanging="567"/>
        <w:rPr>
          <w:rFonts w:eastAsia="Times New Roman"/>
          <w:noProof/>
          <w:szCs w:val="24"/>
        </w:rPr>
      </w:pPr>
      <w:r>
        <w:rPr>
          <w:noProof/>
        </w:rPr>
        <w:t>-</w:t>
      </w:r>
      <w:r>
        <w:rPr>
          <w:noProof/>
        </w:rPr>
        <w:tab/>
        <w:t>2015 m. gruodžio 15 d. Komisijos įgyvendinimo reglamentu (ES) 2015/2345 (OL L 330, 2015 12 16, p. 29),</w:t>
      </w:r>
    </w:p>
    <w:p>
      <w:pPr>
        <w:ind w:left="1984" w:hanging="567"/>
        <w:rPr>
          <w:rFonts w:eastAsia="Times New Roman"/>
          <w:bCs/>
          <w:noProof/>
          <w:szCs w:val="24"/>
        </w:rPr>
      </w:pPr>
      <w:r>
        <w:rPr>
          <w:noProof/>
        </w:rPr>
        <w:t>-</w:t>
      </w:r>
      <w:r>
        <w:rPr>
          <w:noProof/>
        </w:rPr>
        <w:tab/>
        <w:t>2016 m. kovo 18 d. Komisijos įgyvendinimo reglamentu (ES) 2016/459 (OL L 80, 2016 3 31, p. 14),</w:t>
      </w:r>
    </w:p>
    <w:p>
      <w:pPr>
        <w:ind w:left="1984" w:hanging="567"/>
        <w:rPr>
          <w:rFonts w:eastAsia="Times New Roman"/>
          <w:bCs/>
          <w:noProof/>
          <w:szCs w:val="24"/>
        </w:rPr>
      </w:pPr>
      <w:r>
        <w:rPr>
          <w:noProof/>
        </w:rPr>
        <w:t>-</w:t>
      </w:r>
      <w:r>
        <w:rPr>
          <w:noProof/>
        </w:rPr>
        <w:tab/>
        <w:t>2016 m. birželio 9 d. Komisijos įgyvendinimo reglamentu (ES) 2016/910 (OL L 153, 2016 6 10, p. 23),</w:t>
      </w:r>
    </w:p>
    <w:p>
      <w:pPr>
        <w:ind w:left="1984" w:hanging="567"/>
        <w:rPr>
          <w:noProof/>
        </w:rPr>
      </w:pPr>
      <w:r>
        <w:rPr>
          <w:noProof/>
        </w:rPr>
        <w:t>-</w:t>
      </w:r>
      <w:r>
        <w:rPr>
          <w:noProof/>
        </w:rPr>
        <w:tab/>
        <w:t xml:space="preserve">2016 m. rugpjūčio 2 d. Komisijos įgyvendinimo reglamentu (ES) 2016/1330 (OL L 210, 2016 8 4, p. 43), </w:t>
      </w:r>
    </w:p>
    <w:p>
      <w:pPr>
        <w:ind w:left="1984" w:hanging="567"/>
        <w:rPr>
          <w:rFonts w:eastAsia="Times New Roman"/>
          <w:bCs/>
          <w:noProof/>
          <w:szCs w:val="24"/>
        </w:rPr>
      </w:pPr>
      <w:r>
        <w:rPr>
          <w:noProof/>
        </w:rPr>
        <w:t>-</w:t>
      </w:r>
      <w:r>
        <w:rPr>
          <w:noProof/>
        </w:rPr>
        <w:tab/>
        <w:t>2016 m. spalio 14 d. Komisijos įgyvendinimo reglamentu (ES) 2016/1842 (OL L 282, 2016 10 19, p. 19),</w:t>
      </w:r>
    </w:p>
    <w:p>
      <w:pPr>
        <w:ind w:left="1984" w:hanging="567"/>
        <w:rPr>
          <w:rFonts w:eastAsia="Times New Roman"/>
          <w:bCs/>
          <w:noProof/>
          <w:szCs w:val="24"/>
        </w:rPr>
      </w:pPr>
      <w:r>
        <w:rPr>
          <w:noProof/>
        </w:rPr>
        <w:t>-</w:t>
      </w:r>
      <w:r>
        <w:rPr>
          <w:noProof/>
        </w:rPr>
        <w:tab/>
        <w:t xml:space="preserve">2016 m. gruodžio 15 d. Komisijos įgyvendinimo reglamentu (ES) 2016/2259 (OL L 342, 2016 12 16, p. 4), </w:t>
      </w:r>
    </w:p>
    <w:p>
      <w:pPr>
        <w:ind w:left="1984" w:hanging="567"/>
        <w:rPr>
          <w:rFonts w:eastAsia="Times New Roman"/>
          <w:bCs/>
          <w:noProof/>
          <w:szCs w:val="24"/>
        </w:rPr>
      </w:pPr>
      <w:r>
        <w:rPr>
          <w:noProof/>
        </w:rPr>
        <w:t>-</w:t>
      </w:r>
      <w:r>
        <w:rPr>
          <w:noProof/>
        </w:rPr>
        <w:tab/>
        <w:t>2017 m. gegužės 22 d. Komisijos įgyvendinimo reglamentu (ES) 2017/872 (OL L 134, 2017 5 23, p. 6),</w:t>
      </w:r>
    </w:p>
    <w:p>
      <w:pPr>
        <w:ind w:left="1984" w:hanging="567"/>
        <w:rPr>
          <w:rFonts w:eastAsia="Times New Roman"/>
          <w:bCs/>
          <w:noProof/>
          <w:szCs w:val="24"/>
        </w:rPr>
      </w:pPr>
      <w:r>
        <w:rPr>
          <w:noProof/>
        </w:rPr>
        <w:t>-</w:t>
      </w:r>
      <w:r>
        <w:rPr>
          <w:noProof/>
        </w:rPr>
        <w:tab/>
        <w:t>2017 m. rugpjūčio 14 d. Komisijos įgyvendinimo reglamentu (ES) 2017/1473 (OL L 210, 2017 8 15, p. 4),</w:t>
      </w:r>
    </w:p>
    <w:p>
      <w:pPr>
        <w:ind w:left="1984" w:hanging="567"/>
        <w:rPr>
          <w:rFonts w:eastAsia="Times New Roman"/>
          <w:bCs/>
          <w:noProof/>
          <w:szCs w:val="24"/>
        </w:rPr>
      </w:pPr>
      <w:r>
        <w:rPr>
          <w:noProof/>
        </w:rPr>
        <w:t>-</w:t>
      </w:r>
      <w:r>
        <w:rPr>
          <w:noProof/>
        </w:rPr>
        <w:tab/>
        <w:t>2017 m. spalio 16 d. Komisijos įgyvendinimo reglamentu (ES) 2017/1862 (OL L 266, 2017 10 17, p. 1),</w:t>
      </w:r>
    </w:p>
    <w:p>
      <w:pPr>
        <w:ind w:left="1984" w:hanging="567"/>
        <w:rPr>
          <w:rFonts w:eastAsia="Times New Roman"/>
          <w:bCs/>
          <w:noProof/>
          <w:szCs w:val="24"/>
        </w:rPr>
      </w:pPr>
      <w:r>
        <w:rPr>
          <w:noProof/>
        </w:rPr>
        <w:t>-</w:t>
      </w:r>
      <w:r>
        <w:rPr>
          <w:noProof/>
        </w:rPr>
        <w:tab/>
        <w:t>2017 m. gruodžio 14 d. Komisijos įgyvendinimo reglamentu (ES) 2017/2329 (OL L 333, 2017 12 15, p. 29),</w:t>
      </w:r>
    </w:p>
    <w:p>
      <w:pPr>
        <w:ind w:left="1984" w:hanging="567"/>
        <w:rPr>
          <w:rFonts w:eastAsia="Times New Roman"/>
          <w:bCs/>
          <w:noProof/>
          <w:szCs w:val="24"/>
        </w:rPr>
      </w:pPr>
      <w:r>
        <w:rPr>
          <w:noProof/>
        </w:rPr>
        <w:t>-</w:t>
      </w:r>
      <w:r>
        <w:rPr>
          <w:noProof/>
        </w:rPr>
        <w:tab/>
        <w:t>2018 m. liepos 3 d. Komisijos įgyvendinimo reglamentu (ES) 2018/949 (OL L 167, 2018 7 4, p. 3),</w:t>
      </w:r>
    </w:p>
    <w:p>
      <w:pPr>
        <w:ind w:left="1984" w:hanging="567"/>
        <w:rPr>
          <w:rFonts w:eastAsia="Times New Roman"/>
          <w:bCs/>
          <w:noProof/>
          <w:szCs w:val="24"/>
        </w:rPr>
      </w:pPr>
      <w:r>
        <w:rPr>
          <w:noProof/>
        </w:rPr>
        <w:t>su pataisymais, padarytais:</w:t>
      </w:r>
    </w:p>
    <w:p>
      <w:pPr>
        <w:ind w:left="1984" w:hanging="567"/>
        <w:rPr>
          <w:rFonts w:eastAsia="Times New Roman"/>
          <w:bCs/>
          <w:noProof/>
          <w:szCs w:val="24"/>
        </w:rPr>
      </w:pPr>
      <w:r>
        <w:rPr>
          <w:noProof/>
        </w:rPr>
        <w:t>OL L 28, 2015 2 4, p. 48 (1287/2014),</w:t>
      </w:r>
    </w:p>
    <w:p>
      <w:pPr>
        <w:ind w:left="1984" w:hanging="567"/>
        <w:rPr>
          <w:rFonts w:eastAsia="Times New Roman"/>
          <w:bCs/>
          <w:noProof/>
          <w:szCs w:val="24"/>
        </w:rPr>
      </w:pPr>
      <w:r>
        <w:rPr>
          <w:noProof/>
        </w:rPr>
        <w:t>OL L 241, 2015 9 17, p. 51 (2015/131).</w:t>
      </w:r>
    </w:p>
    <w:p>
      <w:pPr>
        <w:jc w:val="center"/>
        <w:rPr>
          <w:b/>
          <w:noProof/>
        </w:rPr>
      </w:pPr>
      <w:r>
        <w:rPr>
          <w:b/>
          <w:noProof/>
        </w:rPr>
        <w:t>B PRIEDAS</w:t>
      </w:r>
    </w:p>
    <w:p>
      <w:pPr>
        <w:jc w:val="center"/>
        <w:rPr>
          <w:b/>
          <w:noProof/>
        </w:rPr>
      </w:pPr>
      <w:r>
        <w:rPr>
          <w:b/>
          <w:noProof/>
        </w:rPr>
        <w:t>2 STRAIPSNYJE NURODYTA TVARKA</w:t>
      </w:r>
    </w:p>
    <w:p>
      <w:pPr>
        <w:jc w:val="center"/>
        <w:rPr>
          <w:noProof/>
        </w:rPr>
      </w:pPr>
    </w:p>
    <w:p>
      <w:pPr>
        <w:pStyle w:val="Point0"/>
        <w:spacing w:after="240"/>
        <w:ind w:left="851" w:hanging="851"/>
        <w:rPr>
          <w:noProof/>
        </w:rPr>
      </w:pPr>
      <w:r>
        <w:rPr>
          <w:noProof/>
        </w:rPr>
        <w:t xml:space="preserve"> 1. </w:t>
      </w:r>
      <w:r>
        <w:rPr>
          <w:noProof/>
        </w:rPr>
        <w:tab/>
        <w:t>Prie ekologiškų produktų, importuojamų į San Marino Respubliką iš trečiųjų šalių, pridedamas patikrinimo sertifikatas, nurodytas Reglamento (EB) Nr. 834/2007 33 straipsnio 1 dalies punkte.</w:t>
      </w:r>
    </w:p>
    <w:p>
      <w:pPr>
        <w:pStyle w:val="Point0"/>
        <w:spacing w:after="240"/>
        <w:ind w:left="851" w:hanging="851"/>
        <w:rPr>
          <w:noProof/>
        </w:rPr>
      </w:pPr>
      <w:r>
        <w:rPr>
          <w:noProof/>
        </w:rPr>
        <w:t xml:space="preserve">2. </w:t>
      </w:r>
      <w:r>
        <w:rPr>
          <w:noProof/>
        </w:rPr>
        <w:tab/>
        <w:t>San Marino Respublika naudoja Komisijos sprendimu 2003/24/EB</w:t>
      </w:r>
      <w:r>
        <w:rPr>
          <w:rStyle w:val="FootnoteReference"/>
          <w:noProof/>
        </w:rPr>
        <w:footnoteReference w:id="2"/>
      </w:r>
      <w:r>
        <w:rPr>
          <w:noProof/>
        </w:rPr>
        <w:t xml:space="preserve"> sukurtą elektroninę Prekybos kontrolės ir ekspertizių sistemą (TRACES) elektroniniams iš trečiųjų šalių importuotų ekologiškų produktų patikrinimo sertifikatams apdoroti. </w:t>
      </w:r>
    </w:p>
    <w:p>
      <w:pPr>
        <w:pStyle w:val="Point0"/>
        <w:spacing w:after="240"/>
        <w:ind w:left="851" w:hanging="851"/>
        <w:rPr>
          <w:rFonts w:eastAsia="Times New Roman"/>
          <w:noProof/>
          <w:szCs w:val="24"/>
        </w:rPr>
      </w:pPr>
      <w:r>
        <w:rPr>
          <w:noProof/>
        </w:rPr>
        <w:t xml:space="preserve">3. </w:t>
      </w:r>
      <w:r>
        <w:rPr>
          <w:noProof/>
        </w:rPr>
        <w:tab/>
        <w:t>Siekiant įgyvendinti Reglamento (EB) Nr. 1235/2008 13 straipsnį, į San Marino Respubliką iš trečiųjų šalių importuojamų ekologiškų produktų TRACE sistemoje pasirašytus patikrinimo sertifikatus San Marino vardu tikrina ir tvirtina OMNIBUS sprendimo Nr. 1/2010</w:t>
      </w:r>
      <w:r>
        <w:rPr>
          <w:rStyle w:val="FootnoteReference"/>
          <w:noProof/>
        </w:rPr>
        <w:footnoteReference w:id="3"/>
      </w:r>
      <w:r>
        <w:rPr>
          <w:noProof/>
        </w:rPr>
        <w:t xml:space="preserve"> II priede išvardytos muitinės.</w:t>
      </w:r>
    </w:p>
    <w:p>
      <w:pPr>
        <w:pStyle w:val="Point0"/>
        <w:spacing w:after="240"/>
        <w:ind w:left="851" w:hanging="851"/>
        <w:rPr>
          <w:noProof/>
        </w:rPr>
      </w:pPr>
      <w:r>
        <w:rPr>
          <w:noProof/>
        </w:rPr>
        <w:t xml:space="preserve">4. </w:t>
      </w:r>
      <w:r>
        <w:rPr>
          <w:noProof/>
        </w:rPr>
        <w:tab/>
        <w:t>Siekiant įgyvendinti Reglamento (EB) Nr. 1235/2008 16 straipsnio 2 dalį, San Marino Respublikos gali būti paprašyta bendrai atlikti referento funkcijas. San Marino Respublika gali savo nuožiūra sutikti atlikti šias funkcijas.</w:t>
      </w:r>
    </w:p>
    <w:p>
      <w:pPr>
        <w:spacing w:before="0" w:after="200" w:line="276" w:lineRule="auto"/>
        <w:jc w:val="left"/>
        <w:rPr>
          <w:b/>
          <w:noProof/>
        </w:rPr>
      </w:pPr>
      <w:r>
        <w:rPr>
          <w:noProof/>
        </w:rPr>
        <w:br w:type="page"/>
      </w:r>
    </w:p>
    <w:p>
      <w:pPr>
        <w:jc w:val="center"/>
        <w:rPr>
          <w:b/>
          <w:noProof/>
        </w:rPr>
      </w:pPr>
      <w:r>
        <w:rPr>
          <w:b/>
          <w:noProof/>
        </w:rPr>
        <w:t>C PRIEDAS</w:t>
      </w:r>
    </w:p>
    <w:p>
      <w:pPr>
        <w:pStyle w:val="ListParagraph"/>
        <w:jc w:val="center"/>
        <w:rPr>
          <w:b/>
          <w:noProof/>
        </w:rPr>
      </w:pPr>
      <w:r>
        <w:rPr>
          <w:b/>
          <w:noProof/>
        </w:rPr>
        <w:t>3 STRAIPSNYJE NURODYTA TVARKA</w:t>
      </w:r>
    </w:p>
    <w:p>
      <w:pPr>
        <w:rPr>
          <w:noProof/>
        </w:rPr>
      </w:pPr>
    </w:p>
    <w:p>
      <w:pPr>
        <w:pStyle w:val="Point0"/>
        <w:spacing w:after="240"/>
        <w:ind w:left="851" w:hanging="851"/>
        <w:rPr>
          <w:noProof/>
        </w:rPr>
      </w:pPr>
      <w:r>
        <w:rPr>
          <w:noProof/>
        </w:rPr>
        <w:t xml:space="preserve"> 1.</w:t>
      </w:r>
      <w:r>
        <w:rPr>
          <w:noProof/>
        </w:rPr>
        <w:tab/>
        <w:t xml:space="preserve">A priede išvardytų reglamentų atitinkamuose straipsniuose laikoma, kad sąvoka „valstybė narė“ arba „valstybės narės“ apima ir San Marino Respubliką. </w:t>
      </w:r>
    </w:p>
    <w:p>
      <w:pPr>
        <w:pStyle w:val="Point0"/>
        <w:spacing w:after="240"/>
        <w:ind w:left="851" w:hanging="851"/>
        <w:rPr>
          <w:noProof/>
        </w:rPr>
      </w:pPr>
      <w:r>
        <w:rPr>
          <w:noProof/>
        </w:rPr>
        <w:t>2.</w:t>
      </w:r>
      <w:r>
        <w:rPr>
          <w:noProof/>
        </w:rPr>
        <w:tab/>
        <w:t xml:space="preserve">Jei atitinkamuose A priede išvardytų reglamentų straipsniuose nustatyta, kad valstybė narė turi priimti sprendimą arba teikti pranešimą, tokį sprendimą priima arba pranešimą teikia San Marino Respublikos institucijos. Tos institucijos atsižvelgia į Sąjungos mokslinių komitetų nuomones ir priimdamos sprendimus remiasi Europos Sąjungos Teisingumo Teismo praktika bei Europos Komisijos priimtomis administracinio elgesio taisyklėmis.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84, 2002 3 28, p. 43.</w:t>
      </w:r>
    </w:p>
  </w:footnote>
  <w:footnote w:id="2">
    <w:p>
      <w:pPr>
        <w:pStyle w:val="FootnoteText"/>
        <w:rPr>
          <w:lang w:val="en-IE"/>
        </w:rPr>
      </w:pPr>
      <w:r>
        <w:rPr>
          <w:rStyle w:val="FootnoteReference"/>
        </w:rPr>
        <w:footnoteRef/>
      </w:r>
      <w:r>
        <w:tab/>
        <w:t>2002 m. gruodžio 30 d. Komisijos sprendimas 2003/24/EB dėl integruotos kompiuterinės veterinarijos sistemos sukūrimo (OL L 8, 2003 1 14, p. 44).</w:t>
      </w:r>
    </w:p>
  </w:footnote>
  <w:footnote w:id="3">
    <w:p>
      <w:pPr>
        <w:pStyle w:val="FootnoteText"/>
        <w:rPr>
          <w:lang w:val="cs-CZ"/>
        </w:rPr>
      </w:pPr>
      <w:r>
        <w:rPr>
          <w:rStyle w:val="FootnoteReference"/>
        </w:rPr>
        <w:footnoteRef/>
      </w:r>
      <w:r>
        <w:tab/>
        <w:t>2010 m. kovo 29 d. ES ir San Marino bendradarbiavimo komiteto OMNIBUS sprendimas Nr. 1/2010, nustatantis įvairias Europos ekonominės bendrijos ir San Marino Respublikos susitarimo dėl bendradarbiavimo ir muitų sąjungos įgyvendinimo priemones (OL L 156, 2010 6 23,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14CA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0E83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AC0B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884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588A7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B64B6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F875BC"/>
    <w:lvl w:ilvl="0">
      <w:start w:val="1"/>
      <w:numFmt w:val="decimal"/>
      <w:pStyle w:val="ListNumber"/>
      <w:lvlText w:val="%1."/>
      <w:lvlJc w:val="left"/>
      <w:pPr>
        <w:tabs>
          <w:tab w:val="num" w:pos="360"/>
        </w:tabs>
        <w:ind w:left="360" w:hanging="360"/>
      </w:pPr>
    </w:lvl>
  </w:abstractNum>
  <w:abstractNum w:abstractNumId="7">
    <w:nsid w:val="FFFFFF89"/>
    <w:multiLevelType w:val="singleLevel"/>
    <w:tmpl w:val="D72070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FORNESA ROCA Carla (AGRI)">
    <w15:presenceInfo w15:providerId="None" w15:userId="FORNESA ROCA Carla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3 11:30: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9"/>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36A3D4E3-B716-4276-B138-E6DCA47CF6A8"/>
    <w:docVar w:name="LW_COVERPAGE_TYPE" w:val="1"/>
    <w:docVar w:name="LW_CROSSREFERENCE" w:val="&lt;UNUSED&gt;"/>
    <w:docVar w:name="LW_DocType" w:val="ANNEX"/>
    <w:docVar w:name="LW_EMISSION" w:val="2019 04 30"/>
    <w:docVar w:name="LW_EMISSION_ISODATE" w:val="2019-04-30"/>
    <w:docVar w:name="LW_EMISSION_LOCATION" w:val="BRX"/>
    <w:docVar w:name="LW_EMISSION_PREFIX" w:val="Briuselis, "/>
    <w:docVar w:name="LW_EMISSION_SUFFIX" w:val="&lt;EMPTY&gt;"/>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pozicijos, kurios Europos S\u261?jungos vardu turi b\u363?ti laikomasi Europos ekonomin\u279?s bendrijos ir San Marino Respublikos susitarimu d\u279?l bendradarbiavimo ir muit\u371? s\u261?jungos \u303?steigtame Bendradarbiavimo komitete, d\u279?l taikytin\u371? ekologin\u279?s gamybos, ekologi\u353?k\u371? produkt\u371? \u382?enklinimo ir ekologi\u353?k\u371? produkt\u371? importo tvarkos nuostat\u371? _x000b_"/>
    <w:docVar w:name="LW_OBJETACTEPRINCIPAL.CP" w:val="d\u279?l pozicijos, kurios Europos S\u261?jungos vardu turi b\u363?ti laikomasi Europos ekonomin\u279?s bendrijos ir San Marino Respublikos susitarimu d\u279?l bendradarbiavimo ir muit\u371? s\u261?jungos \u303?steigtame Bendradarbiavimo komitete, d\u279?l taikytin\u371? ekologin\u279?s gamybos, ekologi\u353?k\u371? produkt\u371? \u382?enklinimo ir ekologi\u353?k\u371? produkt\u371? importo tvarkos nuostat\u371? _x000b_"/>
    <w:docVar w:name="LW_PART_NBR" w:val="1"/>
    <w:docVar w:name="LW_PART_NBR_TOTAL" w:val="1"/>
    <w:docVar w:name="LW_REF.INST.NEW" w:val="COM"/>
    <w:docVar w:name="LW_REF.INST.NEW_ADOPTED" w:val="final"/>
    <w:docVar w:name="LW_REF.INST.NEW_TEXT" w:val="(2019) 2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06742">
      <w:bodyDiv w:val="1"/>
      <w:marLeft w:val="0"/>
      <w:marRight w:val="0"/>
      <w:marTop w:val="0"/>
      <w:marBottom w:val="0"/>
      <w:divBdr>
        <w:top w:val="none" w:sz="0" w:space="0" w:color="auto"/>
        <w:left w:val="none" w:sz="0" w:space="0" w:color="auto"/>
        <w:bottom w:val="none" w:sz="0" w:space="0" w:color="auto"/>
        <w:right w:val="none" w:sz="0" w:space="0" w:color="auto"/>
      </w:divBdr>
    </w:div>
    <w:div w:id="1539078125">
      <w:bodyDiv w:val="1"/>
      <w:marLeft w:val="0"/>
      <w:marRight w:val="0"/>
      <w:marTop w:val="0"/>
      <w:marBottom w:val="0"/>
      <w:divBdr>
        <w:top w:val="none" w:sz="0" w:space="0" w:color="auto"/>
        <w:left w:val="none" w:sz="0" w:space="0" w:color="auto"/>
        <w:bottom w:val="none" w:sz="0" w:space="0" w:color="auto"/>
        <w:right w:val="none" w:sz="0" w:space="0" w:color="auto"/>
      </w:divBdr>
    </w:div>
    <w:div w:id="20719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D296-EFE3-4FCE-9156-FC7C2EB7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8</Pages>
  <Words>1787</Words>
  <Characters>9280</Characters>
  <Application>Microsoft Office Word</Application>
  <DocSecurity>0</DocSecurity>
  <Lines>215</Lines>
  <Paragraphs>116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ESCARTI CASTELL Immaculada (EEAS)</dc:creator>
  <cp:lastModifiedBy>WES PDFC Administrator</cp:lastModifiedBy>
  <cp:revision>8</cp:revision>
  <cp:lastPrinted>2019-01-09T08:13:00Z</cp:lastPrinted>
  <dcterms:created xsi:type="dcterms:W3CDTF">2019-04-04T13:24:00Z</dcterms:created>
  <dcterms:modified xsi:type="dcterms:W3CDTF">2019-04-23T09:30:00Z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