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99D93A0-CD91-42E3-BEE4-21D67B5ABC0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Calibri"/>
          <w:noProof/>
        </w:rPr>
      </w:pPr>
      <w:r>
        <w:t>1.</w:t>
      </w:r>
      <w:r>
        <w:tab/>
      </w:r>
      <w:r>
        <w:rPr>
          <w:noProof/>
        </w:rPr>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Είναι σκόπιμο να καθορίζονται αυτόνομες δασμολογικές ποσοστώσεις για ορισμένα προϊόντα όταν η παραγωγή στην Ένωση δεν επαρκεί για να καλυφθούν οι ανάγκες του κλάδου χρήσης. Οι ενωσιακές δασμολογικές ποσοστώσεις θα πρέπει να ανοίγονται με μηδενικούς ή μειωμένους δασμολογικούς συντελεστές για ενδεδειγμένες ποσότητες, χωρίς να διαταράσσονται οι αγορές των εν λόγω προϊόντων.</w:t>
      </w:r>
    </w:p>
    <w:p>
      <w:pPr>
        <w:pBdr>
          <w:top w:val="nil"/>
          <w:left w:val="nil"/>
          <w:bottom w:val="nil"/>
          <w:right w:val="nil"/>
          <w:between w:val="nil"/>
          <w:bar w:val="nil"/>
        </w:pBdr>
        <w:spacing w:before="0" w:after="240"/>
        <w:rPr>
          <w:noProof/>
        </w:rPr>
      </w:pPr>
      <w:r>
        <w:rPr>
          <w:noProof/>
        </w:rPr>
        <w:t>Στις 17 Δεκεμβρίου 2013, το Συμβούλιο της Ευρωπαϊκής Ένωσης εξέδωσε τον κανονισμό (ΕΕ) αριθ. 1388/2013 σχετικά με το άνοιγμα και τον τρόπο διαχείρισης αυτόνομων ενωσιακών δασμολογικών ποσοστώσεων για ορισμένα γεωργικά και βιομηχανικά προϊόντα, ώστε η ζήτηση της Ένωσης για τα εν λόγω προϊόντα να μπορεί να καλυφθεί υπό τους ευνοϊκότερους όρους.</w:t>
      </w:r>
    </w:p>
    <w:p>
      <w:pPr>
        <w:pBdr>
          <w:top w:val="nil"/>
          <w:left w:val="nil"/>
          <w:bottom w:val="nil"/>
          <w:right w:val="nil"/>
          <w:between w:val="nil"/>
          <w:bar w:val="nil"/>
        </w:pBdr>
        <w:spacing w:before="0" w:after="240"/>
        <w:rPr>
          <w:noProof/>
        </w:rPr>
      </w:pPr>
      <w:r>
        <w:rPr>
          <w:noProof/>
        </w:rPr>
        <w:t>Ο κανονισμός αυτός επικαιροποιείται ανά εξάμηνο ώστε να ικανοποιούνται οι ανάγκες της βιομηχανίας της Ένωσης. Η Επιτροπή, επικουρούμενη από την ομάδα «Δασμολογική Οικονομία», εξέτασε όλες τις αιτήσεις για αυτόνομες δασμολογικές ποσοστώσεις που υποβλήθηκαν από τα κράτη μέλη.</w:t>
      </w:r>
    </w:p>
    <w:p>
      <w:pPr>
        <w:pBdr>
          <w:top w:val="nil"/>
          <w:left w:val="nil"/>
          <w:bottom w:val="nil"/>
          <w:right w:val="nil"/>
          <w:between w:val="nil"/>
          <w:bar w:val="nil"/>
        </w:pBdr>
        <w:spacing w:before="0" w:after="240"/>
        <w:rPr>
          <w:noProof/>
        </w:rPr>
      </w:pPr>
      <w:r>
        <w:rPr>
          <w:noProof/>
        </w:rPr>
        <w:t>Μετά από την εν λόγω εξέταση, η Επιτροπή θεωρεί ότι δικαιολογείται το άνοιγμα αυτόνομων δασμολογικών ποσοστώσεων για ορισμένα νέα προϊόντα, τα οποία επί του παρόντος δεν απαριθμούνται στο παράρτημα του κανονισμού (ΕΕ) αριθ. 1388/2013 του Συμβουλίου. Σε σχέση με ορισμένα άλλα προϊόντα, η διατύπωση της περιγραφής πρέπει να αλλάξει, θα πρέπει να αποδοθούν νέοι κωδικοί TARIC ή να αυξηθεί ο αρχικός όγκος της ποσόστωσης. Θα πρέπει να διαγραφούν τα προϊόντα για τα οποία η δασμολογική ποσόστωση δεν εξυπηρετεί πλέον τα οικονομικά συμφέροντα της Ένωσης.</w:t>
      </w:r>
    </w:p>
    <w:p>
      <w:pPr>
        <w:pBdr>
          <w:top w:val="nil"/>
          <w:left w:val="nil"/>
          <w:bottom w:val="nil"/>
          <w:right w:val="nil"/>
          <w:between w:val="nil"/>
          <w:bar w:val="nil"/>
        </w:pBdr>
        <w:spacing w:before="0" w:after="240"/>
        <w:rPr>
          <w:rFonts w:eastAsia="Arial Unicode MS"/>
          <w:noProof/>
        </w:rPr>
      </w:pPr>
      <w:r>
        <w:rPr>
          <w:noProof/>
        </w:rPr>
        <w:t>Για λόγους σαφήνειας, κρίνεται σκόπιμο να δημοσιευθεί ενοποιημένη έκδοση του παραρτήματος του κανονισμού (ΕΕ) αριθ. 1388/2013 του Συμβουλίου που θα αντικαταστήσει πλήρως το προηγούμενο παράρτημα.</w:t>
      </w:r>
    </w:p>
    <w:p>
      <w:pPr>
        <w:pStyle w:val="ManualHeading2"/>
        <w:rPr>
          <w:rFonts w:eastAsia="Arial Unicode MS"/>
          <w:noProof/>
          <w:u w:color="000000"/>
          <w:bdr w:val="nil"/>
        </w:rPr>
      </w:pPr>
      <w:r>
        <w:rPr>
          <w:noProof/>
          <w:u w:color="000000"/>
          <w:bdr w:val="nil"/>
        </w:rPr>
        <w:t>•</w:t>
      </w:r>
      <w:r>
        <w:rPr>
          <w:noProof/>
          <w:u w:color="000000"/>
          <w:bdr w:val="nil"/>
        </w:rPr>
        <w:tab/>
        <w:t>Συνέπεια με τις ισχύουσες διατάξεις στον τομέα πολιτικής</w:t>
      </w:r>
    </w:p>
    <w:p>
      <w:pPr>
        <w:rPr>
          <w:noProof/>
        </w:rPr>
      </w:pPr>
      <w:r>
        <w:rPr>
          <w:noProof/>
        </w:rPr>
        <w:t>Η παρούσα πρόταση δεν αποβαίνει σε βάρος των χωρών που έχουν συνάψει προτιμησιακή εμπορική συμφωνία με την Ένωση, ούτε των υποψήφιων χωρών ή των δυνάμει υποψήφιων χωρών για προτιμησιακές συμφωνίες με την Ένωση (π.χ. σύστημα γενικευμένων προτιμήσεων, καθεστώς εμπορικών συναλλαγών της ομάδας των χωρών της Αφρικής, της Καραϊβικής και του Ειρηνικού (ΑΚΕ), συμφωνίες ελεύθερων συναλλαγών).</w:t>
      </w:r>
    </w:p>
    <w:p>
      <w:pPr>
        <w:pStyle w:val="ManualHeading2"/>
        <w:rPr>
          <w:rFonts w:eastAsia="Arial Unicode MS"/>
          <w:noProof/>
          <w:u w:color="000000"/>
          <w:bdr w:val="nil"/>
        </w:rPr>
      </w:pPr>
      <w:r>
        <w:rPr>
          <w:noProof/>
          <w:u w:color="000000"/>
          <w:bdr w:val="nil"/>
        </w:rPr>
        <w:t>•</w:t>
      </w:r>
      <w:r>
        <w:rPr>
          <w:noProof/>
          <w:u w:color="000000"/>
          <w:bdr w:val="nil"/>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πρόταση είναι σύμφωνη με τις πολιτικές της Ένωσης στους τομείς της γεωργίας, του εμπορίου, των επιχειρήσεων, της ανάπτυξης, του περιβάλλοντος και των εξωτερικών σχέσεων.</w:t>
      </w:r>
    </w:p>
    <w:p>
      <w:pPr>
        <w:pStyle w:val="ManualHeading1"/>
        <w:rPr>
          <w:rFonts w:eastAsia="Calibri"/>
          <w:noProof/>
        </w:rPr>
      </w:pPr>
      <w:r>
        <w:t>2.</w:t>
      </w:r>
      <w:r>
        <w:tab/>
      </w:r>
      <w:r>
        <w:rPr>
          <w:noProof/>
        </w:rPr>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Η νομική βάση της παρούσας πρότασης είναι το άρθρο 31 της Συνθήκης για τη λειτουργία της Ευρωπαϊκής Ένωσης (ΣΛΕΕ).</w:t>
      </w:r>
    </w:p>
    <w:p>
      <w:pPr>
        <w:pStyle w:val="ManualHeading2"/>
        <w:rPr>
          <w:rFonts w:eastAsia="Arial Unicode MS"/>
          <w:noProof/>
          <w:u w:color="000000"/>
          <w:bdr w:val="nil"/>
        </w:rPr>
      </w:pPr>
      <w:r>
        <w:rPr>
          <w:noProof/>
          <w:u w:color="000000"/>
          <w:bdr w:val="nil"/>
        </w:rPr>
        <w:t>•</w:t>
      </w:r>
      <w:r>
        <w:rPr>
          <w:noProof/>
          <w:u w:color="000000"/>
          <w:bdr w:val="nil"/>
        </w:rPr>
        <w:tab/>
        <w:t>Επικουρικότητα (σε περίπτωση μη αποκλειστικής αρμοδιότητας)</w:t>
      </w:r>
    </w:p>
    <w:p>
      <w:pPr>
        <w:rPr>
          <w:noProof/>
        </w:rPr>
      </w:pPr>
      <w:r>
        <w:rPr>
          <w:noProof/>
        </w:rPr>
        <w:t>Η πρόταση εμπίπτει στην αποκλειστική αρμοδιότητα της Ένωσης. Ως εκ τούτου, δεν εφαρμόζεται η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Η πρόταση είναι σύμφωνη με την αρχή της αναλογικότητας. Τα προβλεπόμενα μέτρα είναι σύμφωνα με τις αρχές που αποσκοπούν στην απλούστευση των διαδικασιών για τους φορείς που δραστηριοποιούνται στον τομέα του εξωτερικού εμπορίου, όπως ορίζεται στην ανακοίνωση της Επιτροπής για τις αυτόνομες δασμολογικές αναστολές και ποσοστώσεις</w:t>
      </w:r>
      <w:r>
        <w:rPr>
          <w:rStyle w:val="FootnoteReference"/>
          <w:noProof/>
        </w:rPr>
        <w:footnoteReference w:id="1"/>
      </w:r>
      <w:r>
        <w:rPr>
          <w:noProof/>
        </w:rPr>
        <w:t>. Ο παρών κανονισμός δεν υπερβαίνει τα αναγκαία όρια για την επίτευξη των επιδιωκόμενων στόχων σύμφωνα με το άρθρο 5 παράγραφος 4 της Συνθήκης για την Ευρωπαϊκή Ένωση (ΣΕΕ).</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rPr>
          <w:noProof/>
        </w:rPr>
      </w:pPr>
      <w:r>
        <w:rPr>
          <w:noProof/>
        </w:rPr>
        <w:t xml:space="preserve">Δυνάμει του άρθρου 31 της Συνθήκης για τη λειτουργία της Ευρωπαϊκής Ένωσης (ΣΛΕΕ), «οι δασμοί του κοινού δασμολογίου καθορίζονται από το Συμβούλιο μετά από πρόταση της Επιτροπής». Επομένως, ο κανονισμός αποτελεί την ενδεδειγμένη νομική πράξη. </w:t>
      </w:r>
    </w:p>
    <w:p>
      <w:pPr>
        <w:pStyle w:val="ManualHeading1"/>
        <w:rPr>
          <w:rFonts w:eastAsia="Calibri"/>
          <w:noProof/>
        </w:rPr>
      </w:pPr>
      <w:r>
        <w:t>3.</w:t>
      </w:r>
      <w:r>
        <w:tab/>
      </w:r>
      <w:r>
        <w:rPr>
          <w:noProof/>
        </w:rPr>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Το καθεστώς των αυτόνομων δασμολογικών ποσοστώσεων αποτέλεσε μέρος μελέτης αξιολόγησης που πραγματοποιήθηκε το 2013 σχετικά με τις αυτόνομες δασμολογικές αναστολές</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Ο λόγος είναι ότι τα δύο μέτρα είναι παρόμοια, με τη διαφορά ότι οι δασμολογικές ποσοστώσεις περιορίζουν τον όγκο των εισαγωγών. Η αξιολόγηση κατέληξε στο συμπέρασμα ότι η βασική λογική του καθεστώτος παραμένει βάσιμη. Η εξοικονόμηση κόστους για τις επιχειρήσεις της Ένωσης οι οποίες εισάγουν εμπορεύματα στο πλαίσιο του καθεστώτος μπορεί να είναι σημαντική. Με τη σειρά τους, ανάλογα με το προϊόν, την εταιρεία και τον τομέα, τα εν λόγω εξοικονομούμενα ποσά μπορούν να αποφέρουν ευρύτερα οφέλη, όπως ενίσχυση της ανταγωνιστικότητας, αποδοτικότερες μεθόδους παραγωγής και δημιουργία ή διατήρηση θέσεων εργασίας στην Ένωση. Λεπτομερή στοιχεία σχετικά με τα εξοικονομούμενα ποσά στο πλαίσιο του παρόντος κανονισμού παρέχονται στο συνημμένο νομοθετικό δημοσιονομικό δελτίο.</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rPr>
          <w:noProof/>
        </w:rPr>
      </w:pPr>
      <w:r>
        <w:rPr>
          <w:noProof/>
        </w:rPr>
        <w:t>Η αξιολόγηση της εν λόγω πρότασης διενεργήθηκε από την Επιτροπή με τη βοήθεια της ομάδας «Δασμολογική Οικονομία», η οποία αποτελείται από αντιπροσωπείες όλων των κρατών μελών και της Τουρκίας. Η ομάδα συνεδρίασε τρεις φορές πριν συμφωνήσει στις τροποποιήσεις που περιέχονται στην παρούσα πρόταση.</w:t>
      </w:r>
    </w:p>
    <w:p>
      <w:pPr>
        <w:rPr>
          <w:noProof/>
        </w:rPr>
      </w:pPr>
      <w:r>
        <w:rPr>
          <w:noProof/>
        </w:rPr>
        <w:t>Εξέτασε προσεκτικά κάθε αίτηση (νέα ή αίτηση για τροποποίηση). Εξέτασε ιδίως κάθε περίπτωση ώστε να διασφαλιστεί ότι δεν ζημιώνονται οι παραγωγοί της Ένωσης και ότι ενισχύεται και παγιώνεται η ανταγωνιστικότητα της παραγωγής της Ένωσης. Η αξιολόγηση αυτή είναι το αποτέλεσμα συζητήσεων που διεξήχθησαν από τα μέλη της ομάδας «Δασμολογική Οικονομία», καθώς και διαβουλεύσεων που πραγματοποίησαν τα κράτη μέλη με τους οικείους κλάδους, τις ενώσεις, τα εμπορικά επιμελητήρια και άλλους εμπλεκόμενους φορείς.</w:t>
      </w:r>
    </w:p>
    <w:p>
      <w:pPr>
        <w:rPr>
          <w:noProof/>
        </w:rPr>
      </w:pPr>
      <w:r>
        <w:rPr>
          <w:noProof/>
        </w:rPr>
        <w:t>Όλες οι δασμολογικές ποσοστώσεις που παρατίθενται αποτέλεσαν το αντικείμενο συμφωνιών ή συμβιβασμών που επιτεύχθηκαν κατά τις συζητήσεις στην ομάδα «Δασμολογική Οικονομία». Δεν αναφέρθηκαν πιθανοί σοβαροί κίνδυνοι με μη αναστρέψιμες συνέπειες.</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rPr>
          <w:noProof/>
        </w:rPr>
      </w:pPr>
      <w:r>
        <w:rPr>
          <w:noProof/>
        </w:rPr>
        <w:t>Η προτεινόμενη τροποποίηση είναι καθαρά τεχνικής φύσης και αφορά μόνο την κάλυψη των δασμολογικών ποσοστώσεων που παρατίθενται στο παράρτημα του κανονισμού (ΕΕ) αριθ. 1388/2013. Επομένως, δεν πραγματοποιήθηκε εκτίμηση επιπτώσεων για την παρούσα πρόταση.</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πρόταση δεν έχει επιπτώσεις στα θεμελιώδη δικαιώματα.</w:t>
      </w:r>
    </w:p>
    <w:p>
      <w:pPr>
        <w:pStyle w:val="ManualHeading1"/>
        <w:rPr>
          <w:rFonts w:eastAsia="Calibri"/>
          <w:noProof/>
        </w:rPr>
      </w:pPr>
      <w:r>
        <w:t>4.</w:t>
      </w:r>
      <w:r>
        <w:tab/>
      </w:r>
      <w:r>
        <w:rPr>
          <w:noProof/>
        </w:rPr>
        <w:t>ΔΗΜΟΣΙΟΝΟΜΙΚΕΣ ΕΠΙΠΤΩΣΕΙΣ</w:t>
      </w:r>
    </w:p>
    <w:p>
      <w:pPr>
        <w:rPr>
          <w:noProof/>
        </w:rPr>
      </w:pPr>
      <w:r>
        <w:rPr>
          <w:noProof/>
        </w:rPr>
        <w:t>Η παρούσα πρόταση δεν έχει δημοσιονομική επίπτωση στις δαπάνες, αλλά έχει δημοσιονομική επίπτωση στα έσοδα. Οι μη εισπραχθέντες τελωνειακοί δασμοί ανέρχονται συνολικά σε περίπου 1 εκατ. EUR ετησίως. Η επίπτωση στους παραδοσιακούς ίδιους πόρους του προϋπολογισμού είναι 0,8 εκατ. EUR ετησίως (δηλ. 80 % του συνόλου). Στο νομοθετικό δημοσιονομικό δελτίο παρατίθενται λεπτομερέστερα οι δημοσιονομικές επιπτώσεις της πρότασης.</w:t>
      </w:r>
    </w:p>
    <w:p>
      <w:pPr>
        <w:rPr>
          <w:noProof/>
          <w:szCs w:val="24"/>
        </w:rPr>
      </w:pPr>
      <w:r>
        <w:rPr>
          <w:noProof/>
        </w:rPr>
        <w:t>Η απώλεια εσόδων που προέρχονται από τους παραδοσιακούς ίδιους πόρους αντισταθμίζεται από τις συνεισφορές ίδιων πόρων που καταβάλλουν τα κράτη μέλη βάσει του ακαθάριστου εθνικού εισοδήματός (ΑΕΕ) τους.</w:t>
      </w:r>
    </w:p>
    <w:p>
      <w:pPr>
        <w:pStyle w:val="ManualHeading1"/>
        <w:rPr>
          <w:rFonts w:eastAsia="Calibri"/>
          <w:noProof/>
        </w:rPr>
      </w:pPr>
      <w:r>
        <w:t>5.</w:t>
      </w:r>
      <w:r>
        <w:tab/>
      </w:r>
      <w:r>
        <w:rPr>
          <w:noProof/>
        </w:rPr>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Τα προτεινόμενα μέτρα αποτελούν αντικείμενο διαχείρισης στο πλαίσιο του Ενοποιημένου Δασμολογίου της Ευρωπαϊκής Ένωσης (TARIC) και εφαρμόζονται από τις τελωνειακές διοικήσεις των κρατών μελών.</w:t>
      </w:r>
    </w:p>
    <w:p>
      <w:pPr>
        <w:rPr>
          <w:noProof/>
        </w:rPr>
        <w:sectPr>
          <w:footerReference w:type="default" r:id="rId16"/>
          <w:footerReference w:type="first" r:id="rId17"/>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t>2019/0103 (NLE)</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για την τροποποίηση του κανονισμού (ΕΕ) αριθ. 1388/2013 σχετικά με το άνοιγμα και τον τρόπο διαχείρισης αυτόνομων ενωσιακών δασμολογικών ποσοστώσεων για ορισμένα γεωργικά και βιομηχανικά προϊόντα</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31,</w:t>
      </w:r>
    </w:p>
    <w:p>
      <w:pPr>
        <w:rPr>
          <w:noProof/>
        </w:rPr>
      </w:pPr>
      <w:r>
        <w:rPr>
          <w:noProof/>
        </w:rPr>
        <w:t>Έχοντας υπόψη την πρόταση της Ευρωπαϊκής Επιτροπής,</w:t>
      </w:r>
    </w:p>
    <w:p>
      <w:pPr>
        <w:rPr>
          <w:i/>
          <w:noProof/>
        </w:rPr>
      </w:pPr>
      <w:r>
        <w:rPr>
          <w:noProof/>
        </w:rPr>
        <w:t>Εκτιμώντας τα ακόλουθα:</w:t>
      </w:r>
    </w:p>
    <w:p>
      <w:pPr>
        <w:pStyle w:val="ManualConsidrant"/>
        <w:rPr>
          <w:noProof/>
        </w:rPr>
      </w:pPr>
      <w:r>
        <w:t>(1)</w:t>
      </w:r>
      <w:r>
        <w:tab/>
      </w:r>
      <w:r>
        <w:rPr>
          <w:noProof/>
        </w:rPr>
        <w:t>Προκειμένου να διασφαλιστεί ο επαρκής και αδιάκοπος εφοδιασμός σε ορισμένα γεωργικά και βιομηχανικά προϊόντα τα οποία παράγονται σε ανεπαρκείς ποσότητες στην Ένωση και κατ’ αυτόν τον τρόπο να αποφευχθεί κάθε διαταραχή της αγοράς για τα εν λόγω προϊόντα, ανοίχθηκαν αυτόνομες δασμολογικές ποσοστώσεις με τον κανονισμό (ΕΕ) αριθ. 1388/2013 του Συμβουλίου</w:t>
      </w:r>
      <w:r>
        <w:rPr>
          <w:rStyle w:val="FootnoteReference"/>
          <w:noProof/>
        </w:rPr>
        <w:footnoteReference w:id="3"/>
      </w:r>
      <w:r>
        <w:rPr>
          <w:noProof/>
        </w:rPr>
        <w:t>. Στο πλαίσιο των εν λόγω δασμολογικών ποσοστώσεων, τα προϊόντα μπορούν να εισάγονται στην Ένωση με μειωμένο ή μηδενικό δασμολογικό συντελεστή.</w:t>
      </w:r>
    </w:p>
    <w:p>
      <w:pPr>
        <w:pStyle w:val="ManualConsidrant"/>
        <w:rPr>
          <w:noProof/>
        </w:rPr>
      </w:pPr>
      <w:r>
        <w:t>(2)</w:t>
      </w:r>
      <w:r>
        <w:tab/>
      </w:r>
      <w:r>
        <w:rPr>
          <w:noProof/>
        </w:rPr>
        <w:t>Δεδομένου ότι είναι προς το συμφέρον της Ένωσης να διασφαλιστεί επαρκής εφοδιασμός σε ορισμένα βιομηχανικά προϊόντα και λαμβανομένου υπόψη του γεγονότος ότι όμοια ή ισοδύναμα προϊόντα ή προϊόντα υποκατάστασης δεν παράγονται σε επαρκείς ποσότητες εντός της Ένωσης, είναι αναγκαίο να ανοιχθούν νέες δασμολογικές ποσοστώσεις με αύξοντες αριθμούς 09.2594, 09.2595, 09.2596, 09.2597, 09.2598 και 09.2599 με μηδενικό δασμό για ενδεδειγμένες ποσότητες των εν λόγω προϊόντων.</w:t>
      </w:r>
    </w:p>
    <w:p>
      <w:pPr>
        <w:pStyle w:val="ManualConsidrant"/>
        <w:rPr>
          <w:noProof/>
        </w:rPr>
      </w:pPr>
      <w:r>
        <w:t>(3)</w:t>
      </w:r>
      <w:r>
        <w:tab/>
      </w:r>
      <w:r>
        <w:rPr>
          <w:noProof/>
        </w:rPr>
        <w:t>Στην περίπτωση των δασμολογικών ποσοστώσεων με αύξοντες αριθμούς 09.2679, 09.2683 και 09.2888, οι όγκοι της ποσόστωσης θα πρέπει να αυξηθούν, δεδομένου ότι μια αύξηση είναι προς το συμφέρον της Ένωσης. Στην περίπτωση της δασμολογικής ποσόστωσης με αύξοντα αριθμό 09.2723, ο όγκος της ποσόστωσης θα πρέπει να αυξηθεί αναδρομικά για την περίοδο από 1 Ιανουαρίου έως 31 Δεκεμβρίου 2018.</w:t>
      </w:r>
    </w:p>
    <w:p>
      <w:pPr>
        <w:pStyle w:val="ManualConsidrant"/>
        <w:rPr>
          <w:noProof/>
        </w:rPr>
      </w:pPr>
      <w:r>
        <w:t>(4)</w:t>
      </w:r>
      <w:r>
        <w:tab/>
      </w:r>
      <w:r>
        <w:rPr>
          <w:noProof/>
        </w:rPr>
        <w:t>Για τη δασμολογική ποσόστωση με αύξοντα αριθμό 09.2740, τα προϊόντα που καλύπτονται από την εν λόγω δασμολογική ποσόστωση δεν υπάγονται μόνο στον κωδικό ΣΟ 2309 90 96, αλλά και στον κωδικό ΣΟ 2309 90 31. Ως εκ τούτου, θα πρέπει να προσαρμοστεί η ένδειξη του κωδικού ΣΟ για την εν λόγω δασμολογική ποσόστωση.</w:t>
      </w:r>
    </w:p>
    <w:p>
      <w:pPr>
        <w:pStyle w:val="ManualConsidrant"/>
        <w:rPr>
          <w:noProof/>
        </w:rPr>
      </w:pPr>
      <w:r>
        <w:t>(5)</w:t>
      </w:r>
      <w:r>
        <w:tab/>
      </w:r>
      <w:r>
        <w:rPr>
          <w:noProof/>
        </w:rPr>
        <w:t>Δεδομένου ότι δεν είναι πλέον προς το συμφέρον της Ένωσης να διατηρηθεί η δασμολογική ποσόστωση με αύξοντα αριθμό 09.2870, η εν λόγω ποσόστωση θα πρέπει να κλείσει.</w:t>
      </w:r>
    </w:p>
    <w:p>
      <w:pPr>
        <w:pStyle w:val="ManualConsidrant"/>
        <w:rPr>
          <w:noProof/>
        </w:rPr>
      </w:pPr>
      <w:r>
        <w:t>(6)</w:t>
      </w:r>
      <w:r>
        <w:tab/>
      </w:r>
      <w:r>
        <w:rPr>
          <w:noProof/>
        </w:rPr>
        <w:t>Επιπλέον, θα πρέπει να κλείσουν οι δασμολογικές ποσοστώσεις με αύξοντες αριθμούς 09.2633, 09.2643, 09.2620 και 09.2932, ως αποτέλεσμα της εφαρμογής της συμφωνίας υπό τη μορφή δήλωσης για την επέκταση του εμπορίου προϊόντων της τεχνολογίας πληροφοριών</w:t>
      </w:r>
      <w:r>
        <w:rPr>
          <w:rStyle w:val="FootnoteReference"/>
          <w:noProof/>
        </w:rPr>
        <w:footnoteReference w:id="4"/>
      </w:r>
      <w:r>
        <w:rPr>
          <w:noProof/>
        </w:rPr>
        <w:t>, με την οποία μειώθηκε ο δασμολογικός συντελεστής για τα εν λόγω προϊόντα στο μηδέν.</w:t>
      </w:r>
    </w:p>
    <w:p>
      <w:pPr>
        <w:pStyle w:val="ManualConsidrant"/>
        <w:rPr>
          <w:noProof/>
        </w:rPr>
      </w:pPr>
      <w:r>
        <w:t>(7)</w:t>
      </w:r>
      <w:r>
        <w:tab/>
      </w:r>
      <w:r>
        <w:rPr>
          <w:noProof/>
        </w:rPr>
        <w:t>Λαμβανομένων υπόψη των τροποποιήσεων που πρέπει να επέλθουν και για λόγους σαφήνειας, θα πρέπει να αντικατασταθεί το παράρτημα του κανονισμού (ΕΕ) αριθ. 1388/2013.</w:t>
      </w:r>
    </w:p>
    <w:p>
      <w:pPr>
        <w:pStyle w:val="ManualConsidrant"/>
        <w:rPr>
          <w:noProof/>
        </w:rPr>
      </w:pPr>
      <w:r>
        <w:t>(8)</w:t>
      </w:r>
      <w:r>
        <w:tab/>
      </w:r>
      <w:r>
        <w:rPr>
          <w:noProof/>
        </w:rPr>
        <w:t>Για να αποφευχθεί τυχόν διακοπή της εφαρμογής του καθεστώτος των δασμολογικών ποσοστώσεων και για λόγους συμμόρφωσης με τις κατευθυντήριες γραμμές που παρατίθενται στην ανακοίνωση της Επιτροπής σχετικά με τις αυτόνομες δασμολογικές αναστολές και ποσοστώσεις</w:t>
      </w:r>
      <w:r>
        <w:rPr>
          <w:rStyle w:val="FootnoteReference"/>
          <w:noProof/>
        </w:rPr>
        <w:footnoteReference w:id="5"/>
      </w:r>
      <w:r>
        <w:rPr>
          <w:noProof/>
        </w:rPr>
        <w:t>, οι τροποποιήσεις που προβλέπονται στον παρόντα κανονισμό όσον αφορά τις δασμολογικές ποσοστώσεις για τα εν λόγω προϊόντα πρέπει να εφαρμόζονται από την 1η Ιουλίου 2019 και, για τη δασμολογική ποσόστωση με αύξοντα αριθμό 09.2723, από την 1η Ιανουαρίου 2018. Επομένως, ο παρών κανονισμός θα πρέπει να αρχίσει να ισχύει επειγόντως,</w:t>
      </w:r>
    </w:p>
    <w:p>
      <w:pPr>
        <w:pStyle w:val="Formuledadoption"/>
        <w:rPr>
          <w:noProof/>
        </w:rPr>
      </w:pPr>
      <w:r>
        <w:rPr>
          <w:noProof/>
        </w:rPr>
        <w:t>ΕΞΕΔΩΣΕ ΤΟΝ ΠΑΡΟΝΤΑ ΚΑΝΟΝΙΣΜΟ:</w:t>
      </w:r>
    </w:p>
    <w:p>
      <w:pPr>
        <w:pStyle w:val="Titrearticle"/>
        <w:rPr>
          <w:i w:val="0"/>
          <w:noProof/>
        </w:rPr>
      </w:pPr>
      <w:r>
        <w:rPr>
          <w:i w:val="0"/>
          <w:noProof/>
        </w:rPr>
        <w:t>Άρθρο 1</w:t>
      </w:r>
    </w:p>
    <w:p>
      <w:pPr>
        <w:rPr>
          <w:rFonts w:cs="EUAlbertina"/>
          <w:noProof/>
        </w:rPr>
      </w:pPr>
      <w:r>
        <w:rPr>
          <w:noProof/>
        </w:rPr>
        <w:t>Το παράρτημα του κανονισμού (ΕΕ) αριθ. 1388/2013 τροποποιείται ως εξής:</w:t>
      </w:r>
    </w:p>
    <w:p>
      <w:pPr>
        <w:rPr>
          <w:rFonts w:cs="EUAlbertina"/>
          <w:noProof/>
        </w:rPr>
      </w:pPr>
      <w:r>
        <w:rPr>
          <w:noProof/>
        </w:rPr>
        <w:t>(1)</w:t>
      </w:r>
      <w:r>
        <w:rPr>
          <w:noProof/>
        </w:rPr>
        <w:tab/>
        <w:t>η σειρά για τη δασμολογική ποσόστωση με αύξοντα αριθμό 09.2723 αντικαθίσταται από το ακόλουθο κείμενο:</w:t>
      </w:r>
    </w:p>
    <w:tbl>
      <w:tblPr>
        <w:tblStyle w:val="Listtable"/>
        <w:tblW w:w="0" w:type="auto"/>
        <w:tblLook w:val="0000" w:firstRow="0" w:lastRow="0" w:firstColumn="0" w:lastColumn="0" w:noHBand="0" w:noVBand="0"/>
      </w:tblPr>
      <w:tblGrid>
        <w:gridCol w:w="720"/>
        <w:gridCol w:w="1037"/>
        <w:gridCol w:w="285"/>
        <w:gridCol w:w="4970"/>
        <w:gridCol w:w="562"/>
        <w:gridCol w:w="975"/>
        <w:gridCol w:w="512"/>
      </w:tblGrid>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Πολυ(οξυ-1,4-φαινυλενοσουλφονυλο-1,4-φαινυλενοοξυ-4,4′-διφαινυλένιο)</w:t>
            </w:r>
          </w:p>
        </w:tc>
        <w:tc>
          <w:tcPr>
            <w:tcW w:w="562" w:type="dxa"/>
            <w:tcBorders>
              <w:left w:val="single" w:sz="2" w:space="0" w:color="auto"/>
            </w:tcBorders>
          </w:tcPr>
          <w:p>
            <w:pPr>
              <w:pStyle w:val="Paragraph"/>
              <w:rPr>
                <w:noProof/>
              </w:rPr>
            </w:pPr>
            <w:r>
              <w:rPr>
                <w:noProof/>
              </w:rPr>
              <w:t xml:space="preserve">1.1.-31.12. </w:t>
            </w:r>
          </w:p>
        </w:tc>
        <w:tc>
          <w:tcPr>
            <w:tcW w:w="975" w:type="dxa"/>
            <w:tcBorders>
              <w:left w:val="single" w:sz="2" w:space="0" w:color="auto"/>
            </w:tcBorders>
          </w:tcPr>
          <w:p>
            <w:pPr>
              <w:pStyle w:val="Paragraph"/>
              <w:rPr>
                <w:noProof/>
              </w:rPr>
            </w:pPr>
            <w:r>
              <w:rPr>
                <w:noProof/>
              </w:rPr>
              <w:t>5 000 τόνοι</w:t>
            </w:r>
          </w:p>
        </w:tc>
        <w:tc>
          <w:tcPr>
            <w:tcW w:w="0" w:type="auto"/>
            <w:tcBorders>
              <w:left w:val="single" w:sz="2" w:space="0" w:color="auto"/>
            </w:tcBorders>
          </w:tcPr>
          <w:p>
            <w:pPr>
              <w:pStyle w:val="Paragraph"/>
              <w:rPr>
                <w:noProof/>
              </w:rPr>
            </w:pPr>
            <w:r>
              <w:rPr>
                <w:noProof/>
              </w:rPr>
              <w:t>0 %»·</w:t>
            </w:r>
          </w:p>
        </w:tc>
      </w:tr>
    </w:tbl>
    <w:p>
      <w:pPr>
        <w:rPr>
          <w:noProof/>
        </w:rPr>
      </w:pPr>
      <w:r>
        <w:rPr>
          <w:noProof/>
        </w:rPr>
        <w:t>(2)</w:t>
      </w:r>
      <w:r>
        <w:rPr>
          <w:noProof/>
        </w:rPr>
        <w:tab/>
        <w:t>το παράρτημα αντικαθίσταται από το κείμενο του παραρτήματος του παρόντος κανονισμού.</w:t>
      </w:r>
    </w:p>
    <w:p>
      <w:pPr>
        <w:pStyle w:val="Titrearticle"/>
        <w:rPr>
          <w:i w:val="0"/>
          <w:noProof/>
        </w:rPr>
      </w:pPr>
      <w:r>
        <w:rPr>
          <w:i w:val="0"/>
          <w:noProof/>
        </w:rPr>
        <w:t>Άρθρο 2</w:t>
      </w:r>
    </w:p>
    <w:p>
      <w:pPr>
        <w:rPr>
          <w:iCs/>
          <w:noProof/>
        </w:rPr>
      </w:pPr>
      <w:r>
        <w:rPr>
          <w:noProof/>
        </w:rPr>
        <w:t>Ο παρών κανονισμός αρχίζει να ισχύει την επόμενη ημέρα από τη δημοσίευσή του στην Επίσημη Εφημερίδα της Ευρωπαϊκής Ένωσης.</w:t>
      </w:r>
    </w:p>
    <w:p>
      <w:pPr>
        <w:rPr>
          <w:noProof/>
        </w:rPr>
      </w:pPr>
      <w:r>
        <w:rPr>
          <w:noProof/>
        </w:rPr>
        <w:t xml:space="preserve">Εφαρμόζεται από την 1η Ιουλίου 2019. </w:t>
      </w:r>
    </w:p>
    <w:p>
      <w:pPr>
        <w:rPr>
          <w:noProof/>
        </w:rPr>
      </w:pPr>
      <w:r>
        <w:rPr>
          <w:noProof/>
        </w:rPr>
        <w:t>Ωστόσο, το άρθρο 1 σημείο 1 εφαρμόζεται από την 1η Ιανουαρίου 2018.</w:t>
      </w:r>
    </w:p>
    <w:p>
      <w:pPr>
        <w:pStyle w:val="Applicationdirecte"/>
        <w:keepNext/>
        <w:keepLines/>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keepNext/>
        <w:spacing w:before="360"/>
        <w:outlineLvl w:val="0"/>
        <w:rPr>
          <w:b/>
          <w:smallCaps/>
          <w:noProof/>
        </w:rPr>
      </w:pPr>
      <w:r>
        <w:rPr>
          <w:b/>
          <w:smallCaps/>
          <w:noProof/>
        </w:rPr>
        <w:t>1.</w:t>
      </w:r>
      <w:r>
        <w:rPr>
          <w:b/>
          <w:smallCaps/>
          <w:noProof/>
        </w:rPr>
        <w:tab/>
        <w:t>ΤΙΤΛΟΣ ΤΗΣ ΠΡΟΤΑΣΗΣ:</w:t>
      </w:r>
    </w:p>
    <w:p>
      <w:pPr>
        <w:rPr>
          <w:noProof/>
        </w:rPr>
      </w:pPr>
      <w:r>
        <w:rPr>
          <w:noProof/>
        </w:rPr>
        <w:t>Κανονισμός του Συμβουλίου για την τροποποίηση του κανονισμού (ΕΕ) αριθ. 1388/2013 σχετικά με το άνοιγμα και τον τρόπο διαχείρισης αυτόνομων ενωσιακών δασμολογικών ποσοστώσεων για ορισμένα γεωργικά και βιομηχανικά προϊόντα</w:t>
      </w:r>
    </w:p>
    <w:p>
      <w:pPr>
        <w:keepNext/>
        <w:spacing w:before="360"/>
        <w:outlineLvl w:val="0"/>
        <w:rPr>
          <w:b/>
          <w:smallCaps/>
          <w:noProof/>
        </w:rPr>
      </w:pPr>
      <w:r>
        <w:rPr>
          <w:b/>
          <w:smallCaps/>
          <w:noProof/>
        </w:rPr>
        <w:t>2.</w:t>
      </w:r>
      <w:r>
        <w:rPr>
          <w:b/>
          <w:smallCaps/>
          <w:noProof/>
        </w:rPr>
        <w:tab/>
        <w:t>ΓΡΑΜΜΕΣ ΤΟΥ ΠΡΟΫΠΟΛΟΓΙΣΜΟΥ</w:t>
      </w:r>
    </w:p>
    <w:p>
      <w:pPr>
        <w:spacing w:before="100" w:beforeAutospacing="1" w:after="100" w:afterAutospacing="1"/>
        <w:jc w:val="left"/>
        <w:rPr>
          <w:rFonts w:eastAsia="Times New Roman"/>
          <w:noProof/>
          <w:szCs w:val="24"/>
        </w:rPr>
      </w:pPr>
      <w:r>
        <w:rPr>
          <w:noProof/>
        </w:rPr>
        <w:t>Κεφάλαιο και άρθρο:</w:t>
      </w:r>
      <w:r>
        <w:rPr>
          <w:noProof/>
        </w:rPr>
        <w:br/>
        <w:t>Κεφάλαιο 1 2 και άρθρο 1 2 0 – Τελωνειακοί δασμοί και λοιποί δασμοί που αναφέρονται στο άρθρο 2 παράγραφος 1 στοιχείο α) της απόφασης 2014/335/ΕΕ, Ευρατόμ·</w:t>
      </w:r>
    </w:p>
    <w:p>
      <w:pPr>
        <w:spacing w:before="100" w:beforeAutospacing="1" w:after="100" w:afterAutospacing="1"/>
        <w:jc w:val="left"/>
        <w:rPr>
          <w:rFonts w:eastAsia="Times New Roman"/>
          <w:noProof/>
          <w:szCs w:val="24"/>
        </w:rPr>
      </w:pPr>
      <w:r>
        <w:rPr>
          <w:noProof/>
        </w:rPr>
        <w:t>Ποσό εγγεγραμμένο στον προϋπολογισμό για το έτος 2019 (21 471 164 786 EUR)</w:t>
      </w:r>
    </w:p>
    <w:p>
      <w:pPr>
        <w:keepNext/>
        <w:spacing w:before="360"/>
        <w:outlineLvl w:val="0"/>
        <w:rPr>
          <w:b/>
          <w:smallCaps/>
          <w:noProof/>
        </w:rPr>
      </w:pPr>
      <w:r>
        <w:rPr>
          <w:b/>
          <w:smallCaps/>
          <w:noProof/>
        </w:rPr>
        <w:t>3.</w:t>
      </w:r>
      <w:r>
        <w:rPr>
          <w:b/>
          <w:smallCaps/>
          <w:noProof/>
        </w:rPr>
        <w:tab/>
        <w:t>ΔΗΜΟΣΙΟΝΟΜΙΚΕΣ ΕΠΙΠΤΩΣΕΙΣ</w:t>
      </w:r>
    </w:p>
    <w:p>
      <w:pPr>
        <w:rPr>
          <w:noProof/>
        </w:rPr>
      </w:pPr>
      <w:r>
        <w:rPr>
          <w:noProof/>
        </w:rPr>
        <w:sym w:font="Wingdings" w:char="F0A8"/>
      </w:r>
      <w:r>
        <w:rPr>
          <w:noProof/>
        </w:rPr>
        <w:tab/>
        <w:t>Πρόταση χωρίς δημοσιονομική επίπτωση</w:t>
      </w:r>
    </w:p>
    <w:p>
      <w:pPr>
        <w:rPr>
          <w:noProof/>
        </w:rPr>
      </w:pPr>
      <w:r>
        <w:rPr>
          <w:noProof/>
        </w:rPr>
        <w:t>X</w:t>
      </w:r>
      <w:r>
        <w:rPr>
          <w:noProof/>
        </w:rPr>
        <w:tab/>
        <w:t>Πρόταση χωρίς δημοσιονομική επίπτωση στις δαπάνες αλλά με δημοσιονομική επίπτωση στα έσοδα. Η επίπτωση στα έσοδα είναι η ακόλουθη:</w:t>
      </w:r>
    </w:p>
    <w:p>
      <w:pPr>
        <w:jc w:val="right"/>
        <w:rPr>
          <w:noProof/>
          <w:sz w:val="18"/>
        </w:rPr>
      </w:pPr>
      <w:r>
        <w:rPr>
          <w:noProof/>
        </w:rPr>
        <w:t>(εκατ. EUR με ένα δεκαδικό ψηφίο)</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Γραμμή προϋπολογισμού</w:t>
            </w:r>
          </w:p>
        </w:tc>
        <w:tc>
          <w:tcPr>
            <w:tcW w:w="2879" w:type="dxa"/>
          </w:tcPr>
          <w:p>
            <w:pPr>
              <w:jc w:val="center"/>
              <w:rPr>
                <w:noProof/>
              </w:rPr>
            </w:pPr>
            <w:r>
              <w:rPr>
                <w:noProof/>
              </w:rPr>
              <w:t>Έσοδα</w:t>
            </w:r>
            <w:r>
              <w:rPr>
                <w:rStyle w:val="FootnoteReference"/>
                <w:noProof/>
              </w:rPr>
              <w:footnoteReference w:id="6"/>
            </w:r>
          </w:p>
        </w:tc>
        <w:tc>
          <w:tcPr>
            <w:tcW w:w="2040" w:type="dxa"/>
          </w:tcPr>
          <w:p>
            <w:pPr>
              <w:jc w:val="center"/>
              <w:rPr>
                <w:noProof/>
              </w:rPr>
            </w:pPr>
            <w:r>
              <w:rPr>
                <w:noProof/>
              </w:rPr>
              <w:t>Περίοδος 6 μηνών, που αρχίζει την ηη/μμ/εεεε</w:t>
            </w:r>
          </w:p>
        </w:tc>
        <w:tc>
          <w:tcPr>
            <w:tcW w:w="2160" w:type="dxa"/>
          </w:tcPr>
          <w:p>
            <w:pPr>
              <w:jc w:val="center"/>
              <w:rPr>
                <w:noProof/>
              </w:rPr>
            </w:pPr>
            <w:r>
              <w:rPr>
                <w:noProof/>
              </w:rPr>
              <w:t>[Έτος: δεύτερο εξάμηνο του 2019]</w:t>
            </w:r>
          </w:p>
        </w:tc>
      </w:tr>
      <w:tr>
        <w:tc>
          <w:tcPr>
            <w:tcW w:w="1321" w:type="dxa"/>
          </w:tcPr>
          <w:p>
            <w:pPr>
              <w:rPr>
                <w:noProof/>
              </w:rPr>
            </w:pPr>
            <w:r>
              <w:rPr>
                <w:noProof/>
              </w:rPr>
              <w:t>Άρθρο 120</w:t>
            </w:r>
          </w:p>
        </w:tc>
        <w:tc>
          <w:tcPr>
            <w:tcW w:w="2879" w:type="dxa"/>
          </w:tcPr>
          <w:p>
            <w:pPr>
              <w:jc w:val="center"/>
              <w:rPr>
                <w:i/>
                <w:noProof/>
              </w:rPr>
            </w:pPr>
            <w:r>
              <w:rPr>
                <w:i/>
                <w:noProof/>
              </w:rPr>
              <w:t>Επιπτώσεις στους ίδιους πόρους</w:t>
            </w:r>
          </w:p>
        </w:tc>
        <w:tc>
          <w:tcPr>
            <w:tcW w:w="2040" w:type="dxa"/>
          </w:tcPr>
          <w:p>
            <w:pPr>
              <w:jc w:val="center"/>
              <w:rPr>
                <w:noProof/>
              </w:rPr>
            </w:pPr>
            <w:r>
              <w:rPr>
                <w:noProof/>
              </w:rPr>
              <w:t>01/07/2018</w:t>
            </w:r>
          </w:p>
        </w:tc>
        <w:tc>
          <w:tcPr>
            <w:tcW w:w="2160" w:type="dxa"/>
          </w:tcPr>
          <w:p>
            <w:pPr>
              <w:pStyle w:val="ListParagraph"/>
              <w:rPr>
                <w:noProof/>
              </w:rPr>
            </w:pPr>
            <w:r>
              <w:rPr>
                <w:noProof/>
              </w:rPr>
              <w:t>-0,4</w:t>
            </w:r>
          </w:p>
        </w:tc>
      </w:tr>
    </w:tbl>
    <w:p>
      <w:pPr>
        <w:spacing w:before="100" w:beforeAutospacing="1" w:after="100" w:afterAutospacing="1"/>
        <w:jc w:val="left"/>
        <w:rPr>
          <w:noProof/>
          <w:szCs w:val="24"/>
        </w:rPr>
      </w:pPr>
    </w:p>
    <w:p>
      <w:pPr>
        <w:spacing w:before="100" w:beforeAutospacing="1" w:after="100" w:afterAutospacing="1"/>
        <w:rPr>
          <w:noProof/>
          <w:szCs w:val="24"/>
        </w:rPr>
      </w:pPr>
      <w:r>
        <w:rPr>
          <w:noProof/>
        </w:rPr>
        <w:t xml:space="preserve">Το παράρτημα περιλαμβάνει έξι νέα προϊόντα. Οι μη εισπραττόμενοι δασμοί που αντιστοιχούν στις εν λόγω δασμολογικές ποσοστώσεις, υπολογιζόμενοι βάσει των προβλέψεων του αιτούμενου κράτους μέλους για το 2019, ανέρχονται σε 4 006 350 EUR ετησίως. </w:t>
      </w:r>
    </w:p>
    <w:p>
      <w:pPr>
        <w:spacing w:before="0" w:after="0"/>
        <w:rPr>
          <w:rFonts w:ascii="Arial" w:eastAsia="Times New Roman" w:hAnsi="Arial" w:cs="Arial"/>
          <w:noProof/>
          <w:sz w:val="20"/>
          <w:szCs w:val="20"/>
        </w:rPr>
      </w:pPr>
      <w:r>
        <w:rPr>
          <w:noProof/>
        </w:rPr>
        <w:t>Από το παράρτημα του παρόντος κανονισμού έχουν διαγραφεί δύο προϊόντα τα οποία αντιστοιχούν στους τελωνειακούς δασμούς που επιβάλλονται εκ νέου. Αυτό αντιπροσωπεύει αύξηση ύψους 3 014 000 EUR ετησίως όσον αφορά την είσπραξη των δασμών.</w:t>
      </w:r>
    </w:p>
    <w:p>
      <w:pPr>
        <w:spacing w:before="100" w:beforeAutospacing="1" w:after="100" w:afterAutospacing="1"/>
        <w:rPr>
          <w:noProof/>
          <w:szCs w:val="24"/>
        </w:rPr>
      </w:pPr>
      <w:r>
        <w:rPr>
          <w:noProof/>
        </w:rPr>
        <w:t>Βάσει των ανωτέρω, η επίπτωση στην απώλεια εσόδων για τον προϋπολογισμό της ΕΕ που προκύπτει από τον παρόντα κανονισμό εκτιμάται σε 4 006 350 EUR – 3 014 000 EUR = 1 εκατ. EUR (ακαθάριστο ποσό, συμπεριλαμβανομένων των εξόδων είσπραξης) x 0,8 = 0,8 εκατ. EUR ετησίως (καθαρό ποσό).</w:t>
      </w:r>
    </w:p>
    <w:p>
      <w:pPr>
        <w:rPr>
          <w:noProof/>
        </w:rPr>
      </w:pPr>
      <w:r>
        <w:rPr>
          <w:noProof/>
        </w:rPr>
        <w:t>4.</w:t>
      </w:r>
      <w:r>
        <w:rPr>
          <w:noProof/>
        </w:rPr>
        <w:tab/>
      </w:r>
      <w:r>
        <w:rPr>
          <w:b/>
          <w:noProof/>
        </w:rPr>
        <w:t>ΜΕΤΡΑ ΓΙΑ ΤΗΝ ΚΑΤΑΠΟΛΕΜΗΣΗ ΤΗΣ ΑΠΑΤΗΣ</w:t>
      </w:r>
    </w:p>
    <w:p>
      <w:pPr>
        <w:rPr>
          <w:noProof/>
        </w:rPr>
      </w:pPr>
      <w:r>
        <w:rPr>
          <w:noProof/>
        </w:rPr>
        <w:t>Προβλέπεται η διενέργεια ελέγχων σχετικά με τον ειδικό προορισμό ορισμένων προϊόντων που καλύπτονται από τον παρόντα κανονισμό του Συμβουλίου, σύμφωνα με το άρθρο 254 του κανονισμού (ΕΕ) αριθ. 952/2013 του Ευρωπαϊκού Κοινοβουλίου και του Συμβουλίου, της 9ης Οκτωβρίου 2013, για τη θέσπιση του ενωσιακού τελωνειακού κώδικα.</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ΕΕ C 363 της 13.12.2011, σ. 6.</w:t>
      </w:r>
    </w:p>
  </w:footnote>
  <w:footnote w:id="2">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3">
    <w:p>
      <w:pPr>
        <w:pStyle w:val="FootnoteText"/>
      </w:pPr>
      <w:r>
        <w:rPr>
          <w:rStyle w:val="FootnoteReference"/>
        </w:rPr>
        <w:footnoteRef/>
      </w:r>
      <w:r>
        <w:tab/>
        <w:t xml:space="preserve">Κανονισμός (ΕΕ) αριθ. 1388/2013 του Συμβουλίου, της 17ης Δεκεμβρίου 2013, σχετικά με το άνοιγμα και τον τρόπο διαχείρισης αυτόνομων ενωσιακών δασμολογικών ποσοστώσεων για ορισμένα γεωργικά και βιομηχανικά προϊόντα και για την κατάργηση του κανονισμού (ΕΕ) αριθ. 7/2010 (ΕΕ L 354 της 28.12.2013, σ. 319). </w:t>
      </w:r>
    </w:p>
  </w:footnote>
  <w:footnote w:id="4">
    <w:p>
      <w:pPr>
        <w:pStyle w:val="FootnoteText"/>
      </w:pPr>
      <w:r>
        <w:rPr>
          <w:rStyle w:val="FootnoteReference"/>
        </w:rPr>
        <w:footnoteRef/>
      </w:r>
      <w:r>
        <w:tab/>
      </w:r>
      <w:hyperlink r:id="rId2" w:history="1">
        <w:r>
          <w:rPr>
            <w:rStyle w:val="Hyperlink"/>
            <w:color w:val="auto"/>
            <w:sz w:val="19"/>
            <w:szCs w:val="19"/>
            <w:shd w:val="clear" w:color="auto" w:fill="FFFFFF"/>
          </w:rPr>
          <w:t>ΕΕ L 161 της 18.6.2016, σ. 4</w:t>
        </w:r>
      </w:hyperlink>
      <w:r>
        <w:rPr>
          <w:sz w:val="19"/>
          <w:szCs w:val="19"/>
          <w:shd w:val="clear" w:color="auto" w:fill="FFFFFF"/>
        </w:rPr>
        <w:t>.</w:t>
      </w:r>
    </w:p>
  </w:footnote>
  <w:footnote w:id="5">
    <w:p>
      <w:pPr>
        <w:pStyle w:val="FootnoteText"/>
      </w:pPr>
      <w:r>
        <w:rPr>
          <w:rStyle w:val="FootnoteReference"/>
        </w:rPr>
        <w:footnoteRef/>
      </w:r>
      <w:r>
        <w:tab/>
      </w:r>
      <w:hyperlink r:id="rId3" w:history="1">
        <w:r>
          <w:rPr>
            <w:rStyle w:val="Hyperlink"/>
            <w:color w:val="auto"/>
            <w:sz w:val="19"/>
            <w:szCs w:val="19"/>
            <w:shd w:val="clear" w:color="auto" w:fill="FFFFFF"/>
          </w:rPr>
          <w:t>ΕΕ C 363 της 13.12.2011, σ. 6</w:t>
        </w:r>
      </w:hyperlink>
      <w:r>
        <w:rPr>
          <w:sz w:val="19"/>
          <w:szCs w:val="19"/>
          <w:shd w:val="clear" w:color="auto" w:fill="FFFFFF"/>
        </w:rPr>
        <w:t>.</w:t>
      </w:r>
    </w:p>
  </w:footnote>
  <w:footnote w:id="6">
    <w:p>
      <w:pPr>
        <w:pStyle w:val="FootnoteText"/>
        <w:ind w:left="0" w:firstLine="0"/>
      </w:pPr>
      <w:r>
        <w:rPr>
          <w:rStyle w:val="FootnoteReference"/>
        </w:rPr>
        <w:footnoteRef/>
      </w:r>
      <w:r>
        <w:tab/>
        <w:t xml:space="preserve">Όσον αφορά τους παραδοσιακούς ίδιους πόρους (δασμούς, εισφορές ζάχαρης), τα αναφερόμενα ποσά πρέπει να είναι καθαρά </w:t>
      </w:r>
      <w:r>
        <w:tab/>
        <w:t>ποσά, δηλαδή ακαθάριστα ποσά μετά την αφαίρεση του 20 % για έξοδα είσπραξης</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8: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D99D93A0-CD91-42E3-BEE4-21D67B5ABC07"/>
    <w:docVar w:name="LW_COVERPAGE_TYPE" w:val="1"/>
    <w:docVar w:name="LW_CROSSREFERENCE" w:val="&lt;UNUSED&gt;"/>
    <w:docVar w:name="LW_DocType" w:val="COM"/>
    <w:docVar w:name="LW_EMISSION" w:val="2.5.2019"/>
    <w:docVar w:name="LW_EMISSION_ISODATE" w:val="2019-05-02"/>
    <w:docVar w:name="LW_EMISSION_LOCATION" w:val="BRX"/>
    <w:docVar w:name="LW_EMISSION_PREFIX" w:val="Βρυξέλλες,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03"/>
    <w:docVar w:name="LW_REF.II.NEW.CP_YEAR" w:val="2019"/>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u957? \u964?\u961?\u959?\u960?\u959?\u960?\u959?\u943?\u951?\u963?\u951? \u964?\u959?\u965? \u954?\u945?\u957?\u959?\u957?\u953?\u963?\u956?\u959?\u973? (\u917?\u917?) \u945?\u961?\u953?\u952?. 1388/2013 \u963?\u967?\u949?\u964?\u953?\u954?\u940? \u956?\u949? \u964?\u959? \u940?\u957?\u959?\u953?\u947?\u956?\u945? \u954?\u945?\u953? \u964?\u959?\u957? \u964?\u961?\u972?\u960?\u959? \u948?\u953?\u945?\u967?\u949?\u943?\u961?\u953?\u963?\u951?\u962? \u945?\u965?\u964?\u972?\u957?\u959?\u956?\u969?\u957? \u949?\u957?\u969?\u963?\u953?\u945?\u954?\u974?\u957? \u948?\u945?\u963?\u956?\u959?\u955?\u959?\u947?\u953?\u954?\u974?\u957? \u960?\u959?\u963?\u959?\u963?\u964?\u974?\u963?\u949?\u969?\u957? \u947?\u953?\u945? \u959?\u961?\u953?\u963?\u956?\u941?\u957?\u945? \u947?\u949?\u969?\u961?\u947?\u953?\u954?\u940? \u954?\u945?\u953? \u946?\u953?\u959?\u956?\u951?\u967?\u945?\u957?\u953?\u954?\u940? \u960?\u961?\u959?\u970?\u972?\u957?\u964?\u945?"/>
    <w:docVar w:name="LW_TITRE.OBJ.CP_PREVIOUS" w:val="&lt;UNUSED&gt;"/>
    <w:docVar w:name="LW_TYPE.DOC.CP" w:val="\u922?\u913?\u925?\u927?\u925?\u921?\u931?\u924?\u927?\u931? \u932?\u927?\u933? \u931?\u933?\u924?\u914?\u927?\u933?\u923?\u921?\u927?\u933?"/>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uri=OJ:C:2011:363:TOC" TargetMode="External"/><Relationship Id="rId2" Type="http://schemas.openxmlformats.org/officeDocument/2006/relationships/hyperlink" Target="https://eur-lex.europa.eu/legal-content/EL/TXT/?uri=OJ:L:2016:161: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B4CE-7F0A-4380-852E-E54EF15B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Pages>
  <Words>1927</Words>
  <Characters>11528</Characters>
  <Application>Microsoft Office Word</Application>
  <DocSecurity>0</DocSecurity>
  <Lines>245</Lines>
  <Paragraphs>114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13341</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2019-03-29T10:39:00Z</cp:lastPrinted>
  <dcterms:created xsi:type="dcterms:W3CDTF">2019-04-17T13:37:00Z</dcterms:created>
  <dcterms:modified xsi:type="dcterms:W3CDTF">2019-04-30T07:58:00Z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6.0.1, Build 20180503</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