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A34249F-837F-4225-8D3F-4BA6AABD9604"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BEGRÜNDUNG</w:t>
      </w:r>
    </w:p>
    <w:p>
      <w:pPr>
        <w:pStyle w:val="ManualHeading1"/>
        <w:rPr>
          <w:rFonts w:eastAsia="Calibri"/>
          <w:noProof/>
        </w:rPr>
      </w:pPr>
      <w:r>
        <w:t>1.</w:t>
      </w:r>
      <w:r>
        <w:tab/>
      </w:r>
      <w:r>
        <w:rPr>
          <w:noProof/>
        </w:rPr>
        <w:t>KONTEXT DES VORSCHLAGS</w:t>
      </w:r>
    </w:p>
    <w:p>
      <w:pPr>
        <w:pStyle w:val="ManualHeading2"/>
        <w:rPr>
          <w:rFonts w:eastAsia="Arial Unicode MS"/>
          <w:noProof/>
        </w:rPr>
      </w:pPr>
      <w:r>
        <w:rPr>
          <w:noProof/>
        </w:rPr>
        <w:t>•</w:t>
      </w:r>
      <w:r>
        <w:rPr>
          <w:noProof/>
        </w:rPr>
        <w:tab/>
        <w:t>Gründe und Ziele des Vorschlags</w:t>
      </w:r>
    </w:p>
    <w:p>
      <w:pPr>
        <w:pBdr>
          <w:top w:val="nil"/>
          <w:left w:val="nil"/>
          <w:bottom w:val="nil"/>
          <w:right w:val="nil"/>
          <w:between w:val="nil"/>
          <w:bar w:val="nil"/>
        </w:pBdr>
        <w:spacing w:before="0" w:after="240"/>
        <w:rPr>
          <w:noProof/>
        </w:rPr>
      </w:pPr>
      <w:r>
        <w:rPr>
          <w:noProof/>
        </w:rPr>
        <w:t>Für bestimmte Waren, deren Produktion in der Union zur Deckung des Bedarfs der Verarbeitungsindustrien nicht ausreicht, müssen autonome Zollkontingente eingerichtet werden. Zu diesem Zweck sollten Zollkontingente der Union zum Nullsatz oder zu ermäßigten Zollsätzen mit angemessenen Mengen eröffnet werden und so bemessen sein, dass das Gleichgewicht der Märkte für diese Waren nicht gestört wird.</w:t>
      </w:r>
    </w:p>
    <w:p>
      <w:pPr>
        <w:pBdr>
          <w:top w:val="nil"/>
          <w:left w:val="nil"/>
          <w:bottom w:val="nil"/>
          <w:right w:val="nil"/>
          <w:between w:val="nil"/>
          <w:bar w:val="nil"/>
        </w:pBdr>
        <w:spacing w:before="0" w:after="240"/>
        <w:rPr>
          <w:noProof/>
        </w:rPr>
      </w:pPr>
      <w:r>
        <w:rPr>
          <w:noProof/>
        </w:rPr>
        <w:t>Am 17. Dezember 2013 hat der Rat der Europäischen Union die Verordnung (EU) Nr. 1388/2013 zur Eröffnung und Verwaltung autonomer Zollkontingente der Union für bestimmte landwirtschaftliche Erzeugnisse und gewerbliche Waren erlassen, um zu gewährleisten, dass der Bedarf der Union an diesen Waren unter möglichst günstigen Bedingungen gedeckt wird.</w:t>
      </w:r>
    </w:p>
    <w:p>
      <w:pPr>
        <w:pBdr>
          <w:top w:val="nil"/>
          <w:left w:val="nil"/>
          <w:bottom w:val="nil"/>
          <w:right w:val="nil"/>
          <w:between w:val="nil"/>
          <w:bar w:val="nil"/>
        </w:pBdr>
        <w:spacing w:before="0" w:after="240"/>
        <w:rPr>
          <w:noProof/>
        </w:rPr>
      </w:pPr>
      <w:r>
        <w:rPr>
          <w:noProof/>
        </w:rPr>
        <w:t>Die Verordnung wird alle sechs Monate aktualisiert, um dem Bedarf der Industrie in der Union Rechnung zu tragen. Die Kommission hat mit Unterstützung der Gruppe „Wirtschaftliche Tariffragen“ alle Anträge der Mitgliedstaaten auf autonome Zollkontingente geprüft.</w:t>
      </w:r>
    </w:p>
    <w:p>
      <w:pPr>
        <w:pBdr>
          <w:top w:val="nil"/>
          <w:left w:val="nil"/>
          <w:bottom w:val="nil"/>
          <w:right w:val="nil"/>
          <w:between w:val="nil"/>
          <w:bar w:val="nil"/>
        </w:pBdr>
        <w:spacing w:before="0" w:after="240"/>
        <w:rPr>
          <w:noProof/>
        </w:rPr>
      </w:pPr>
      <w:r>
        <w:rPr>
          <w:noProof/>
        </w:rPr>
        <w:t>Nach dieser Prüfung hält die Kommission die Eröffnung autonomer Zollkontingente für einige neue Waren, die derzeit nicht im Anhang der Verordnung (EU) Nr. 1388/2013 des Rates aufgeführt sind, für gerechtfertigt. Bei einigen anderen Waren muss der Wortlaut der Warenbezeichnung geändert werden, sollten neue TARIC-Codes zugewiesen werden oder ist eine Aufstockung der ursprünglichen Kontingentsmenge notwendig. Waren, bei denen ein Zollkontingent nicht mehr im wirtschaftlichen Interesse der EU liegt, sollten gestrichen werden.</w:t>
      </w:r>
    </w:p>
    <w:p>
      <w:pPr>
        <w:pBdr>
          <w:top w:val="nil"/>
          <w:left w:val="nil"/>
          <w:bottom w:val="nil"/>
          <w:right w:val="nil"/>
          <w:between w:val="nil"/>
          <w:bar w:val="nil"/>
        </w:pBdr>
        <w:spacing w:before="0" w:after="240"/>
        <w:rPr>
          <w:rFonts w:eastAsia="Arial Unicode MS"/>
          <w:noProof/>
        </w:rPr>
      </w:pPr>
      <w:r>
        <w:rPr>
          <w:noProof/>
        </w:rPr>
        <w:t>Aus Gründen der Klarheit empfiehlt es sich, eine konsolidierte Fassung des Anhangs der Verordnung (EU) Nr. 1388/2013 des Rates zu veröffentlichen, die den bisherigen Anhang vollständig ersetzt.</w:t>
      </w:r>
    </w:p>
    <w:p>
      <w:pPr>
        <w:pStyle w:val="ManualHeading2"/>
        <w:rPr>
          <w:rFonts w:eastAsia="Arial Unicode MS"/>
          <w:noProof/>
          <w:u w:color="000000"/>
          <w:bdr w:val="nil"/>
        </w:rPr>
      </w:pPr>
      <w:r>
        <w:rPr>
          <w:noProof/>
        </w:rPr>
        <w:t>•</w:t>
      </w:r>
      <w:r>
        <w:rPr>
          <w:noProof/>
        </w:rPr>
        <w:tab/>
        <w:t>Kohärenz mit den bestehenden Vorschriften in diesem Bereich</w:t>
      </w:r>
    </w:p>
    <w:p>
      <w:pPr>
        <w:rPr>
          <w:noProof/>
        </w:rPr>
      </w:pPr>
      <w:r>
        <w:rPr>
          <w:noProof/>
        </w:rPr>
        <w:t>Dieser Vorschlag betrifft weder Länder, mit denen die Union präferenzielle Handelsabkommen geschlossen hat, noch Beitrittsländer oder potenzielle Beitrittsländer für Präferenzabkommen mit der Union (z. B. Allgemeines Präferenzsystem; Gruppe der Staaten Afrikas, des Karibischen Raums und Pazifischen Raums (AKP); Freihandelsabkommen).</w:t>
      </w:r>
    </w:p>
    <w:p>
      <w:pPr>
        <w:pStyle w:val="ManualHeading2"/>
        <w:rPr>
          <w:rFonts w:eastAsia="Arial Unicode MS"/>
          <w:noProof/>
          <w:u w:color="000000"/>
          <w:bdr w:val="nil"/>
        </w:rPr>
      </w:pPr>
      <w:r>
        <w:rPr>
          <w:noProof/>
        </w:rPr>
        <w:t>•</w:t>
      </w:r>
      <w:r>
        <w:rPr>
          <w:noProof/>
        </w:rPr>
        <w:tab/>
        <w:t>Kohärenz mit der Politik der Union in anderen Bereichen</w:t>
      </w:r>
    </w:p>
    <w:p>
      <w:pPr>
        <w:pBdr>
          <w:top w:val="nil"/>
          <w:left w:val="nil"/>
          <w:bottom w:val="nil"/>
          <w:right w:val="nil"/>
          <w:between w:val="nil"/>
          <w:bar w:val="nil"/>
        </w:pBdr>
        <w:spacing w:before="0" w:after="240"/>
        <w:rPr>
          <w:rFonts w:eastAsia="Arial Unicode MS"/>
          <w:noProof/>
        </w:rPr>
      </w:pPr>
      <w:r>
        <w:rPr>
          <w:noProof/>
        </w:rPr>
        <w:t>Der Vorschlag steht im Einklang mit der Politik der Union in den Bereichen Landwirtschaft, Handel, Unternehmen, Entwicklung, Umwelt und Außenbeziehungen.</w:t>
      </w:r>
    </w:p>
    <w:p>
      <w:pPr>
        <w:pStyle w:val="ManualHeading1"/>
        <w:rPr>
          <w:rFonts w:eastAsia="Calibri"/>
          <w:noProof/>
        </w:rPr>
      </w:pPr>
      <w:r>
        <w:t>2.</w:t>
      </w:r>
      <w:r>
        <w:tab/>
      </w:r>
      <w:r>
        <w:rPr>
          <w:noProof/>
        </w:rPr>
        <w:t>RECHTSGRUNDLAGE, SUBSIDIARITÄT UND VERHÄLTNISMÄẞIGKEIT</w:t>
      </w:r>
    </w:p>
    <w:p>
      <w:pPr>
        <w:pStyle w:val="ManualHeading2"/>
        <w:rPr>
          <w:rFonts w:eastAsia="Arial Unicode MS"/>
          <w:noProof/>
          <w:u w:color="000000"/>
          <w:bdr w:val="nil"/>
        </w:rPr>
      </w:pPr>
      <w:r>
        <w:rPr>
          <w:noProof/>
        </w:rPr>
        <w:t>•</w:t>
      </w:r>
      <w:r>
        <w:rPr>
          <w:noProof/>
        </w:rPr>
        <w:tab/>
        <w:t>Rechtsgrundlage</w:t>
      </w:r>
    </w:p>
    <w:p>
      <w:pPr>
        <w:pBdr>
          <w:top w:val="nil"/>
          <w:left w:val="nil"/>
          <w:bottom w:val="nil"/>
          <w:right w:val="nil"/>
          <w:between w:val="nil"/>
          <w:bar w:val="nil"/>
        </w:pBdr>
        <w:spacing w:before="0" w:after="240"/>
        <w:rPr>
          <w:rFonts w:eastAsia="Arial Unicode MS"/>
          <w:noProof/>
        </w:rPr>
      </w:pPr>
      <w:r>
        <w:rPr>
          <w:noProof/>
        </w:rPr>
        <w:t>Rechtsgrundlage dieses Vorschlags ist Artikel 31 des Vertrags über die Arbeitsweise der Europäischen Union (AEUV).</w:t>
      </w:r>
    </w:p>
    <w:p>
      <w:pPr>
        <w:pStyle w:val="ManualHeading2"/>
        <w:rPr>
          <w:rFonts w:eastAsia="Arial Unicode MS"/>
          <w:noProof/>
          <w:u w:color="000000"/>
          <w:bdr w:val="nil"/>
        </w:rPr>
      </w:pPr>
      <w:r>
        <w:rPr>
          <w:noProof/>
        </w:rPr>
        <w:t>•</w:t>
      </w:r>
      <w:r>
        <w:rPr>
          <w:noProof/>
        </w:rPr>
        <w:tab/>
        <w:t>Subsidiarität (bei nicht ausschließlicher Zuständigkeit)</w:t>
      </w:r>
    </w:p>
    <w:p>
      <w:pPr>
        <w:rPr>
          <w:noProof/>
        </w:rPr>
      </w:pPr>
      <w:r>
        <w:rPr>
          <w:noProof/>
        </w:rPr>
        <w:t>Der Vorschlag fällt in die ausschließliche Zuständigkeit der Union. Daher findet das Subsidiaritätsprinzip keine Anwendung.</w:t>
      </w:r>
    </w:p>
    <w:p>
      <w:pPr>
        <w:pStyle w:val="ManualHeading2"/>
        <w:rPr>
          <w:rFonts w:eastAsia="Arial Unicode MS"/>
          <w:noProof/>
          <w:u w:color="000000"/>
          <w:bdr w:val="nil"/>
        </w:rPr>
      </w:pPr>
      <w:r>
        <w:rPr>
          <w:noProof/>
        </w:rPr>
        <w:t>•</w:t>
      </w:r>
      <w:r>
        <w:rPr>
          <w:noProof/>
        </w:rPr>
        <w:tab/>
        <w:t>Verhältnismäßigkeit</w:t>
      </w:r>
    </w:p>
    <w:p>
      <w:pPr>
        <w:pBdr>
          <w:top w:val="nil"/>
          <w:left w:val="nil"/>
          <w:bottom w:val="nil"/>
          <w:right w:val="nil"/>
          <w:between w:val="nil"/>
          <w:bar w:val="nil"/>
        </w:pBdr>
        <w:spacing w:before="0" w:after="240"/>
        <w:rPr>
          <w:rFonts w:eastAsia="Arial Unicode MS"/>
          <w:noProof/>
        </w:rPr>
      </w:pPr>
      <w:r>
        <w:rPr>
          <w:noProof/>
        </w:rPr>
        <w:t>Der Vorschlag entspricht dem Grundsatz der Verhältnismäßigkeit. Die vorgesehenen Maßnahmen stehen im Einklang mit den Grundsätzen zur Vereinfachung der Verfahren für die Außenhandelsbeteiligten gemäß der Mitteilung der Kommission zu den autonomen Zollaussetzungen und Zollkontingenten</w:t>
      </w:r>
      <w:r>
        <w:rPr>
          <w:rStyle w:val="FootnoteReference"/>
          <w:noProof/>
        </w:rPr>
        <w:footnoteReference w:id="1"/>
      </w:r>
      <w:r>
        <w:rPr>
          <w:noProof/>
        </w:rPr>
        <w:t>. Diese Verordnung geht nicht über das zur Erreichung der Ziele gemäß Artikel 5 Absatz 4 des Vertrags über die Europäische Union (EUV) erforderliche Maß hinaus.</w:t>
      </w:r>
    </w:p>
    <w:p>
      <w:pPr>
        <w:pStyle w:val="ManualHeading2"/>
        <w:rPr>
          <w:rFonts w:eastAsia="Arial Unicode MS"/>
          <w:noProof/>
          <w:u w:color="000000"/>
          <w:bdr w:val="nil"/>
        </w:rPr>
      </w:pPr>
      <w:r>
        <w:rPr>
          <w:noProof/>
        </w:rPr>
        <w:t>•</w:t>
      </w:r>
      <w:r>
        <w:rPr>
          <w:noProof/>
        </w:rPr>
        <w:tab/>
        <w:t>Wahl des Instruments</w:t>
      </w:r>
    </w:p>
    <w:p>
      <w:pPr>
        <w:rPr>
          <w:noProof/>
        </w:rPr>
      </w:pPr>
      <w:r>
        <w:rPr>
          <w:noProof/>
        </w:rPr>
        <w:t xml:space="preserve">Nach Artikel 31 des Vertrags über die Arbeitsweise der Europäischen Union (AEUV) legt „der Rat ... die Sätze des Gemeinsamen Zolltarifs auf Vorschlag der Kommission fest“. Daher stellt eine Verordnung das geeignete Rechtsinstrument dar. </w:t>
      </w:r>
    </w:p>
    <w:p>
      <w:pPr>
        <w:pStyle w:val="ManualHeading1"/>
        <w:rPr>
          <w:rFonts w:eastAsia="Calibri"/>
          <w:noProof/>
        </w:rPr>
      </w:pPr>
      <w:r>
        <w:t>3.</w:t>
      </w:r>
      <w:r>
        <w:tab/>
      </w:r>
      <w:r>
        <w:rPr>
          <w:noProof/>
        </w:rPr>
        <w:t>ERGEBNISSE DER EX-POST-BEWERTUNG, DER KONSULTATION DER INTERESSENTRÄGER UND DER FOLGENABSCHÄTZUNG</w:t>
      </w:r>
    </w:p>
    <w:p>
      <w:pPr>
        <w:pStyle w:val="ManualHeading2"/>
        <w:rPr>
          <w:rFonts w:eastAsia="Arial Unicode MS"/>
          <w:noProof/>
          <w:u w:color="000000"/>
          <w:bdr w:val="nil"/>
        </w:rPr>
      </w:pPr>
      <w:r>
        <w:rPr>
          <w:noProof/>
        </w:rPr>
        <w:t>•</w:t>
      </w:r>
      <w:r>
        <w:rPr>
          <w:noProof/>
        </w:rPr>
        <w:tab/>
        <w:t>Ex-post-Bewertung/Eignungsprüfungen bestehender Rechtsvorschriften</w:t>
      </w:r>
    </w:p>
    <w:p>
      <w:pPr>
        <w:pBdr>
          <w:top w:val="nil"/>
          <w:left w:val="nil"/>
          <w:bottom w:val="nil"/>
          <w:right w:val="nil"/>
          <w:between w:val="nil"/>
          <w:bar w:val="nil"/>
        </w:pBdr>
        <w:spacing w:before="0" w:after="240"/>
        <w:rPr>
          <w:noProof/>
        </w:rPr>
      </w:pPr>
      <w:r>
        <w:rPr>
          <w:noProof/>
        </w:rPr>
        <w:t>Die Regelung der autonomen Zollkontingente war Teil einer im Jahr 2013 durchgeführten Bewertungsstudie über autonome Zollaussetzungen</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Dies war der Fall, weil beide Maßnahmen ähnlich sind, außer dass Zollkontingente die Einfuhrvolumen begrenzen. Die Bewertung ergab, dass das eigentliche Grundprinzip der Regelung nach wie vor Gültigkeit hat. Die Kosteneinsparungen für Unternehmen in der Union, die Waren im Rahmen der Regelung einführen, können beträchtlich sein. Diese Einsparungen können je nach Ware, Unternehmen und Sektor weitere Vorteile bewirken, beispielsweise die Wettbewerbsfähigkeit steigern, zu effizienteren Produktionsmethoden führen und zur Schaffung oder Erhaltung von Arbeitsplätzen in der Union beitragen. Einzelheiten der Einsparungen durch diese Verordnung sind dem beigefügten Finanzbogen zu entnehmen.</w:t>
      </w:r>
    </w:p>
    <w:p>
      <w:pPr>
        <w:pStyle w:val="ManualHeading2"/>
        <w:rPr>
          <w:rFonts w:eastAsia="Arial Unicode MS"/>
          <w:noProof/>
          <w:u w:color="000000"/>
          <w:bdr w:val="nil"/>
        </w:rPr>
      </w:pPr>
      <w:r>
        <w:rPr>
          <w:noProof/>
        </w:rPr>
        <w:t>•</w:t>
      </w:r>
      <w:r>
        <w:rPr>
          <w:noProof/>
        </w:rPr>
        <w:tab/>
        <w:t>Konsultation der Interessenträger</w:t>
      </w:r>
    </w:p>
    <w:p>
      <w:pPr>
        <w:rPr>
          <w:noProof/>
        </w:rPr>
      </w:pPr>
      <w:r>
        <w:rPr>
          <w:noProof/>
        </w:rPr>
        <w:t>Die Gruppe „Wirtschaftliche Tariffragen“, die sich aus Delegationen aller Mitgliedstaaten und einer Delegation der Türkei zusammensetzt, hat die Kommission bei der Prüfung dieses Vorschlags unterstützt. Die Gruppe ist dreimal zusammengetreten, bevor sie sich auf die Änderungen dieses Vorschlags geeinigt hat.</w:t>
      </w:r>
    </w:p>
    <w:p>
      <w:pPr>
        <w:rPr>
          <w:noProof/>
        </w:rPr>
      </w:pPr>
      <w:r>
        <w:rPr>
          <w:noProof/>
        </w:rPr>
        <w:t>Sie hat jeden Antrag (sowohl Neuanträge als auch Änderungsanträge) sorgfältig geprüft. Sie hat insbesondere jeden einzelnen Fall untersucht, um zu gewährleisten, dass den Herstellern in der Union kein Schaden entsteht und die Wettbewerbsfähigkeit der Produktion innerhalb der Union gestärkt und konsolidiert wird. Diese Prüfung erfolgte im Rahmen von Erörterungen durch die Mitglieder der Gruppe „Wirtschaftliche Tariffragen“ und mittels Konsultation der betroffenen Wirtschaftszweige, Verbände, Handelskammern sowie anderer interessierter Kreise durch die Mitgliedstaaten.</w:t>
      </w:r>
    </w:p>
    <w:p>
      <w:pPr>
        <w:rPr>
          <w:noProof/>
        </w:rPr>
      </w:pPr>
      <w:r>
        <w:rPr>
          <w:noProof/>
        </w:rPr>
        <w:t>Alle genannten Zollkontingente sind das Ergebnis eines bei den Erörterungen in der Gruppe „Wirtschaftliche Tariffragen“ erzielten Konsenses oder Kompromisses. Es gab keine Hinweise auf potenziell ernste Risiken mit irreversiblen Folgen.</w:t>
      </w:r>
    </w:p>
    <w:p>
      <w:pPr>
        <w:pStyle w:val="ManualHeading2"/>
        <w:rPr>
          <w:rFonts w:eastAsia="Arial Unicode MS"/>
          <w:noProof/>
          <w:u w:color="000000"/>
          <w:bdr w:val="nil"/>
        </w:rPr>
      </w:pPr>
      <w:r>
        <w:rPr>
          <w:noProof/>
        </w:rPr>
        <w:t>•</w:t>
      </w:r>
      <w:r>
        <w:rPr>
          <w:noProof/>
        </w:rPr>
        <w:tab/>
        <w:t>Folgenabschätzung</w:t>
      </w:r>
    </w:p>
    <w:p>
      <w:pPr>
        <w:rPr>
          <w:noProof/>
        </w:rPr>
      </w:pPr>
      <w:r>
        <w:rPr>
          <w:noProof/>
        </w:rPr>
        <w:t>Die vorgeschlagene Änderung ist rein technischer Art und betrifft nur den Umfang der im Anhang der Verordnung (EU) Nr. 1388/2013 des Rates aufgeführten Zollkontingente. Deshalb wurde für diesen Vorschlag keine Folgenabschätzung vorgenommen.</w:t>
      </w:r>
    </w:p>
    <w:p>
      <w:pPr>
        <w:pStyle w:val="ManualHeading2"/>
        <w:rPr>
          <w:rFonts w:eastAsia="Arial Unicode MS"/>
          <w:noProof/>
          <w:u w:color="000000"/>
          <w:bdr w:val="nil"/>
        </w:rPr>
      </w:pPr>
      <w:r>
        <w:rPr>
          <w:noProof/>
        </w:rPr>
        <w:t>•</w:t>
      </w:r>
      <w:r>
        <w:rPr>
          <w:noProof/>
        </w:rPr>
        <w:tab/>
        <w:t>Grundrechte</w:t>
      </w:r>
    </w:p>
    <w:p>
      <w:pPr>
        <w:pBdr>
          <w:top w:val="nil"/>
          <w:left w:val="nil"/>
          <w:bottom w:val="nil"/>
          <w:right w:val="nil"/>
          <w:between w:val="nil"/>
          <w:bar w:val="nil"/>
        </w:pBdr>
        <w:spacing w:before="0" w:after="240"/>
        <w:rPr>
          <w:rFonts w:eastAsia="Arial Unicode MS"/>
          <w:noProof/>
        </w:rPr>
      </w:pPr>
      <w:r>
        <w:rPr>
          <w:noProof/>
        </w:rPr>
        <w:t>Der Vorschlag hat keine Auswirkungen auf die Grundrechte.</w:t>
      </w:r>
    </w:p>
    <w:p>
      <w:pPr>
        <w:pStyle w:val="ManualHeading1"/>
        <w:rPr>
          <w:rFonts w:eastAsia="Calibri"/>
          <w:noProof/>
        </w:rPr>
      </w:pPr>
      <w:r>
        <w:t>4.</w:t>
      </w:r>
      <w:r>
        <w:tab/>
      </w:r>
      <w:r>
        <w:rPr>
          <w:noProof/>
        </w:rPr>
        <w:t>AUSWIRKUNGEN AUF DEN HAUSHALT</w:t>
      </w:r>
    </w:p>
    <w:p>
      <w:pPr>
        <w:rPr>
          <w:noProof/>
        </w:rPr>
      </w:pPr>
      <w:r>
        <w:rPr>
          <w:noProof/>
        </w:rPr>
        <w:t>Der Vorschlag wirkt sich nicht auf die Ausgaben, sondern ausschließlich auf die Einnahmen aus. Die nicht vereinnahmten Zölle belaufen sich auf etwa 1 Mio. EUR pro Jahr. Die Auswirkungen auf die traditionellen Eigenmittel des Haushalts belaufen sich auf 0,8 Mio. EUR pro Jahr (das entspricht 80 % des Gesamtbetrags). Die finanziellen Auswirkungen des Vorschlags werden im Finanzbogen zu Rechtsakten im Einzelnen erläutert.</w:t>
      </w:r>
    </w:p>
    <w:p>
      <w:pPr>
        <w:rPr>
          <w:noProof/>
          <w:szCs w:val="24"/>
        </w:rPr>
      </w:pPr>
      <w:r>
        <w:rPr>
          <w:noProof/>
        </w:rPr>
        <w:t>Der Einnahmenverlust bei den traditionellen Eigenmitteln wird durch die Eigenmittelbeiträge der Mitgliedstaaten aus dem Bruttonationaleinkommen (BNE) ausgeglichen.</w:t>
      </w:r>
    </w:p>
    <w:p>
      <w:pPr>
        <w:pStyle w:val="ManualHeading1"/>
        <w:rPr>
          <w:rFonts w:eastAsia="Calibri"/>
          <w:noProof/>
        </w:rPr>
      </w:pPr>
      <w:r>
        <w:t>5.</w:t>
      </w:r>
      <w:r>
        <w:tab/>
      </w:r>
      <w:r>
        <w:rPr>
          <w:noProof/>
        </w:rPr>
        <w:t>WEITERE ANGABEN</w:t>
      </w:r>
    </w:p>
    <w:p>
      <w:pPr>
        <w:pStyle w:val="ManualHeading2"/>
        <w:rPr>
          <w:rFonts w:eastAsia="Arial Unicode MS"/>
          <w:noProof/>
          <w:u w:color="000000"/>
          <w:bdr w:val="nil"/>
        </w:rPr>
      </w:pPr>
      <w:r>
        <w:rPr>
          <w:noProof/>
        </w:rPr>
        <w:t>•</w:t>
      </w:r>
      <w:r>
        <w:rPr>
          <w:noProof/>
        </w:rPr>
        <w:tab/>
        <w:t>Durchführungspläne sowie Monitoring-, Bewertungs- und Berichterstattungsmodalitäten</w:t>
      </w:r>
    </w:p>
    <w:p>
      <w:pPr>
        <w:pBdr>
          <w:top w:val="nil"/>
          <w:left w:val="nil"/>
          <w:bottom w:val="nil"/>
          <w:right w:val="nil"/>
          <w:between w:val="nil"/>
          <w:bar w:val="nil"/>
        </w:pBdr>
        <w:spacing w:before="0" w:after="240"/>
        <w:rPr>
          <w:noProof/>
        </w:rPr>
      </w:pPr>
      <w:r>
        <w:rPr>
          <w:noProof/>
        </w:rPr>
        <w:t>Die vorgeschlagenen Maßnahmen werden im Rahmen des Integrierten Zolltarifs der Europäischen Union (TARIC) verwaltet und von den Zollverwaltungen der Mitgliedstaaten umgesetzt.</w:t>
      </w:r>
    </w:p>
    <w:p>
      <w:pPr>
        <w:rPr>
          <w:noProof/>
        </w:rPr>
        <w:sectPr>
          <w:footerReference w:type="default" r:id="rId16"/>
          <w:footerReference w:type="first" r:id="rId17"/>
          <w:footnotePr>
            <w:numRestart w:val="eachSect"/>
          </w:footnotePr>
          <w:pgSz w:w="11907" w:h="16839"/>
          <w:pgMar w:top="1134" w:right="1417" w:bottom="1134" w:left="1417" w:header="709" w:footer="709" w:gutter="0"/>
          <w:pgNumType w:start="1"/>
          <w:cols w:space="720"/>
          <w:docGrid w:linePitch="360"/>
        </w:sectPr>
      </w:pPr>
    </w:p>
    <w:p>
      <w:pPr>
        <w:pStyle w:val="Rfrenceinterinstitutionnelle"/>
        <w:rPr>
          <w:noProof/>
        </w:rPr>
      </w:pPr>
      <w:r>
        <w:rPr>
          <w:noProof/>
        </w:rPr>
        <w:t>2019/0103 (NLE)</w:t>
      </w:r>
    </w:p>
    <w:p>
      <w:pPr>
        <w:pStyle w:val="Statut"/>
        <w:rPr>
          <w:noProof/>
        </w:rPr>
      </w:pPr>
      <w:r>
        <w:rPr>
          <w:noProof/>
        </w:rPr>
        <w:t>Vorschlag für eine</w:t>
      </w:r>
    </w:p>
    <w:p>
      <w:pPr>
        <w:pStyle w:val="Typedudocument"/>
        <w:rPr>
          <w:noProof/>
        </w:rPr>
      </w:pPr>
      <w:r>
        <w:rPr>
          <w:noProof/>
        </w:rPr>
        <w:t>VERORDNUNG DES RATES</w:t>
      </w:r>
    </w:p>
    <w:p>
      <w:pPr>
        <w:pStyle w:val="Titreobjet"/>
        <w:rPr>
          <w:noProof/>
        </w:rPr>
      </w:pPr>
      <w:r>
        <w:rPr>
          <w:noProof/>
        </w:rPr>
        <w:t>zur Änderung der Verordnung (EU) Nr. 1388/2013 zur Eröffnung und Verwaltung autonomer Zollkontingente der Union für bestimmte landwirtschaftliche Erzeugnisse und gewerbliche Waren</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31,</w:t>
      </w:r>
    </w:p>
    <w:p>
      <w:pPr>
        <w:rPr>
          <w:noProof/>
        </w:rPr>
      </w:pPr>
      <w:r>
        <w:rPr>
          <w:noProof/>
        </w:rPr>
        <w:t>auf Vorschlag der Europäischen Kommission,</w:t>
      </w:r>
    </w:p>
    <w:p>
      <w:pPr>
        <w:rPr>
          <w:i/>
          <w:noProof/>
        </w:rPr>
      </w:pPr>
      <w:r>
        <w:rPr>
          <w:noProof/>
        </w:rPr>
        <w:t>in Erwägung nachstehender Gründe:</w:t>
      </w:r>
    </w:p>
    <w:p>
      <w:pPr>
        <w:pStyle w:val="ManualConsidrant"/>
        <w:rPr>
          <w:noProof/>
        </w:rPr>
      </w:pPr>
      <w:r>
        <w:t>(1)</w:t>
      </w:r>
      <w:r>
        <w:tab/>
      </w:r>
      <w:r>
        <w:rPr>
          <w:noProof/>
        </w:rPr>
        <w:t>Um eine ausreichende und kontinuierliche Versorgung mit bestimmten landwirtschaftlichen Erzeugnissen und gewerblichen Waren, die in der Union nur in unzureichenden Mengen hergestellt werden, zu gewährleisten und dadurch Marktstörungen bei diesen Erzeugnissen und Waren zu vermeiden, wurden mit der Verordnung (EU) Nr. 1388/2013 des Rates autonome Zollkontingente eröffnet.</w:t>
      </w:r>
      <w:r>
        <w:rPr>
          <w:rStyle w:val="FootnoteReference"/>
          <w:noProof/>
        </w:rPr>
        <w:footnoteReference w:id="3"/>
      </w:r>
      <w:r>
        <w:rPr>
          <w:noProof/>
        </w:rPr>
        <w:t xml:space="preserve"> Unter diese Zollkontingente fallende Erzeugnisse und Waren können zum Nullsatz oder zu ermäßigten Zollsätzen in die Union eingeführt werden.</w:t>
      </w:r>
    </w:p>
    <w:p>
      <w:pPr>
        <w:pStyle w:val="ManualConsidrant"/>
        <w:rPr>
          <w:noProof/>
        </w:rPr>
      </w:pPr>
      <w:r>
        <w:t>(2)</w:t>
      </w:r>
      <w:r>
        <w:tab/>
      </w:r>
      <w:r>
        <w:rPr>
          <w:noProof/>
        </w:rPr>
        <w:t>Da es im Interesse der Union liegt, eine angemessene Versorgung mit bestimmten gewerblichen Waren zu gewährleisten, und in Anbetracht der Tatsache, dass gleiche oder gleichartige Waren oder Ersatzwaren in der Union nicht in ausreichenden Mengen hergestellt werden, ist es notwendig, neue Zollkontingente mit den laufenden Nummern 09.2594, 09.2595, 09.2596, 09.2597, 09.2598 und 09.2599 zum Nullsatz mit angemessenen Mengen zu eröffnen.</w:t>
      </w:r>
    </w:p>
    <w:p>
      <w:pPr>
        <w:pStyle w:val="ManualConsidrant"/>
        <w:rPr>
          <w:noProof/>
        </w:rPr>
      </w:pPr>
      <w:r>
        <w:t>(3)</w:t>
      </w:r>
      <w:r>
        <w:tab/>
      </w:r>
      <w:r>
        <w:rPr>
          <w:noProof/>
        </w:rPr>
        <w:t>Im Fall der Zollkontingente mit den laufenden Nummern 09.2679, 09.2683 und 09.2888 sollten die Kontingentsmengen erhöht werden, da eine Erhöhung im Interesse der Union liegt. Im Falle des Zollkontingents mit der laufenden Nummer 09.2723 sollte die Kontingentsmenge rückwirkend für den Zeitraum 1. Januar bis 31. Dezember 2018 erhöht werden.</w:t>
      </w:r>
    </w:p>
    <w:p>
      <w:pPr>
        <w:pStyle w:val="ManualConsidrant"/>
        <w:rPr>
          <w:noProof/>
        </w:rPr>
      </w:pPr>
      <w:r>
        <w:t>(4)</w:t>
      </w:r>
      <w:r>
        <w:tab/>
      </w:r>
      <w:r>
        <w:rPr>
          <w:noProof/>
        </w:rPr>
        <w:t>Beim Zollkontingent mit der laufenden Nummer 09.2740 fallen die dieses Zollkontingent betreffenden Waren nicht nur unter den KN-Code 2309 90 96, sondern auch unter den KN-Code 2309 90 31. Die Angabe des KN-Codes für dieses Zollkontingent sollte daher angepasst werden.</w:t>
      </w:r>
    </w:p>
    <w:p>
      <w:pPr>
        <w:pStyle w:val="ManualConsidrant"/>
        <w:rPr>
          <w:noProof/>
        </w:rPr>
      </w:pPr>
      <w:r>
        <w:t>(5)</w:t>
      </w:r>
      <w:r>
        <w:tab/>
      </w:r>
      <w:r>
        <w:rPr>
          <w:noProof/>
        </w:rPr>
        <w:t>Da es nicht mehr im Interesse der Union liegt, das Zollkontingent mit der laufenden Nummer 09.2870 aufrechtzuerhalten, sollte dieses geschlossen werden.</w:t>
      </w:r>
    </w:p>
    <w:p>
      <w:pPr>
        <w:pStyle w:val="ManualConsidrant"/>
        <w:rPr>
          <w:noProof/>
        </w:rPr>
      </w:pPr>
      <w:r>
        <w:t>(6)</w:t>
      </w:r>
      <w:r>
        <w:tab/>
      </w:r>
      <w:r>
        <w:rPr>
          <w:noProof/>
        </w:rPr>
        <w:t>Darüber hinaus sollten die Zollkontingente mit den laufenden Nummern 09.2633, 09.2643, 09.2620 und 09.2932 aufgrund der Umsetzung des Übereinkommens in Form der Erklärung über die Ausweitung des Handels mit Waren der Informationstechnologie</w:t>
      </w:r>
      <w:r>
        <w:rPr>
          <w:rStyle w:val="FootnoteReference"/>
          <w:noProof/>
        </w:rPr>
        <w:footnoteReference w:id="4"/>
      </w:r>
      <w:r>
        <w:rPr>
          <w:noProof/>
        </w:rPr>
        <w:t>, mit der der Zollsatz für die betreffenden Waren auf null gesenkt wurde, geschlossen werden.</w:t>
      </w:r>
    </w:p>
    <w:p>
      <w:pPr>
        <w:pStyle w:val="ManualConsidrant"/>
        <w:rPr>
          <w:noProof/>
        </w:rPr>
      </w:pPr>
      <w:r>
        <w:t>(7)</w:t>
      </w:r>
      <w:r>
        <w:tab/>
      </w:r>
      <w:r>
        <w:rPr>
          <w:noProof/>
        </w:rPr>
        <w:t>Unter Berücksichtigung der vorzunehmenden Änderungen und im Interesse der Klarheit sollte der Anhang der Verordnung (EU) Nr. 1388/2013 ersetzt werden.</w:t>
      </w:r>
    </w:p>
    <w:p>
      <w:pPr>
        <w:pStyle w:val="ManualConsidrant"/>
        <w:rPr>
          <w:noProof/>
        </w:rPr>
      </w:pPr>
      <w:r>
        <w:t>(8)</w:t>
      </w:r>
      <w:r>
        <w:tab/>
      </w:r>
      <w:r>
        <w:rPr>
          <w:noProof/>
        </w:rPr>
        <w:t>Um eine Unterbrechung der Anwendung der Kontingentsregelung zu vermeiden und die in der Mitteilung der Kommission zu den autonomen Zollaussetzungen und Zollkontingenten</w:t>
      </w:r>
      <w:r>
        <w:rPr>
          <w:rStyle w:val="FootnoteReference"/>
          <w:noProof/>
        </w:rPr>
        <w:footnoteReference w:id="5"/>
      </w:r>
      <w:r>
        <w:rPr>
          <w:noProof/>
        </w:rPr>
        <w:t xml:space="preserve"> festgelegten Leitlinien umzusetzen, müssen die in dieser Verordnung vorgesehenen Änderungen der Zollkontingente für die betroffenen Waren ab dem 1. Juli 2019 und für das Zollkontingent mit der laufenden Nummer 09.2723 ab dem 1. Januar 2018 gelten. Diese Verordnung sollte daher umgehend in Kraft treten —</w:t>
      </w:r>
    </w:p>
    <w:p>
      <w:pPr>
        <w:pStyle w:val="Formuledadoption"/>
        <w:rPr>
          <w:noProof/>
        </w:rPr>
      </w:pPr>
      <w:r>
        <w:rPr>
          <w:noProof/>
        </w:rPr>
        <w:t>HAT FOLGENDE VERORDNUNG ERLASSEN:</w:t>
      </w:r>
    </w:p>
    <w:p>
      <w:pPr>
        <w:pStyle w:val="Titrearticle"/>
        <w:rPr>
          <w:i w:val="0"/>
          <w:noProof/>
        </w:rPr>
      </w:pPr>
      <w:r>
        <w:rPr>
          <w:i w:val="0"/>
          <w:noProof/>
        </w:rPr>
        <w:t>Artikel 1</w:t>
      </w:r>
    </w:p>
    <w:p>
      <w:pPr>
        <w:rPr>
          <w:rFonts w:cs="EUAlbertina"/>
          <w:noProof/>
        </w:rPr>
      </w:pPr>
      <w:r>
        <w:rPr>
          <w:noProof/>
        </w:rPr>
        <w:t>Der Anhang der Verordnung (EU) Nr. 1388/2013 wird wie folgt geändert:</w:t>
      </w:r>
    </w:p>
    <w:p>
      <w:pPr>
        <w:rPr>
          <w:rFonts w:cs="EUAlbertina"/>
          <w:noProof/>
        </w:rPr>
      </w:pPr>
      <w:r>
        <w:rPr>
          <w:noProof/>
        </w:rPr>
        <w:t>(1)</w:t>
      </w:r>
      <w:r>
        <w:rPr>
          <w:noProof/>
        </w:rPr>
        <w:tab/>
        <w:t>Die Zeile für das Zollkontingent mit der laufenden Nummer 09.2723 erhält folgende Fassung:</w:t>
      </w:r>
    </w:p>
    <w:tbl>
      <w:tblPr>
        <w:tblStyle w:val="Listtable"/>
        <w:tblW w:w="0" w:type="auto"/>
        <w:tblLook w:val="0000" w:firstRow="0" w:lastRow="0" w:firstColumn="0" w:lastColumn="0" w:noHBand="0" w:noVBand="0"/>
      </w:tblPr>
      <w:tblGrid>
        <w:gridCol w:w="712"/>
        <w:gridCol w:w="1037"/>
        <w:gridCol w:w="285"/>
        <w:gridCol w:w="4369"/>
        <w:gridCol w:w="562"/>
        <w:gridCol w:w="1014"/>
        <w:gridCol w:w="494"/>
      </w:tblGrid>
      <w:tr>
        <w:tc>
          <w:tcPr>
            <w:tcW w:w="0" w:type="auto"/>
          </w:tcPr>
          <w:p>
            <w:pPr>
              <w:pStyle w:val="Paragraph"/>
              <w:rPr>
                <w:noProof/>
              </w:rPr>
            </w:pPr>
            <w:r>
              <w:rPr>
                <w:noProof/>
              </w:rPr>
              <w:t>„09.2723</w:t>
            </w:r>
          </w:p>
        </w:tc>
        <w:tc>
          <w:tcPr>
            <w:tcW w:w="0" w:type="auto"/>
            <w:tcBorders>
              <w:left w:val="single" w:sz="2" w:space="0" w:color="auto"/>
            </w:tcBorders>
          </w:tcPr>
          <w:p>
            <w:pPr>
              <w:pStyle w:val="Paragraph"/>
              <w:jc w:val="right"/>
              <w:rPr>
                <w:noProof/>
              </w:rPr>
            </w:pPr>
            <w:r>
              <w:rPr>
                <w:noProof/>
              </w:rPr>
              <w:t>ex 3911 90 19</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Poly(oxy-1,4-phenylensulfonyl-1,4-phenylenoxy-4,4′-biphenylen)</w:t>
            </w:r>
          </w:p>
        </w:tc>
        <w:tc>
          <w:tcPr>
            <w:tcW w:w="562" w:type="dxa"/>
            <w:tcBorders>
              <w:left w:val="single" w:sz="2" w:space="0" w:color="auto"/>
            </w:tcBorders>
          </w:tcPr>
          <w:p>
            <w:pPr>
              <w:pStyle w:val="Paragraph"/>
              <w:rPr>
                <w:noProof/>
              </w:rPr>
            </w:pPr>
            <w:r>
              <w:rPr>
                <w:noProof/>
              </w:rPr>
              <w:t xml:space="preserve">1.1.-31.12. </w:t>
            </w:r>
          </w:p>
        </w:tc>
        <w:tc>
          <w:tcPr>
            <w:tcW w:w="975" w:type="dxa"/>
            <w:tcBorders>
              <w:left w:val="single" w:sz="2" w:space="0" w:color="auto"/>
            </w:tcBorders>
          </w:tcPr>
          <w:p>
            <w:pPr>
              <w:pStyle w:val="Paragraph"/>
              <w:rPr>
                <w:noProof/>
              </w:rPr>
            </w:pPr>
            <w:r>
              <w:rPr>
                <w:noProof/>
              </w:rPr>
              <w:t>5 000 Tonnen</w:t>
            </w:r>
          </w:p>
        </w:tc>
        <w:tc>
          <w:tcPr>
            <w:tcW w:w="0" w:type="auto"/>
            <w:tcBorders>
              <w:left w:val="single" w:sz="2" w:space="0" w:color="auto"/>
            </w:tcBorders>
          </w:tcPr>
          <w:p>
            <w:pPr>
              <w:pStyle w:val="Paragraph"/>
              <w:rPr>
                <w:noProof/>
              </w:rPr>
            </w:pPr>
            <w:r>
              <w:rPr>
                <w:noProof/>
              </w:rPr>
              <w:t>0 %“;</w:t>
            </w:r>
          </w:p>
        </w:tc>
      </w:tr>
    </w:tbl>
    <w:p>
      <w:pPr>
        <w:rPr>
          <w:noProof/>
        </w:rPr>
      </w:pPr>
      <w:r>
        <w:rPr>
          <w:noProof/>
        </w:rPr>
        <w:t>(2)</w:t>
      </w:r>
      <w:r>
        <w:rPr>
          <w:noProof/>
        </w:rPr>
        <w:tab/>
        <w:t>Der Anhang erhält die Fassung des Anhangs dieser Verordnung.</w:t>
      </w:r>
    </w:p>
    <w:p>
      <w:pPr>
        <w:pStyle w:val="Titrearticle"/>
        <w:rPr>
          <w:i w:val="0"/>
          <w:noProof/>
        </w:rPr>
      </w:pPr>
      <w:r>
        <w:rPr>
          <w:i w:val="0"/>
          <w:noProof/>
        </w:rPr>
        <w:t>Artikel 2</w:t>
      </w:r>
    </w:p>
    <w:p>
      <w:pPr>
        <w:rPr>
          <w:iCs/>
          <w:noProof/>
        </w:rPr>
      </w:pPr>
      <w:r>
        <w:rPr>
          <w:noProof/>
        </w:rPr>
        <w:t xml:space="preserve">Diese Verordnung tritt am Tag nach ihrer Veröffentlichung im </w:t>
      </w:r>
      <w:r>
        <w:rPr>
          <w:i/>
          <w:noProof/>
        </w:rPr>
        <w:t>Amtsblatt der Europäischen Union</w:t>
      </w:r>
      <w:r>
        <w:rPr>
          <w:noProof/>
        </w:rPr>
        <w:t xml:space="preserve"> in Kraft.</w:t>
      </w:r>
    </w:p>
    <w:p>
      <w:pPr>
        <w:rPr>
          <w:noProof/>
        </w:rPr>
      </w:pPr>
      <w:r>
        <w:rPr>
          <w:noProof/>
        </w:rPr>
        <w:t xml:space="preserve">Sie gilt ab dem 1. Juli 2019. </w:t>
      </w:r>
    </w:p>
    <w:p>
      <w:pPr>
        <w:rPr>
          <w:noProof/>
        </w:rPr>
      </w:pPr>
      <w:r>
        <w:rPr>
          <w:noProof/>
        </w:rPr>
        <w:t>Artikel 1 Absatz 1 gilt jedoch ab dem 1. Januar 2018.</w:t>
      </w:r>
    </w:p>
    <w:p>
      <w:pPr>
        <w:pStyle w:val="Applicationdirecte"/>
        <w:rPr>
          <w:noProof/>
        </w:rPr>
      </w:pPr>
      <w:r>
        <w:rPr>
          <w:noProof/>
        </w:rPr>
        <w:t>Diese Verordnung ist in allen ihren Teilen verbindlich und gilt unmittelbar in jedem Mitgliedstaat.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FINANZBOGEN</w:t>
      </w:r>
    </w:p>
    <w:p>
      <w:pPr>
        <w:keepNext/>
        <w:spacing w:before="360"/>
        <w:outlineLvl w:val="0"/>
        <w:rPr>
          <w:b/>
          <w:smallCaps/>
          <w:noProof/>
        </w:rPr>
      </w:pPr>
      <w:r>
        <w:rPr>
          <w:b/>
          <w:smallCaps/>
          <w:noProof/>
        </w:rPr>
        <w:t>1.</w:t>
      </w:r>
      <w:r>
        <w:rPr>
          <w:noProof/>
        </w:rPr>
        <w:tab/>
      </w:r>
      <w:r>
        <w:rPr>
          <w:b/>
          <w:smallCaps/>
          <w:noProof/>
        </w:rPr>
        <w:t>BEZEICHNUNG DES VORSCHLAGS</w:t>
      </w:r>
    </w:p>
    <w:p>
      <w:pPr>
        <w:rPr>
          <w:noProof/>
        </w:rPr>
      </w:pPr>
      <w:r>
        <w:rPr>
          <w:noProof/>
        </w:rPr>
        <w:t>Verordnung des Rates zur Änderung der Verordnung (EU) Nr. 1388/2013 zur Eröffnung und Verwaltung autonomer Zollkontingente der Union für bestimmte landwirtschaftliche Erzeugnisse und gewerbliche Waren</w:t>
      </w:r>
    </w:p>
    <w:p>
      <w:pPr>
        <w:keepNext/>
        <w:spacing w:before="360"/>
        <w:outlineLvl w:val="0"/>
        <w:rPr>
          <w:b/>
          <w:smallCaps/>
          <w:noProof/>
        </w:rPr>
      </w:pPr>
      <w:r>
        <w:rPr>
          <w:b/>
          <w:smallCaps/>
          <w:noProof/>
        </w:rPr>
        <w:t>2.</w:t>
      </w:r>
      <w:r>
        <w:rPr>
          <w:noProof/>
        </w:rPr>
        <w:tab/>
      </w:r>
      <w:r>
        <w:rPr>
          <w:b/>
          <w:smallCaps/>
          <w:noProof/>
        </w:rPr>
        <w:t>HAUSHALTSLINIEN</w:t>
      </w:r>
    </w:p>
    <w:p>
      <w:pPr>
        <w:spacing w:before="100" w:beforeAutospacing="1" w:after="100" w:afterAutospacing="1"/>
        <w:jc w:val="left"/>
        <w:rPr>
          <w:rFonts w:eastAsia="Times New Roman"/>
          <w:noProof/>
          <w:szCs w:val="24"/>
        </w:rPr>
      </w:pPr>
      <w:r>
        <w:rPr>
          <w:noProof/>
        </w:rPr>
        <w:t>Kapitel und Artikel:</w:t>
      </w:r>
      <w:r>
        <w:rPr>
          <w:noProof/>
        </w:rPr>
        <w:br/>
        <w:t>Kapitel 1 2 und Artikel 1 2 0 – Zölle und andere Abgaben gemäß Artikel 2 Absatz 1 Buchstabe a des Beschlusses 2014/335/EU, Euratom;</w:t>
      </w:r>
    </w:p>
    <w:p>
      <w:pPr>
        <w:spacing w:before="100" w:beforeAutospacing="1" w:after="100" w:afterAutospacing="1"/>
        <w:jc w:val="left"/>
        <w:rPr>
          <w:rFonts w:eastAsia="Times New Roman"/>
          <w:noProof/>
          <w:szCs w:val="24"/>
        </w:rPr>
      </w:pPr>
      <w:r>
        <w:rPr>
          <w:noProof/>
        </w:rPr>
        <w:t>Für das Haushaltsjahr 2019 veranschlagter Betrag (21 471 164 786 EUR)</w:t>
      </w:r>
    </w:p>
    <w:p>
      <w:pPr>
        <w:keepNext/>
        <w:spacing w:before="360"/>
        <w:outlineLvl w:val="0"/>
        <w:rPr>
          <w:b/>
          <w:smallCaps/>
          <w:noProof/>
        </w:rPr>
      </w:pPr>
      <w:r>
        <w:rPr>
          <w:b/>
          <w:smallCaps/>
          <w:noProof/>
        </w:rPr>
        <w:t>3.</w:t>
      </w:r>
      <w:r>
        <w:rPr>
          <w:noProof/>
        </w:rPr>
        <w:tab/>
      </w:r>
      <w:r>
        <w:rPr>
          <w:b/>
          <w:smallCaps/>
          <w:noProof/>
        </w:rPr>
        <w:t>FINANZIELLE AUSWIRKUNGEN</w:t>
      </w:r>
    </w:p>
    <w:p>
      <w:pPr>
        <w:rPr>
          <w:noProof/>
        </w:rPr>
      </w:pPr>
      <w:r>
        <w:rPr>
          <w:noProof/>
        </w:rPr>
        <w:sym w:font="Wingdings" w:char="F0A8"/>
      </w:r>
      <w:r>
        <w:rPr>
          <w:noProof/>
        </w:rPr>
        <w:tab/>
        <w:t>Der Vorschlag hat keine finanziellen Auswirkungen.</w:t>
      </w:r>
    </w:p>
    <w:p>
      <w:pPr>
        <w:rPr>
          <w:noProof/>
        </w:rPr>
      </w:pPr>
      <w:r>
        <w:rPr>
          <w:noProof/>
        </w:rPr>
        <w:t>X</w:t>
      </w:r>
      <w:r>
        <w:rPr>
          <w:noProof/>
        </w:rPr>
        <w:tab/>
        <w:t>Der Vorschlag wirkt sich nicht auf die Ausgaben, sondern ausschließlich auf die Einnahmen aus. Daraus ergibt sich Folgendes:</w:t>
      </w:r>
    </w:p>
    <w:p>
      <w:pPr>
        <w:jc w:val="right"/>
        <w:rPr>
          <w:noProof/>
          <w:sz w:val="18"/>
        </w:rPr>
      </w:pPr>
      <w:r>
        <w:rPr>
          <w:noProof/>
        </w:rPr>
        <w:t>in Mio. EUR (1 Dezimalstelle)</w:t>
      </w:r>
    </w:p>
    <w:tbl>
      <w:tblPr>
        <w:tblW w:w="84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1"/>
        <w:gridCol w:w="2879"/>
        <w:gridCol w:w="2040"/>
        <w:gridCol w:w="2160"/>
      </w:tblGrid>
      <w:tr>
        <w:tc>
          <w:tcPr>
            <w:tcW w:w="1321" w:type="dxa"/>
          </w:tcPr>
          <w:p>
            <w:pPr>
              <w:rPr>
                <w:noProof/>
              </w:rPr>
            </w:pPr>
            <w:r>
              <w:rPr>
                <w:noProof/>
              </w:rPr>
              <w:t>Haushaltslinie</w:t>
            </w:r>
          </w:p>
        </w:tc>
        <w:tc>
          <w:tcPr>
            <w:tcW w:w="2879" w:type="dxa"/>
          </w:tcPr>
          <w:p>
            <w:pPr>
              <w:jc w:val="center"/>
              <w:rPr>
                <w:noProof/>
              </w:rPr>
            </w:pPr>
            <w:r>
              <w:rPr>
                <w:noProof/>
              </w:rPr>
              <w:t>Einnahmen</w:t>
            </w:r>
            <w:r>
              <w:rPr>
                <w:rStyle w:val="FootnoteReference"/>
                <w:noProof/>
              </w:rPr>
              <w:footnoteReference w:id="6"/>
            </w:r>
          </w:p>
        </w:tc>
        <w:tc>
          <w:tcPr>
            <w:tcW w:w="2040" w:type="dxa"/>
          </w:tcPr>
          <w:p>
            <w:pPr>
              <w:jc w:val="center"/>
              <w:rPr>
                <w:noProof/>
              </w:rPr>
            </w:pPr>
            <w:r>
              <w:rPr>
                <w:noProof/>
              </w:rPr>
              <w:t>Sechsmonatszeitraum, gerechnet ab dem T.M.JJJJ</w:t>
            </w:r>
          </w:p>
        </w:tc>
        <w:tc>
          <w:tcPr>
            <w:tcW w:w="2160" w:type="dxa"/>
          </w:tcPr>
          <w:p>
            <w:pPr>
              <w:jc w:val="center"/>
              <w:rPr>
                <w:noProof/>
              </w:rPr>
            </w:pPr>
            <w:r>
              <w:rPr>
                <w:noProof/>
              </w:rPr>
              <w:t>[Jahr: zweites Halbjahr 2019]</w:t>
            </w:r>
          </w:p>
        </w:tc>
      </w:tr>
      <w:tr>
        <w:tc>
          <w:tcPr>
            <w:tcW w:w="1321" w:type="dxa"/>
          </w:tcPr>
          <w:p>
            <w:pPr>
              <w:rPr>
                <w:noProof/>
              </w:rPr>
            </w:pPr>
            <w:r>
              <w:rPr>
                <w:noProof/>
              </w:rPr>
              <w:t>Artikel 120</w:t>
            </w:r>
          </w:p>
        </w:tc>
        <w:tc>
          <w:tcPr>
            <w:tcW w:w="2879" w:type="dxa"/>
          </w:tcPr>
          <w:p>
            <w:pPr>
              <w:jc w:val="center"/>
              <w:rPr>
                <w:i/>
                <w:noProof/>
              </w:rPr>
            </w:pPr>
            <w:r>
              <w:rPr>
                <w:i/>
                <w:noProof/>
              </w:rPr>
              <w:t>Auswirkungen auf die Eigenmittel</w:t>
            </w:r>
          </w:p>
        </w:tc>
        <w:tc>
          <w:tcPr>
            <w:tcW w:w="2040" w:type="dxa"/>
          </w:tcPr>
          <w:p>
            <w:pPr>
              <w:jc w:val="center"/>
              <w:rPr>
                <w:noProof/>
              </w:rPr>
            </w:pPr>
            <w:r>
              <w:rPr>
                <w:noProof/>
              </w:rPr>
              <w:t>1.7.2018</w:t>
            </w:r>
          </w:p>
        </w:tc>
        <w:tc>
          <w:tcPr>
            <w:tcW w:w="2160" w:type="dxa"/>
          </w:tcPr>
          <w:p>
            <w:pPr>
              <w:pStyle w:val="ListParagraph"/>
              <w:rPr>
                <w:noProof/>
              </w:rPr>
            </w:pPr>
            <w:r>
              <w:rPr>
                <w:noProof/>
              </w:rPr>
              <w:t>-0,4</w:t>
            </w:r>
          </w:p>
        </w:tc>
      </w:tr>
    </w:tbl>
    <w:p>
      <w:pPr>
        <w:spacing w:before="100" w:beforeAutospacing="1" w:after="100" w:afterAutospacing="1"/>
        <w:jc w:val="left"/>
        <w:rPr>
          <w:noProof/>
          <w:szCs w:val="24"/>
        </w:rPr>
      </w:pPr>
    </w:p>
    <w:p>
      <w:pPr>
        <w:spacing w:before="100" w:beforeAutospacing="1" w:after="100" w:afterAutospacing="1"/>
        <w:rPr>
          <w:noProof/>
          <w:szCs w:val="24"/>
        </w:rPr>
      </w:pPr>
      <w:r>
        <w:rPr>
          <w:noProof/>
        </w:rPr>
        <w:t xml:space="preserve">Der Anhang umfasst sechs neue Waren. Geht man bei der Berechnung von den Prognosen des antragstellenden Mitgliedstaats für 2019 aus, so führen diese Zollkontingente zu Mindereinnahmen in Höhe von 4 006 350 EUR pro Jahr. </w:t>
      </w:r>
    </w:p>
    <w:p>
      <w:pPr>
        <w:spacing w:before="0" w:after="0"/>
        <w:rPr>
          <w:rFonts w:ascii="Arial" w:eastAsia="Times New Roman" w:hAnsi="Arial" w:cs="Arial"/>
          <w:noProof/>
          <w:sz w:val="20"/>
          <w:szCs w:val="20"/>
        </w:rPr>
      </w:pPr>
      <w:r>
        <w:rPr>
          <w:noProof/>
        </w:rPr>
        <w:t>Zwei Waren wurden aus dem Anhang dieser Verordnung gestrichen, sodass erneut Zölle auf sie erhoben werden. Dies entspricht Mehreinnahmen bei den Zöllen in Höhe von 3 014 000 EUR pro Jahr.</w:t>
      </w:r>
    </w:p>
    <w:p>
      <w:pPr>
        <w:spacing w:before="100" w:beforeAutospacing="1" w:after="100" w:afterAutospacing="1"/>
        <w:rPr>
          <w:noProof/>
          <w:szCs w:val="24"/>
        </w:rPr>
      </w:pPr>
      <w:r>
        <w:rPr>
          <w:noProof/>
        </w:rPr>
        <w:t>Auf der Grundlage der vorstehenden Ausführungen wird der sich aus dieser Verordnung ergebende Verlust an Einnahmen für den EU-Haushalt mit 4 006 350 EUR – 3 014 000 EUR = 1 Mio. EUR (Bruttobetrag einschließlich Erhebungskosten) x 0,8 = 0,8 Mio. EUR (Nettobetrag) pro Jahr veranschlagt.</w:t>
      </w:r>
    </w:p>
    <w:p>
      <w:pPr>
        <w:rPr>
          <w:noProof/>
        </w:rPr>
      </w:pPr>
      <w:r>
        <w:rPr>
          <w:noProof/>
        </w:rPr>
        <w:t>4.</w:t>
      </w:r>
      <w:r>
        <w:rPr>
          <w:noProof/>
        </w:rPr>
        <w:tab/>
      </w:r>
      <w:r>
        <w:rPr>
          <w:b/>
          <w:noProof/>
        </w:rPr>
        <w:t>BETRUGSBEKÄMPFUNGSMAẞNAHMEN</w:t>
      </w:r>
    </w:p>
    <w:p>
      <w:pPr>
        <w:rPr>
          <w:noProof/>
        </w:rPr>
      </w:pPr>
      <w:r>
        <w:rPr>
          <w:noProof/>
        </w:rPr>
        <w:t>Die Endverwendung bestimmter unter diese Verordnung des Rates fallender Waren wird nach Artikel 254 der Verordnung (EU) Nr. 952/2013 des Europäischen Parlaments und des Rates vom 9. Oktober 2013 zur Festlegung des Zollkodex der Union überwacht.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ABl. C 363 vom 13.12.2011, S. 6.</w:t>
      </w:r>
    </w:p>
  </w:footnote>
  <w:footnote w:id="2">
    <w:p>
      <w:pPr>
        <w:pStyle w:val="FootnoteText"/>
      </w:pPr>
      <w:r>
        <w:rPr>
          <w:rStyle w:val="FootnoteReference"/>
        </w:rPr>
        <w:footnoteRef/>
      </w:r>
      <w:r>
        <w:tab/>
      </w:r>
      <w:hyperlink r:id="rId1">
        <w:r>
          <w:rPr>
            <w:rStyle w:val="Hyperlink"/>
          </w:rPr>
          <w:t>http://ec.europa.eu/taxation_customs/common/publications/studies/index_de.htm</w:t>
        </w:r>
      </w:hyperlink>
    </w:p>
  </w:footnote>
  <w:footnote w:id="3">
    <w:p>
      <w:pPr>
        <w:pStyle w:val="FootnoteText"/>
      </w:pPr>
      <w:r>
        <w:rPr>
          <w:rStyle w:val="FootnoteReference"/>
        </w:rPr>
        <w:footnoteRef/>
      </w:r>
      <w:r>
        <w:tab/>
        <w:t xml:space="preserve">Verordnung (EU) Nr. 1388/2013 des Rates vom 17. Dezember 2013 zur Eröffnung und Verwaltung autonomer Zollkontingente der Union für bestimmte landwirtschaftliche Erzeugnisse und gewerbliche Waren und zur Aufhebung der Verordnung (EU) Nr. 7/2010 (ABl. L 354 vom 28.12.2013, S. 319). </w:t>
      </w:r>
    </w:p>
  </w:footnote>
  <w:footnote w:id="4">
    <w:p>
      <w:pPr>
        <w:pStyle w:val="FootnoteText"/>
      </w:pPr>
      <w:r>
        <w:rPr>
          <w:rStyle w:val="FootnoteReference"/>
        </w:rPr>
        <w:footnoteRef/>
      </w:r>
      <w:r>
        <w:tab/>
      </w:r>
      <w:hyperlink r:id="rId2">
        <w:r>
          <w:rPr>
            <w:rStyle w:val="Hyperlink"/>
            <w:color w:val="auto"/>
            <w:sz w:val="19"/>
            <w:shd w:val="clear" w:color="auto" w:fill="FFFFFF"/>
          </w:rPr>
          <w:t>ABl. L 161 vom 18.6.2016, S. 4</w:t>
        </w:r>
      </w:hyperlink>
      <w:r>
        <w:t>.</w:t>
      </w:r>
    </w:p>
  </w:footnote>
  <w:footnote w:id="5">
    <w:p>
      <w:pPr>
        <w:pStyle w:val="FootnoteText"/>
      </w:pPr>
      <w:r>
        <w:rPr>
          <w:rStyle w:val="FootnoteReference"/>
        </w:rPr>
        <w:footnoteRef/>
      </w:r>
      <w:r>
        <w:tab/>
      </w:r>
      <w:hyperlink r:id="rId3">
        <w:r>
          <w:rPr>
            <w:rStyle w:val="Hyperlink"/>
            <w:color w:val="auto"/>
            <w:sz w:val="19"/>
            <w:shd w:val="clear" w:color="auto" w:fill="FFFFFF"/>
          </w:rPr>
          <w:t>ABl. C 363 vom 13.12.2011, S. 6</w:t>
        </w:r>
      </w:hyperlink>
      <w:r>
        <w:t>.</w:t>
      </w:r>
    </w:p>
  </w:footnote>
  <w:footnote w:id="6">
    <w:p>
      <w:pPr>
        <w:pStyle w:val="FootnoteText"/>
      </w:pPr>
      <w:r>
        <w:rPr>
          <w:rStyle w:val="FootnoteReference"/>
        </w:rPr>
        <w:footnoteRef/>
      </w:r>
      <w:r>
        <w:tab/>
        <w:t>Bei den traditionellen Eigenmitteln (Zölle, Zuckerabgaben) sind die Beträge netto, d. h. abzüglich 20 % für Erhebungskosten,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8836DE"/>
    <w:lvl w:ilvl="0">
      <w:start w:val="1"/>
      <w:numFmt w:val="decimal"/>
      <w:pStyle w:val="ListNumber3"/>
      <w:lvlText w:val="%1."/>
      <w:lvlJc w:val="left"/>
      <w:pPr>
        <w:tabs>
          <w:tab w:val="num" w:pos="926"/>
        </w:tabs>
        <w:ind w:left="926" w:hanging="360"/>
      </w:pPr>
    </w:lvl>
  </w:abstractNum>
  <w:abstractNum w:abstractNumId="1">
    <w:nsid w:val="FFFFFF7F"/>
    <w:multiLevelType w:val="singleLevel"/>
    <w:tmpl w:val="7EAC0BFA"/>
    <w:lvl w:ilvl="0">
      <w:start w:val="1"/>
      <w:numFmt w:val="decimal"/>
      <w:pStyle w:val="ListNumber2"/>
      <w:lvlText w:val="%1."/>
      <w:lvlJc w:val="left"/>
      <w:pPr>
        <w:tabs>
          <w:tab w:val="num" w:pos="643"/>
        </w:tabs>
        <w:ind w:left="643" w:hanging="360"/>
      </w:pPr>
    </w:lvl>
  </w:abstractNum>
  <w:abstractNum w:abstractNumId="2">
    <w:nsid w:val="FFFFFF81"/>
    <w:multiLevelType w:val="singleLevel"/>
    <w:tmpl w:val="75F0DCB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FB54480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37C4AB56"/>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3F6C8F2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Bullet 4"/>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2"/>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2"/>
  </w:num>
  <w:num w:numId="5">
    <w:abstractNumId w:val="4"/>
  </w:num>
  <w:num w:numId="6">
    <w:abstractNumId w:val="0"/>
  </w:num>
  <w:num w:numId="7">
    <w:abstractNumId w:val="1"/>
  </w:num>
  <w:num w:numId="8">
    <w:abstractNumId w:val="5"/>
  </w:num>
  <w:num w:numId="9">
    <w:abstractNumId w:val="3"/>
  </w:num>
  <w:num w:numId="10">
    <w:abstractNumId w:val="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lvlOverride w:ilvl="0">
      <w:startOverride w:val="1"/>
    </w:lvlOverride>
  </w:num>
  <w:num w:numId="14">
    <w:abstractNumId w:val="19"/>
  </w:num>
  <w:num w:numId="15">
    <w:abstractNumId w:val="11"/>
  </w:num>
  <w:num w:numId="16">
    <w:abstractNumId w:val="21"/>
  </w:num>
  <w:num w:numId="17">
    <w:abstractNumId w:val="10"/>
  </w:num>
  <w:num w:numId="18">
    <w:abstractNumId w:val="12"/>
  </w:num>
  <w:num w:numId="19">
    <w:abstractNumId w:val="8"/>
  </w:num>
  <w:num w:numId="20">
    <w:abstractNumId w:val="20"/>
  </w:num>
  <w:num w:numId="21">
    <w:abstractNumId w:val="7"/>
  </w:num>
  <w:num w:numId="22">
    <w:abstractNumId w:val="13"/>
  </w:num>
  <w:num w:numId="23">
    <w:abstractNumId w:val="17"/>
  </w:num>
  <w:num w:numId="24">
    <w:abstractNumId w:val="18"/>
  </w:num>
  <w:num w:numId="25">
    <w:abstractNumId w:val="9"/>
  </w:num>
  <w:num w:numId="26">
    <w:abstractNumId w:val="16"/>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noPunctuationKerning/>
  <w:characterSpacingControl w:val="doNotCompress"/>
  <w:hdrShapeDefaults>
    <o:shapedefaults v:ext="edit" spidmax="614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30 09:59:0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4A34249F-837F-4225-8D3F-4BA6AABD9604"/>
    <w:docVar w:name="LW_COVERPAGE_TYPE" w:val="1"/>
    <w:docVar w:name="LW_CROSSREFERENCE" w:val="&lt;UNUSED&gt;"/>
    <w:docVar w:name="LW_DocType" w:val="COM"/>
    <w:docVar w:name="LW_EMISSION" w:val="2.5.2019"/>
    <w:docVar w:name="LW_EMISSION_ISODATE" w:val="2019-05-02"/>
    <w:docVar w:name="LW_EMISSION_LOCATION" w:val="BRX"/>
    <w:docVar w:name="LW_EMISSION_PREFIX" w:val="Brüssel, den "/>
    <w:docVar w:name="LW_EMISSION_SUFFIX" w:val=" "/>
    <w:docVar w:name="LW_ID_DOCMODEL" w:val="b01"/>
    <w:docVar w:name="LW_ID_DOCSIGNATURE" w:val="SJ-016"/>
    <w:docVar w:name="LW_ID_DOCSTRUCTURE" w:val="COM/PL/ORG"/>
    <w:docVar w:name="LW_ID_DOCTYPE" w:val="SJ-016"/>
    <w:docVar w:name="LW_ID_STATUT" w:val="PROPOSAL"/>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103"/>
    <w:docVar w:name="LW_REF.II.NEW.CP_YEAR" w:val="2019"/>
    <w:docVar w:name="LW_REF.INST.NEW" w:val="COM"/>
    <w:docVar w:name="LW_REF.INST.NEW_ADOPTED" w:val="final"/>
    <w:docVar w:name="LW_REF.INST.NEW_TEXT" w:val="(2019) 2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Vorschlag für eine"/>
    <w:docVar w:name="LW_SUPERTITRE" w:val="&lt;UNUSED&gt;"/>
    <w:docVar w:name="LW_TITRE.OBJ.CP" w:val="zur Änderung der Verordnung (EU) Nr. 1388/2013 zur Eröffnung und Verwaltung autonomer Zollkontingente der Union für bestimmte landwirtschaftliche Erzeugnisse und gewerbliche Waren"/>
    <w:docVar w:name="LW_TITRE.OBJ.CP_PREVIOUS" w:val="&lt;UNUSED&gt;"/>
    <w:docVar w:name="LW_TYPE.DOC.CP" w:val="VERORDNUNG DES RATES"/>
    <w:docVar w:name="Stamp" w:val="\\dossiers.dgt.cec.eu.int\dossiers\TAXUD\TAXUD-2017-00167\TAXUD-2017-00167-00-00-EN-REV-00.201703081637032294106.DOC"/>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shd w:val="clear" w:color="auto" w:fill="auto"/>
    </w:rPr>
  </w:style>
  <w:style w:type="paragraph" w:customStyle="1" w:styleId="Paragraph">
    <w:name w:val="Paragraph"/>
    <w:basedOn w:val="Normal"/>
    <w:pPr>
      <w:spacing w:before="0" w:after="0"/>
    </w:pPr>
    <w:rPr>
      <w:sz w:val="16"/>
    </w:rPr>
  </w:style>
  <w:style w:type="table" w:customStyle="1" w:styleId="Listdash">
    <w:name w:val="List dash"/>
    <w:basedOn w:val="Listtable"/>
    <w:rPr>
      <w:sz w:val="20"/>
      <w:szCs w:val="20"/>
    </w:rPr>
    <w:tblPr>
      <w:tblCellMar>
        <w:top w:w="0" w:type="dxa"/>
        <w:left w:w="0" w:type="dxa"/>
        <w:bottom w:w="0" w:type="dxa"/>
      </w:tblCellMar>
    </w:tblPr>
  </w:style>
  <w:style w:type="character" w:customStyle="1" w:styleId="FootnoteReference1">
    <w:name w:val="Footnote Reference1"/>
    <w:hidden/>
    <w:rPr>
      <w:sz w:val="16"/>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character" w:styleId="Strong">
    <w:name w:val="Strong"/>
    <w:uiPriority w:val="22"/>
    <w:qFormat/>
    <w:rPr>
      <w:rFonts w:cs="Times New Roman"/>
      <w:b/>
      <w:bCs/>
      <w:shd w:val="clear" w:color="auto" w:fill="auto"/>
    </w:rPr>
  </w:style>
  <w:style w:type="table" w:customStyle="1" w:styleId="Listtable">
    <w:name w:val="List table"/>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ListNumber2">
    <w:name w:val="List Number 2"/>
    <w:basedOn w:val="Normal"/>
    <w:pPr>
      <w:numPr>
        <w:numId w:val="7"/>
      </w:numPr>
    </w:pPr>
  </w:style>
  <w:style w:type="paragraph" w:styleId="ListNumber3">
    <w:name w:val="List Number 3"/>
    <w:basedOn w:val="Normal"/>
    <w:pPr>
      <w:numPr>
        <w:numId w:val="6"/>
      </w:numPr>
    </w:pPr>
  </w:style>
  <w:style w:type="paragraph" w:styleId="ListNumber4">
    <w:name w:val="List Number 4"/>
    <w:basedOn w:val="Normal"/>
    <w:pPr>
      <w:tabs>
        <w:tab w:val="num" w:pos="1209"/>
      </w:tabs>
      <w:ind w:left="1209" w:hanging="360"/>
    </w:pPr>
  </w:style>
  <w:style w:type="paragraph" w:styleId="ListBullet">
    <w:name w:val="List Bullet"/>
    <w:basedOn w:val="Normal"/>
    <w:pPr>
      <w:numPr>
        <w:numId w:val="8"/>
      </w:numPr>
    </w:pPr>
  </w:style>
  <w:style w:type="paragraph" w:styleId="ListBullet2">
    <w:name w:val="List Bullet 2"/>
    <w:basedOn w:val="Normal"/>
    <w:pPr>
      <w:numPr>
        <w:numId w:val="5"/>
      </w:numPr>
    </w:pPr>
  </w:style>
  <w:style w:type="paragraph" w:styleId="ListBullet3">
    <w:name w:val="List Bullet 3"/>
    <w:basedOn w:val="Normal"/>
    <w:pPr>
      <w:numPr>
        <w:numId w:val="9"/>
      </w:numPr>
    </w:pPr>
  </w:style>
  <w:style w:type="paragraph" w:styleId="ListBullet4">
    <w:name w:val="List Bullet 4"/>
    <w:basedOn w:val="Normal"/>
    <w:uiPriority w:val="99"/>
    <w:pPr>
      <w:numPr>
        <w:numId w:val="10"/>
      </w:numPr>
    </w:pPr>
  </w:style>
  <w:style w:type="paragraph" w:styleId="Caption">
    <w:name w:val="caption"/>
    <w:basedOn w:val="Normal"/>
    <w:next w:val="Normal"/>
    <w:qFormat/>
    <w:rPr>
      <w:b/>
      <w:bCs/>
      <w:sz w:val="20"/>
    </w:rPr>
  </w:style>
  <w:style w:type="paragraph" w:styleId="TableofFigures">
    <w:name w:val="table of figures"/>
    <w:basedOn w:val="Normal"/>
    <w:next w:val="Normal"/>
    <w:semiHidden/>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customStyle="1" w:styleId="Notestable">
    <w:name w:val="Notes table"/>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paragraph" w:customStyle="1" w:styleId="Subtitle1">
    <w:name w:val="Subtitle1"/>
    <w:aliases w:val="CONTENT.TITLE.TI"/>
    <w:basedOn w:val="Normal"/>
    <w:pPr>
      <w:keepNext/>
      <w:jc w:val="center"/>
    </w:pPr>
  </w:style>
  <w:style w:type="character" w:customStyle="1" w:styleId="footnoteparenthesis">
    <w:name w:val="footnote_parenthesis"/>
    <w:rPr>
      <w:shd w:val="clear" w:color="auto" w:fill="auto"/>
    </w:rPr>
  </w:style>
  <w:style w:type="paragraph" w:styleId="EndnoteText">
    <w:name w:val="endnote text"/>
    <w:basedOn w:val="Normal"/>
    <w:link w:val="EndnoteTextChar"/>
    <w:rPr>
      <w:sz w:val="20"/>
    </w:rPr>
  </w:style>
  <w:style w:type="character" w:customStyle="1" w:styleId="EndnoteTextChar">
    <w:name w:val="Endnote Text Char"/>
    <w:link w:val="EndnoteText"/>
    <w:rPr>
      <w:shd w:val="clear" w:color="auto" w:fill="auto"/>
      <w:lang w:eastAsia="de-DE"/>
    </w:rPr>
  </w:style>
  <w:style w:type="character" w:styleId="EndnoteReference">
    <w:name w:val="endnote reference"/>
    <w:rPr>
      <w:shd w:val="clear" w:color="auto" w:fill="auto"/>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0" w:after="0"/>
      <w:jc w:val="left"/>
    </w:pPr>
  </w:style>
  <w:style w:type="paragraph" w:customStyle="1" w:styleId="Titrefichefinancier">
    <w:name w:val="Titre fiche financier"/>
    <w:basedOn w:val="Normal"/>
    <w:pPr>
      <w:jc w:val="center"/>
    </w:pPr>
    <w:rPr>
      <w:b/>
      <w:noProof/>
      <w:u w:val="single"/>
    </w:rPr>
  </w:style>
  <w:style w:type="table" w:customStyle="1" w:styleId="Listtable1">
    <w:name w:val="List table1"/>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Listtable2">
    <w:name w:val="List table2"/>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Revision">
    <w:name w:val="Revision"/>
    <w:hidden/>
    <w:uiPriority w:val="99"/>
    <w:semiHidden/>
    <w:rPr>
      <w:sz w:val="24"/>
    </w:rPr>
  </w:style>
  <w:style w:type="character" w:customStyle="1" w:styleId="tgc">
    <w:name w:val="_tgc"/>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300" w:after="0" w:line="504" w:lineRule="exact"/>
      <w:ind w:hanging="560"/>
    </w:pPr>
    <w:rPr>
      <w:rFonts w:asciiTheme="minorHAnsi" w:hAnsiTheme="minorHAnsi" w:cstheme="minorBidi"/>
      <w:sz w:val="18"/>
      <w:szCs w:val="1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shd w:val="clear" w:color="auto" w:fill="auto"/>
    </w:rPr>
  </w:style>
  <w:style w:type="paragraph" w:customStyle="1" w:styleId="Paragraph">
    <w:name w:val="Paragraph"/>
    <w:basedOn w:val="Normal"/>
    <w:pPr>
      <w:spacing w:before="0" w:after="0"/>
    </w:pPr>
    <w:rPr>
      <w:sz w:val="16"/>
    </w:rPr>
  </w:style>
  <w:style w:type="table" w:customStyle="1" w:styleId="Listdash">
    <w:name w:val="List dash"/>
    <w:basedOn w:val="Listtable"/>
    <w:rPr>
      <w:sz w:val="20"/>
      <w:szCs w:val="20"/>
    </w:rPr>
    <w:tblPr>
      <w:tblCellMar>
        <w:top w:w="0" w:type="dxa"/>
        <w:left w:w="0" w:type="dxa"/>
        <w:bottom w:w="0" w:type="dxa"/>
      </w:tblCellMar>
    </w:tblPr>
  </w:style>
  <w:style w:type="character" w:customStyle="1" w:styleId="FootnoteReference1">
    <w:name w:val="Footnote Reference1"/>
    <w:hidden/>
    <w:rPr>
      <w:sz w:val="16"/>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character" w:styleId="Strong">
    <w:name w:val="Strong"/>
    <w:uiPriority w:val="22"/>
    <w:qFormat/>
    <w:rPr>
      <w:rFonts w:cs="Times New Roman"/>
      <w:b/>
      <w:bCs/>
      <w:shd w:val="clear" w:color="auto" w:fill="auto"/>
    </w:rPr>
  </w:style>
  <w:style w:type="table" w:customStyle="1" w:styleId="Listtable">
    <w:name w:val="List table"/>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ListNumber2">
    <w:name w:val="List Number 2"/>
    <w:basedOn w:val="Normal"/>
    <w:pPr>
      <w:numPr>
        <w:numId w:val="7"/>
      </w:numPr>
    </w:pPr>
  </w:style>
  <w:style w:type="paragraph" w:styleId="ListNumber3">
    <w:name w:val="List Number 3"/>
    <w:basedOn w:val="Normal"/>
    <w:pPr>
      <w:numPr>
        <w:numId w:val="6"/>
      </w:numPr>
    </w:pPr>
  </w:style>
  <w:style w:type="paragraph" w:styleId="ListNumber4">
    <w:name w:val="List Number 4"/>
    <w:basedOn w:val="Normal"/>
    <w:pPr>
      <w:tabs>
        <w:tab w:val="num" w:pos="1209"/>
      </w:tabs>
      <w:ind w:left="1209" w:hanging="360"/>
    </w:pPr>
  </w:style>
  <w:style w:type="paragraph" w:styleId="ListBullet">
    <w:name w:val="List Bullet"/>
    <w:basedOn w:val="Normal"/>
    <w:pPr>
      <w:numPr>
        <w:numId w:val="8"/>
      </w:numPr>
    </w:pPr>
  </w:style>
  <w:style w:type="paragraph" w:styleId="ListBullet2">
    <w:name w:val="List Bullet 2"/>
    <w:basedOn w:val="Normal"/>
    <w:pPr>
      <w:numPr>
        <w:numId w:val="5"/>
      </w:numPr>
    </w:pPr>
  </w:style>
  <w:style w:type="paragraph" w:styleId="ListBullet3">
    <w:name w:val="List Bullet 3"/>
    <w:basedOn w:val="Normal"/>
    <w:pPr>
      <w:numPr>
        <w:numId w:val="9"/>
      </w:numPr>
    </w:pPr>
  </w:style>
  <w:style w:type="paragraph" w:styleId="ListBullet4">
    <w:name w:val="List Bullet 4"/>
    <w:basedOn w:val="Normal"/>
    <w:uiPriority w:val="99"/>
    <w:pPr>
      <w:numPr>
        <w:numId w:val="10"/>
      </w:numPr>
    </w:pPr>
  </w:style>
  <w:style w:type="paragraph" w:styleId="Caption">
    <w:name w:val="caption"/>
    <w:basedOn w:val="Normal"/>
    <w:next w:val="Normal"/>
    <w:qFormat/>
    <w:rPr>
      <w:b/>
      <w:bCs/>
      <w:sz w:val="20"/>
    </w:rPr>
  </w:style>
  <w:style w:type="paragraph" w:styleId="TableofFigures">
    <w:name w:val="table of figures"/>
    <w:basedOn w:val="Normal"/>
    <w:next w:val="Normal"/>
    <w:semiHidden/>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customStyle="1" w:styleId="Notestable">
    <w:name w:val="Notes table"/>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paragraph" w:customStyle="1" w:styleId="Subtitle1">
    <w:name w:val="Subtitle1"/>
    <w:aliases w:val="CONTENT.TITLE.TI"/>
    <w:basedOn w:val="Normal"/>
    <w:pPr>
      <w:keepNext/>
      <w:jc w:val="center"/>
    </w:pPr>
  </w:style>
  <w:style w:type="character" w:customStyle="1" w:styleId="footnoteparenthesis">
    <w:name w:val="footnote_parenthesis"/>
    <w:rPr>
      <w:shd w:val="clear" w:color="auto" w:fill="auto"/>
    </w:rPr>
  </w:style>
  <w:style w:type="paragraph" w:styleId="EndnoteText">
    <w:name w:val="endnote text"/>
    <w:basedOn w:val="Normal"/>
    <w:link w:val="EndnoteTextChar"/>
    <w:rPr>
      <w:sz w:val="20"/>
    </w:rPr>
  </w:style>
  <w:style w:type="character" w:customStyle="1" w:styleId="EndnoteTextChar">
    <w:name w:val="Endnote Text Char"/>
    <w:link w:val="EndnoteText"/>
    <w:rPr>
      <w:shd w:val="clear" w:color="auto" w:fill="auto"/>
      <w:lang w:eastAsia="de-DE"/>
    </w:rPr>
  </w:style>
  <w:style w:type="character" w:styleId="EndnoteReference">
    <w:name w:val="endnote reference"/>
    <w:rPr>
      <w:shd w:val="clear" w:color="auto" w:fill="auto"/>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0" w:after="0"/>
      <w:jc w:val="left"/>
    </w:pPr>
  </w:style>
  <w:style w:type="paragraph" w:customStyle="1" w:styleId="Titrefichefinancier">
    <w:name w:val="Titre fiche financier"/>
    <w:basedOn w:val="Normal"/>
    <w:pPr>
      <w:jc w:val="center"/>
    </w:pPr>
    <w:rPr>
      <w:b/>
      <w:noProof/>
      <w:u w:val="single"/>
    </w:rPr>
  </w:style>
  <w:style w:type="table" w:customStyle="1" w:styleId="Listtable1">
    <w:name w:val="List table1"/>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Listtable2">
    <w:name w:val="List table2"/>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Revision">
    <w:name w:val="Revision"/>
    <w:hidden/>
    <w:uiPriority w:val="99"/>
    <w:semiHidden/>
    <w:rPr>
      <w:sz w:val="24"/>
    </w:rPr>
  </w:style>
  <w:style w:type="character" w:customStyle="1" w:styleId="tgc">
    <w:name w:val="_tgc"/>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300" w:after="0" w:line="504" w:lineRule="exact"/>
      <w:ind w:hanging="560"/>
    </w:pPr>
    <w:rPr>
      <w:rFonts w:asciiTheme="minorHAnsi" w:hAnsiTheme="minorHAnsi" w:cstheme="minorBidi"/>
      <w:sz w:val="18"/>
      <w:szCs w:val="1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3856">
      <w:bodyDiv w:val="1"/>
      <w:marLeft w:val="0"/>
      <w:marRight w:val="0"/>
      <w:marTop w:val="0"/>
      <w:marBottom w:val="0"/>
      <w:divBdr>
        <w:top w:val="none" w:sz="0" w:space="0" w:color="auto"/>
        <w:left w:val="none" w:sz="0" w:space="0" w:color="auto"/>
        <w:bottom w:val="none" w:sz="0" w:space="0" w:color="auto"/>
        <w:right w:val="none" w:sz="0" w:space="0" w:color="auto"/>
      </w:divBdr>
    </w:div>
    <w:div w:id="447701243">
      <w:bodyDiv w:val="1"/>
      <w:marLeft w:val="0"/>
      <w:marRight w:val="0"/>
      <w:marTop w:val="0"/>
      <w:marBottom w:val="0"/>
      <w:divBdr>
        <w:top w:val="none" w:sz="0" w:space="0" w:color="auto"/>
        <w:left w:val="none" w:sz="0" w:space="0" w:color="auto"/>
        <w:bottom w:val="none" w:sz="0" w:space="0" w:color="auto"/>
        <w:right w:val="none" w:sz="0" w:space="0" w:color="auto"/>
      </w:divBdr>
    </w:div>
    <w:div w:id="696855808">
      <w:bodyDiv w:val="1"/>
      <w:marLeft w:val="0"/>
      <w:marRight w:val="0"/>
      <w:marTop w:val="0"/>
      <w:marBottom w:val="0"/>
      <w:divBdr>
        <w:top w:val="none" w:sz="0" w:space="0" w:color="auto"/>
        <w:left w:val="none" w:sz="0" w:space="0" w:color="auto"/>
        <w:bottom w:val="none" w:sz="0" w:space="0" w:color="auto"/>
        <w:right w:val="none" w:sz="0" w:space="0" w:color="auto"/>
      </w:divBdr>
      <w:divsChild>
        <w:div w:id="953247395">
          <w:marLeft w:val="0"/>
          <w:marRight w:val="0"/>
          <w:marTop w:val="0"/>
          <w:marBottom w:val="0"/>
          <w:divBdr>
            <w:top w:val="none" w:sz="0" w:space="0" w:color="auto"/>
            <w:left w:val="none" w:sz="0" w:space="0" w:color="auto"/>
            <w:bottom w:val="none" w:sz="0" w:space="0" w:color="auto"/>
            <w:right w:val="none" w:sz="0" w:space="0" w:color="auto"/>
          </w:divBdr>
          <w:divsChild>
            <w:div w:id="1317614473">
              <w:marLeft w:val="0"/>
              <w:marRight w:val="0"/>
              <w:marTop w:val="0"/>
              <w:marBottom w:val="0"/>
              <w:divBdr>
                <w:top w:val="none" w:sz="0" w:space="0" w:color="auto"/>
                <w:left w:val="none" w:sz="0" w:space="0" w:color="auto"/>
                <w:bottom w:val="none" w:sz="0" w:space="0" w:color="auto"/>
                <w:right w:val="none" w:sz="0" w:space="0" w:color="auto"/>
              </w:divBdr>
              <w:divsChild>
                <w:div w:id="207573036">
                  <w:marLeft w:val="0"/>
                  <w:marRight w:val="0"/>
                  <w:marTop w:val="0"/>
                  <w:marBottom w:val="0"/>
                  <w:divBdr>
                    <w:top w:val="none" w:sz="0" w:space="0" w:color="auto"/>
                    <w:left w:val="none" w:sz="0" w:space="0" w:color="auto"/>
                    <w:bottom w:val="none" w:sz="0" w:space="0" w:color="auto"/>
                    <w:right w:val="none" w:sz="0" w:space="0" w:color="auto"/>
                  </w:divBdr>
                  <w:divsChild>
                    <w:div w:id="2066875819">
                      <w:marLeft w:val="1"/>
                      <w:marRight w:val="1"/>
                      <w:marTop w:val="0"/>
                      <w:marBottom w:val="0"/>
                      <w:divBdr>
                        <w:top w:val="none" w:sz="0" w:space="0" w:color="auto"/>
                        <w:left w:val="none" w:sz="0" w:space="0" w:color="auto"/>
                        <w:bottom w:val="none" w:sz="0" w:space="0" w:color="auto"/>
                        <w:right w:val="none" w:sz="0" w:space="0" w:color="auto"/>
                      </w:divBdr>
                      <w:divsChild>
                        <w:div w:id="1261642017">
                          <w:marLeft w:val="0"/>
                          <w:marRight w:val="0"/>
                          <w:marTop w:val="0"/>
                          <w:marBottom w:val="0"/>
                          <w:divBdr>
                            <w:top w:val="none" w:sz="0" w:space="0" w:color="auto"/>
                            <w:left w:val="none" w:sz="0" w:space="0" w:color="auto"/>
                            <w:bottom w:val="none" w:sz="0" w:space="0" w:color="auto"/>
                            <w:right w:val="none" w:sz="0" w:space="0" w:color="auto"/>
                          </w:divBdr>
                          <w:divsChild>
                            <w:div w:id="319191998">
                              <w:marLeft w:val="0"/>
                              <w:marRight w:val="0"/>
                              <w:marTop w:val="0"/>
                              <w:marBottom w:val="360"/>
                              <w:divBdr>
                                <w:top w:val="none" w:sz="0" w:space="0" w:color="auto"/>
                                <w:left w:val="none" w:sz="0" w:space="0" w:color="auto"/>
                                <w:bottom w:val="none" w:sz="0" w:space="0" w:color="auto"/>
                                <w:right w:val="none" w:sz="0" w:space="0" w:color="auto"/>
                              </w:divBdr>
                              <w:divsChild>
                                <w:div w:id="1003053370">
                                  <w:marLeft w:val="0"/>
                                  <w:marRight w:val="0"/>
                                  <w:marTop w:val="0"/>
                                  <w:marBottom w:val="0"/>
                                  <w:divBdr>
                                    <w:top w:val="none" w:sz="0" w:space="0" w:color="auto"/>
                                    <w:left w:val="none" w:sz="0" w:space="0" w:color="auto"/>
                                    <w:bottom w:val="none" w:sz="0" w:space="0" w:color="auto"/>
                                    <w:right w:val="none" w:sz="0" w:space="0" w:color="auto"/>
                                  </w:divBdr>
                                  <w:divsChild>
                                    <w:div w:id="1696031355">
                                      <w:marLeft w:val="0"/>
                                      <w:marRight w:val="0"/>
                                      <w:marTop w:val="0"/>
                                      <w:marBottom w:val="0"/>
                                      <w:divBdr>
                                        <w:top w:val="none" w:sz="0" w:space="0" w:color="auto"/>
                                        <w:left w:val="none" w:sz="0" w:space="0" w:color="auto"/>
                                        <w:bottom w:val="none" w:sz="0" w:space="0" w:color="auto"/>
                                        <w:right w:val="none" w:sz="0" w:space="0" w:color="auto"/>
                                      </w:divBdr>
                                      <w:divsChild>
                                        <w:div w:id="196891429">
                                          <w:marLeft w:val="0"/>
                                          <w:marRight w:val="0"/>
                                          <w:marTop w:val="0"/>
                                          <w:marBottom w:val="0"/>
                                          <w:divBdr>
                                            <w:top w:val="none" w:sz="0" w:space="0" w:color="auto"/>
                                            <w:left w:val="none" w:sz="0" w:space="0" w:color="auto"/>
                                            <w:bottom w:val="none" w:sz="0" w:space="0" w:color="auto"/>
                                            <w:right w:val="none" w:sz="0" w:space="0" w:color="auto"/>
                                          </w:divBdr>
                                          <w:divsChild>
                                            <w:div w:id="1082022401">
                                              <w:marLeft w:val="0"/>
                                              <w:marRight w:val="0"/>
                                              <w:marTop w:val="0"/>
                                              <w:marBottom w:val="0"/>
                                              <w:divBdr>
                                                <w:top w:val="none" w:sz="0" w:space="0" w:color="auto"/>
                                                <w:left w:val="none" w:sz="0" w:space="0" w:color="auto"/>
                                                <w:bottom w:val="none" w:sz="0" w:space="0" w:color="auto"/>
                                                <w:right w:val="none" w:sz="0" w:space="0" w:color="auto"/>
                                              </w:divBdr>
                                              <w:divsChild>
                                                <w:div w:id="1014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977488">
      <w:bodyDiv w:val="1"/>
      <w:marLeft w:val="0"/>
      <w:marRight w:val="0"/>
      <w:marTop w:val="0"/>
      <w:marBottom w:val="0"/>
      <w:divBdr>
        <w:top w:val="none" w:sz="0" w:space="0" w:color="auto"/>
        <w:left w:val="none" w:sz="0" w:space="0" w:color="auto"/>
        <w:bottom w:val="none" w:sz="0" w:space="0" w:color="auto"/>
        <w:right w:val="none" w:sz="0" w:space="0" w:color="auto"/>
      </w:divBdr>
      <w:divsChild>
        <w:div w:id="1032918486">
          <w:marLeft w:val="0"/>
          <w:marRight w:val="0"/>
          <w:marTop w:val="0"/>
          <w:marBottom w:val="0"/>
          <w:divBdr>
            <w:top w:val="none" w:sz="0" w:space="0" w:color="auto"/>
            <w:left w:val="none" w:sz="0" w:space="0" w:color="auto"/>
            <w:bottom w:val="none" w:sz="0" w:space="0" w:color="auto"/>
            <w:right w:val="none" w:sz="0" w:space="0" w:color="auto"/>
          </w:divBdr>
          <w:divsChild>
            <w:div w:id="500583824">
              <w:marLeft w:val="0"/>
              <w:marRight w:val="0"/>
              <w:marTop w:val="0"/>
              <w:marBottom w:val="0"/>
              <w:divBdr>
                <w:top w:val="none" w:sz="0" w:space="0" w:color="auto"/>
                <w:left w:val="none" w:sz="0" w:space="0" w:color="auto"/>
                <w:bottom w:val="none" w:sz="0" w:space="0" w:color="auto"/>
                <w:right w:val="none" w:sz="0" w:space="0" w:color="auto"/>
              </w:divBdr>
              <w:divsChild>
                <w:div w:id="2092309036">
                  <w:marLeft w:val="0"/>
                  <w:marRight w:val="0"/>
                  <w:marTop w:val="0"/>
                  <w:marBottom w:val="0"/>
                  <w:divBdr>
                    <w:top w:val="none" w:sz="0" w:space="0" w:color="auto"/>
                    <w:left w:val="none" w:sz="0" w:space="0" w:color="auto"/>
                    <w:bottom w:val="none" w:sz="0" w:space="0" w:color="auto"/>
                    <w:right w:val="none" w:sz="0" w:space="0" w:color="auto"/>
                  </w:divBdr>
                  <w:divsChild>
                    <w:div w:id="2003392004">
                      <w:marLeft w:val="1"/>
                      <w:marRight w:val="1"/>
                      <w:marTop w:val="0"/>
                      <w:marBottom w:val="0"/>
                      <w:divBdr>
                        <w:top w:val="none" w:sz="0" w:space="0" w:color="auto"/>
                        <w:left w:val="none" w:sz="0" w:space="0" w:color="auto"/>
                        <w:bottom w:val="none" w:sz="0" w:space="0" w:color="auto"/>
                        <w:right w:val="none" w:sz="0" w:space="0" w:color="auto"/>
                      </w:divBdr>
                      <w:divsChild>
                        <w:div w:id="272445997">
                          <w:marLeft w:val="0"/>
                          <w:marRight w:val="0"/>
                          <w:marTop w:val="0"/>
                          <w:marBottom w:val="0"/>
                          <w:divBdr>
                            <w:top w:val="none" w:sz="0" w:space="0" w:color="auto"/>
                            <w:left w:val="none" w:sz="0" w:space="0" w:color="auto"/>
                            <w:bottom w:val="none" w:sz="0" w:space="0" w:color="auto"/>
                            <w:right w:val="none" w:sz="0" w:space="0" w:color="auto"/>
                          </w:divBdr>
                          <w:divsChild>
                            <w:div w:id="1129474443">
                              <w:marLeft w:val="0"/>
                              <w:marRight w:val="0"/>
                              <w:marTop w:val="0"/>
                              <w:marBottom w:val="360"/>
                              <w:divBdr>
                                <w:top w:val="none" w:sz="0" w:space="0" w:color="auto"/>
                                <w:left w:val="none" w:sz="0" w:space="0" w:color="auto"/>
                                <w:bottom w:val="none" w:sz="0" w:space="0" w:color="auto"/>
                                <w:right w:val="none" w:sz="0" w:space="0" w:color="auto"/>
                              </w:divBdr>
                              <w:divsChild>
                                <w:div w:id="273907376">
                                  <w:marLeft w:val="0"/>
                                  <w:marRight w:val="0"/>
                                  <w:marTop w:val="0"/>
                                  <w:marBottom w:val="0"/>
                                  <w:divBdr>
                                    <w:top w:val="none" w:sz="0" w:space="0" w:color="auto"/>
                                    <w:left w:val="none" w:sz="0" w:space="0" w:color="auto"/>
                                    <w:bottom w:val="none" w:sz="0" w:space="0" w:color="auto"/>
                                    <w:right w:val="none" w:sz="0" w:space="0" w:color="auto"/>
                                  </w:divBdr>
                                  <w:divsChild>
                                    <w:div w:id="310183253">
                                      <w:marLeft w:val="0"/>
                                      <w:marRight w:val="0"/>
                                      <w:marTop w:val="0"/>
                                      <w:marBottom w:val="0"/>
                                      <w:divBdr>
                                        <w:top w:val="none" w:sz="0" w:space="0" w:color="auto"/>
                                        <w:left w:val="none" w:sz="0" w:space="0" w:color="auto"/>
                                        <w:bottom w:val="none" w:sz="0" w:space="0" w:color="auto"/>
                                        <w:right w:val="none" w:sz="0" w:space="0" w:color="auto"/>
                                      </w:divBdr>
                                      <w:divsChild>
                                        <w:div w:id="1844855273">
                                          <w:marLeft w:val="0"/>
                                          <w:marRight w:val="0"/>
                                          <w:marTop w:val="0"/>
                                          <w:marBottom w:val="0"/>
                                          <w:divBdr>
                                            <w:top w:val="none" w:sz="0" w:space="0" w:color="auto"/>
                                            <w:left w:val="none" w:sz="0" w:space="0" w:color="auto"/>
                                            <w:bottom w:val="none" w:sz="0" w:space="0" w:color="auto"/>
                                            <w:right w:val="none" w:sz="0" w:space="0" w:color="auto"/>
                                          </w:divBdr>
                                          <w:divsChild>
                                            <w:div w:id="1675759636">
                                              <w:marLeft w:val="0"/>
                                              <w:marRight w:val="0"/>
                                              <w:marTop w:val="0"/>
                                              <w:marBottom w:val="0"/>
                                              <w:divBdr>
                                                <w:top w:val="none" w:sz="0" w:space="0" w:color="auto"/>
                                                <w:left w:val="none" w:sz="0" w:space="0" w:color="auto"/>
                                                <w:bottom w:val="none" w:sz="0" w:space="0" w:color="auto"/>
                                                <w:right w:val="none" w:sz="0" w:space="0" w:color="auto"/>
                                              </w:divBdr>
                                              <w:divsChild>
                                                <w:div w:id="18300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426333">
      <w:bodyDiv w:val="1"/>
      <w:marLeft w:val="0"/>
      <w:marRight w:val="0"/>
      <w:marTop w:val="0"/>
      <w:marBottom w:val="0"/>
      <w:divBdr>
        <w:top w:val="none" w:sz="0" w:space="0" w:color="auto"/>
        <w:left w:val="none" w:sz="0" w:space="0" w:color="auto"/>
        <w:bottom w:val="none" w:sz="0" w:space="0" w:color="auto"/>
        <w:right w:val="none" w:sz="0" w:space="0" w:color="auto"/>
      </w:divBdr>
    </w:div>
    <w:div w:id="1354502876">
      <w:bodyDiv w:val="1"/>
      <w:marLeft w:val="0"/>
      <w:marRight w:val="0"/>
      <w:marTop w:val="0"/>
      <w:marBottom w:val="0"/>
      <w:divBdr>
        <w:top w:val="none" w:sz="0" w:space="0" w:color="auto"/>
        <w:left w:val="none" w:sz="0" w:space="0" w:color="auto"/>
        <w:bottom w:val="none" w:sz="0" w:space="0" w:color="auto"/>
        <w:right w:val="none" w:sz="0" w:space="0" w:color="auto"/>
      </w:divBdr>
      <w:divsChild>
        <w:div w:id="1480883514">
          <w:marLeft w:val="0"/>
          <w:marRight w:val="0"/>
          <w:marTop w:val="0"/>
          <w:marBottom w:val="0"/>
          <w:divBdr>
            <w:top w:val="none" w:sz="0" w:space="0" w:color="auto"/>
            <w:left w:val="none" w:sz="0" w:space="0" w:color="auto"/>
            <w:bottom w:val="none" w:sz="0" w:space="0" w:color="auto"/>
            <w:right w:val="none" w:sz="0" w:space="0" w:color="auto"/>
          </w:divBdr>
          <w:divsChild>
            <w:div w:id="1272518043">
              <w:marLeft w:val="0"/>
              <w:marRight w:val="0"/>
              <w:marTop w:val="0"/>
              <w:marBottom w:val="0"/>
              <w:divBdr>
                <w:top w:val="none" w:sz="0" w:space="0" w:color="auto"/>
                <w:left w:val="none" w:sz="0" w:space="0" w:color="auto"/>
                <w:bottom w:val="none" w:sz="0" w:space="0" w:color="auto"/>
                <w:right w:val="none" w:sz="0" w:space="0" w:color="auto"/>
              </w:divBdr>
              <w:divsChild>
                <w:div w:id="1230654421">
                  <w:marLeft w:val="0"/>
                  <w:marRight w:val="0"/>
                  <w:marTop w:val="0"/>
                  <w:marBottom w:val="0"/>
                  <w:divBdr>
                    <w:top w:val="none" w:sz="0" w:space="0" w:color="auto"/>
                    <w:left w:val="none" w:sz="0" w:space="0" w:color="auto"/>
                    <w:bottom w:val="none" w:sz="0" w:space="0" w:color="auto"/>
                    <w:right w:val="none" w:sz="0" w:space="0" w:color="auto"/>
                  </w:divBdr>
                  <w:divsChild>
                    <w:div w:id="402797500">
                      <w:marLeft w:val="1"/>
                      <w:marRight w:val="1"/>
                      <w:marTop w:val="0"/>
                      <w:marBottom w:val="0"/>
                      <w:divBdr>
                        <w:top w:val="none" w:sz="0" w:space="0" w:color="auto"/>
                        <w:left w:val="none" w:sz="0" w:space="0" w:color="auto"/>
                        <w:bottom w:val="none" w:sz="0" w:space="0" w:color="auto"/>
                        <w:right w:val="none" w:sz="0" w:space="0" w:color="auto"/>
                      </w:divBdr>
                      <w:divsChild>
                        <w:div w:id="692609672">
                          <w:marLeft w:val="0"/>
                          <w:marRight w:val="0"/>
                          <w:marTop w:val="0"/>
                          <w:marBottom w:val="0"/>
                          <w:divBdr>
                            <w:top w:val="none" w:sz="0" w:space="0" w:color="auto"/>
                            <w:left w:val="none" w:sz="0" w:space="0" w:color="auto"/>
                            <w:bottom w:val="none" w:sz="0" w:space="0" w:color="auto"/>
                            <w:right w:val="none" w:sz="0" w:space="0" w:color="auto"/>
                          </w:divBdr>
                          <w:divsChild>
                            <w:div w:id="932782874">
                              <w:marLeft w:val="0"/>
                              <w:marRight w:val="0"/>
                              <w:marTop w:val="0"/>
                              <w:marBottom w:val="360"/>
                              <w:divBdr>
                                <w:top w:val="none" w:sz="0" w:space="0" w:color="auto"/>
                                <w:left w:val="none" w:sz="0" w:space="0" w:color="auto"/>
                                <w:bottom w:val="none" w:sz="0" w:space="0" w:color="auto"/>
                                <w:right w:val="none" w:sz="0" w:space="0" w:color="auto"/>
                              </w:divBdr>
                              <w:divsChild>
                                <w:div w:id="357128016">
                                  <w:marLeft w:val="0"/>
                                  <w:marRight w:val="0"/>
                                  <w:marTop w:val="0"/>
                                  <w:marBottom w:val="0"/>
                                  <w:divBdr>
                                    <w:top w:val="none" w:sz="0" w:space="0" w:color="auto"/>
                                    <w:left w:val="none" w:sz="0" w:space="0" w:color="auto"/>
                                    <w:bottom w:val="none" w:sz="0" w:space="0" w:color="auto"/>
                                    <w:right w:val="none" w:sz="0" w:space="0" w:color="auto"/>
                                  </w:divBdr>
                                  <w:divsChild>
                                    <w:div w:id="1858498678">
                                      <w:marLeft w:val="0"/>
                                      <w:marRight w:val="0"/>
                                      <w:marTop w:val="0"/>
                                      <w:marBottom w:val="0"/>
                                      <w:divBdr>
                                        <w:top w:val="none" w:sz="0" w:space="0" w:color="auto"/>
                                        <w:left w:val="none" w:sz="0" w:space="0" w:color="auto"/>
                                        <w:bottom w:val="none" w:sz="0" w:space="0" w:color="auto"/>
                                        <w:right w:val="none" w:sz="0" w:space="0" w:color="auto"/>
                                      </w:divBdr>
                                      <w:divsChild>
                                        <w:div w:id="1602836502">
                                          <w:marLeft w:val="0"/>
                                          <w:marRight w:val="0"/>
                                          <w:marTop w:val="0"/>
                                          <w:marBottom w:val="0"/>
                                          <w:divBdr>
                                            <w:top w:val="none" w:sz="0" w:space="0" w:color="auto"/>
                                            <w:left w:val="none" w:sz="0" w:space="0" w:color="auto"/>
                                            <w:bottom w:val="none" w:sz="0" w:space="0" w:color="auto"/>
                                            <w:right w:val="none" w:sz="0" w:space="0" w:color="auto"/>
                                          </w:divBdr>
                                          <w:divsChild>
                                            <w:div w:id="1580597380">
                                              <w:marLeft w:val="0"/>
                                              <w:marRight w:val="0"/>
                                              <w:marTop w:val="0"/>
                                              <w:marBottom w:val="0"/>
                                              <w:divBdr>
                                                <w:top w:val="none" w:sz="0" w:space="0" w:color="auto"/>
                                                <w:left w:val="none" w:sz="0" w:space="0" w:color="auto"/>
                                                <w:bottom w:val="none" w:sz="0" w:space="0" w:color="auto"/>
                                                <w:right w:val="none" w:sz="0" w:space="0" w:color="auto"/>
                                              </w:divBdr>
                                              <w:divsChild>
                                                <w:div w:id="11885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321803">
      <w:bodyDiv w:val="1"/>
      <w:marLeft w:val="0"/>
      <w:marRight w:val="0"/>
      <w:marTop w:val="0"/>
      <w:marBottom w:val="0"/>
      <w:divBdr>
        <w:top w:val="none" w:sz="0" w:space="0" w:color="auto"/>
        <w:left w:val="none" w:sz="0" w:space="0" w:color="auto"/>
        <w:bottom w:val="none" w:sz="0" w:space="0" w:color="auto"/>
        <w:right w:val="none" w:sz="0" w:space="0" w:color="auto"/>
      </w:divBdr>
    </w:div>
    <w:div w:id="1701853146">
      <w:bodyDiv w:val="1"/>
      <w:marLeft w:val="0"/>
      <w:marRight w:val="0"/>
      <w:marTop w:val="0"/>
      <w:marBottom w:val="0"/>
      <w:divBdr>
        <w:top w:val="none" w:sz="0" w:space="0" w:color="auto"/>
        <w:left w:val="none" w:sz="0" w:space="0" w:color="auto"/>
        <w:bottom w:val="none" w:sz="0" w:space="0" w:color="auto"/>
        <w:right w:val="none" w:sz="0" w:space="0" w:color="auto"/>
      </w:divBdr>
    </w:div>
    <w:div w:id="1934897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DE/AUTO/?uri=OJ:C:2011:363:TOC" TargetMode="External"/><Relationship Id="rId2" Type="http://schemas.openxmlformats.org/officeDocument/2006/relationships/hyperlink" Target="https://eur-lex.europa.eu/legal-content/DE/AUTO/?uri=OJ:L:2016:161:TOC" TargetMode="External"/><Relationship Id="rId1" Type="http://schemas.openxmlformats.org/officeDocument/2006/relationships/hyperlink" Target="http://ec.europa.eu/taxation_customs/common/publications/studies/index_d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4694E-27AD-4F12-BDEF-1373388B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8</Pages>
  <Words>1703</Words>
  <Characters>10972</Characters>
  <Application>Microsoft Office Word</Application>
  <DocSecurity>0</DocSecurity>
  <Lines>223</Lines>
  <Paragraphs>113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lpstr>
    </vt:vector>
  </TitlesOfParts>
  <Manager/>
  <Company/>
  <LinksUpToDate>false</LinksUpToDate>
  <CharactersWithSpaces>12562</CharactersWithSpaces>
  <SharedDoc>false</SharedDoc>
  <HLinks>
    <vt:vector size="6" baseType="variant">
      <vt:variant>
        <vt:i4>5242891</vt:i4>
      </vt:variant>
      <vt:variant>
        <vt:i4>0</vt:i4>
      </vt:variant>
      <vt:variant>
        <vt:i4>0</vt:i4>
      </vt:variant>
      <vt:variant>
        <vt:i4>5</vt:i4>
      </vt:variant>
      <vt:variant>
        <vt:lpwstr>http://ec.europa.eu/taxation_customs/common/publications/studies/index_en.htm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2019-03-29T10:39:00Z</cp:lastPrinted>
  <dcterms:created xsi:type="dcterms:W3CDTF">2019-04-11T15:34:00Z</dcterms:created>
  <dcterms:modified xsi:type="dcterms:W3CDTF">2019-04-30T07:59:00Z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5.8.22.0</vt:lpwstr>
  </property>
  <property fmtid="{D5CDD505-2E9C-101B-9397-08002B2CF9AE}" pid="4" name="Created using">
    <vt:lpwstr>LW 5.8, Build 20110311</vt:lpwstr>
  </property>
  <property fmtid="{D5CDD505-2E9C-101B-9397-08002B2CF9AE}" pid="5" name="Last edited using">
    <vt:lpwstr>LW 6.0.1, Build 20180503</vt:lpwstr>
  </property>
  <property fmtid="{D5CDD505-2E9C-101B-9397-08002B2CF9AE}" pid="6" name="_NewReviewCycle">
    <vt:lpwstr/>
  </property>
  <property fmtid="{D5CDD505-2E9C-101B-9397-08002B2CF9AE}" pid="7" name="LWTemplateID">
    <vt:lpwstr>SJ-016</vt:lpwstr>
  </property>
  <property fmtid="{D5CDD505-2E9C-101B-9397-08002B2CF9AE}" pid="8" name="Part">
    <vt:lpwstr>1</vt:lpwstr>
  </property>
  <property fmtid="{D5CDD505-2E9C-101B-9397-08002B2CF9AE}" pid="9" name="Total parts">
    <vt:lpwstr>1</vt:lpwstr>
  </property>
  <property fmtid="{D5CDD505-2E9C-101B-9397-08002B2CF9AE}" pid="10" name="Level of sensitivity">
    <vt:lpwstr>Standard treatment</vt:lpwstr>
  </property>
  <property fmtid="{D5CDD505-2E9C-101B-9397-08002B2CF9AE}" pid="11" name="DQCStatus">
    <vt:lpwstr>Green (DQC version 03)</vt:lpwstr>
  </property>
</Properties>
</file>