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B12534E6-3922-4D45-A814-D3D19DE8393E" style="width:450.75pt;height:333.75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SPRÁVA KOMISIE EURÓPSKEMU PARLAMENTU A RADE</w:t>
      </w:r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o vykonávaní právomoci prijímať delegované akty udelenej Komisii podľa nariadenia Európskeho parlamentu a Rady (EÚ) č. 1315/2013 z 11. decembra 2013 o usmerneniach Únie pre rozvoj transeurópskej dopravnej siete a o zrušení rozhodnutia č. 661/2010/EÚ</w:t>
      </w:r>
    </w:p>
    <w:p>
      <w:pPr>
        <w:jc w:val="center"/>
        <w:rPr>
          <w:b/>
          <w:noProof/>
        </w:rPr>
      </w:pPr>
    </w:p>
    <w:p>
      <w:pPr>
        <w:rPr>
          <w:noProof/>
        </w:rPr>
      </w:pPr>
    </w:p>
    <w:p>
      <w:pPr>
        <w:jc w:val="both"/>
        <w:rPr>
          <w:b/>
          <w:noProof/>
        </w:rPr>
      </w:pPr>
      <w:r>
        <w:rPr>
          <w:b/>
          <w:noProof/>
        </w:rPr>
        <w:t>1.</w:t>
      </w:r>
      <w:r>
        <w:rPr>
          <w:noProof/>
        </w:rPr>
        <w:tab/>
      </w:r>
      <w:r>
        <w:rPr>
          <w:b/>
          <w:noProof/>
        </w:rPr>
        <w:t>ÚVOD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 xml:space="preserve">V nariadení Európskeho parlamentu a Rady (EÚ) č. 1315/2013 o </w:t>
      </w:r>
      <w:r>
        <w:rPr>
          <w:i/>
          <w:noProof/>
        </w:rPr>
        <w:t>usmerneniach Únie pre rozvoj transeurópskej dopravnej siete a o zrušení rozhodnutia 661/2010/EÚ</w:t>
      </w:r>
      <w:r>
        <w:rPr>
          <w:noProof/>
          <w:vertAlign w:val="superscript"/>
        </w:rPr>
        <w:footnoteReference w:id="2"/>
      </w:r>
      <w:r>
        <w:rPr>
          <w:noProof/>
        </w:rPr>
        <w:t xml:space="preserve"> sa stanovuje dlhodobá stratégia rozvoja úplnej transeurópskej dopravnej siete (sieť TEN-T), ktorú tvorí infraštruktúra pre železnice, námorná a letecká doprava, cesty, vnútrozemské vodné cesty a terminály intermodálnej prepravy. Nariadenie sa vzťahuje na určenie prvkov siete TEN-T, ich technické normy, ako aj na požiadavky na interoperabilitu infraštruktúr, a vymedzujú sa v ňom priority pre rozvoj siete TEN-T. 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Podľa článku 49 ods. 4 nariadenia (EÚ) č. 1315/2013 je Komisia splnomocnená prijímať delegované akty týkajúce sa prispôsobenia príloh I a II s cieľom zohľadniť možné zmeny vyplývajúce z kvantitatívnych hraničných hodnôt, ktoré sa vzťahujú na niektoré zložky TEN-T. Tieto požiadavky sú stanovené v článkoch 14, 20, 24 a 27 tohto nariadenia.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Podľa článku 49 ods. 6 nariadenia (EÚ) č. 1315/2013 je Komisia splnomocnená prijímať delegované akty týkajúce sa prispôsobenia prílohy III s cieľom zahrnúť alebo upraviť orientačné mapy susedných krajín.</w:t>
      </w:r>
    </w:p>
    <w:p>
      <w:pPr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noProof/>
        </w:rPr>
        <w:tab/>
      </w:r>
      <w:r>
        <w:rPr>
          <w:b/>
          <w:noProof/>
        </w:rPr>
        <w:t>PRÁVNY ZÁKLAD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Povinnosť vypracovať túto správu sa ukladá článkom 53 ods. 2 nariadenia (EÚ) č. 1315/2013.</w:t>
      </w:r>
    </w:p>
    <w:p>
      <w:pPr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noProof/>
        </w:rPr>
        <w:tab/>
      </w:r>
      <w:r>
        <w:rPr>
          <w:b/>
          <w:noProof/>
        </w:rPr>
        <w:t>VYKONÁVANIE DELEGOVANÝCH PRÁVOMOCÍ</w:t>
      </w:r>
    </w:p>
    <w:p>
      <w:pPr>
        <w:spacing w:before="120" w:after="120"/>
        <w:jc w:val="both"/>
        <w:rPr>
          <w:b/>
          <w:noProof/>
        </w:rPr>
      </w:pPr>
    </w:p>
    <w:p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3.1.</w:t>
      </w:r>
      <w:r>
        <w:rPr>
          <w:noProof/>
        </w:rPr>
        <w:tab/>
      </w:r>
      <w:r>
        <w:rPr>
          <w:b/>
          <w:noProof/>
        </w:rPr>
        <w:t>Úpravy zoznamu a máp na základe štatistických údajov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 xml:space="preserve">Príloha I k nariadeniu (EÚ) č. 1315/2013 obsahuje mapy súhrnnej a základnej siete, ktoré vymedzujú rozsah pôsobnosti nariadenia (EÚ) č. 1315/2013 a určujú projekty spoločného záujmu. V prílohe II k tomuto nariadeniu sa stanovuje zoznam uzlov základnej a súhrnnej siete. 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Podľa článku 49 ods. 4 nariadenia (EÚ) č. 1315/2013 je Komisia splnomocnená prijímať delegované akty, ktorými upraví mapy a zoznamy pripojené k nariadeniu, pokiaľ ide o kvantitatívne prahové hodnoty, ktoré musia námorné a vnútrozemské prístavy, letiská a terminály intermodálnej prepravy spĺňať, aby sa stali súčasťou siete TEN-T. Tieto úpravy vychádzajú z najnovších dostupných štatistických údajov uverejnených Eurostatom alebo ak nie sú dostupné, štatistickými úradmi členských štátov. Vo veľmi obmedzenej miere môže Komisia prispôsobiť aj mapy cestnej a železničnej infraštruktúry a infraštruktúry vnútrozemských vodných ciest tak, aby odzrkadľovali pokrok v realizácii siete.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 xml:space="preserve">Komisia otvorila proces aktualizácie na zasadnutí výboru TEN-T 30. septembra 2015 a na stretnutiach, ktoré sa uskutočnili 9. decembra 2015 a 16. marca 2016, viedla konzultácie s odborníkmi z príslušných orgánov členských štátov za prítomnosti odborníkov z Európskeho parlamentu. 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Na základe tohto konzultačného procesu a analýzy dostupných údajov Komisia prijala 7. decembra 2016 delegované nariadenie (EÚ) 2017/849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Prispôsobenia podľa delegovaného nariadenia nezahŕňajú výnimky podľa článku 49 ods. 4 písm. b), keďže toto posúdenie bude relevantné až šesť rokov po prijatí nariadenia (EÚ) č. 1315/2013.</w:t>
      </w:r>
    </w:p>
    <w:p>
      <w:pPr>
        <w:spacing w:before="120" w:after="120"/>
        <w:jc w:val="both"/>
        <w:rPr>
          <w:b/>
          <w:noProof/>
        </w:rPr>
      </w:pPr>
    </w:p>
    <w:p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3.2.</w:t>
      </w:r>
      <w:r>
        <w:rPr>
          <w:noProof/>
        </w:rPr>
        <w:tab/>
      </w:r>
      <w:r>
        <w:rPr>
          <w:b/>
          <w:noProof/>
        </w:rPr>
        <w:t>Prispôsobenia orientačných máp susedných krajín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Príloha III k nariadeniu (EÚ) č. 1315/2013 obsahuje orientačné mapy niektorých susedných krajín.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V článku 49 ods. 6 nariadenia (EÚ) č. 1315/2013 sa stanovuje možnosť prijímať delegované akty s cieľom prispôsobiť uvedené mapy alebo doplniť mapy ďalších susedných krajín na základe dohôd o sieťach dopravnej infraštruktúry uzavretých na vysokej úrovni medzi Úniou a príslušnými susednými krajinami.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Komisia využila túto delegovanú právomoc v týchto prípadoch: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a) Komisia prijala 17. januára 2014 delegované nariadenie č. 473/2014</w:t>
      </w:r>
      <w:r>
        <w:rPr>
          <w:rStyle w:val="FootnoteReference"/>
          <w:noProof/>
        </w:rPr>
        <w:footnoteReference w:id="4"/>
      </w:r>
      <w:r>
        <w:rPr>
          <w:noProof/>
        </w:rPr>
        <w:t>. Toto nariadenie sa týka železničnej a cestnej siete, ako aj prístavov, letísk a terminálov intermodálnej prepravy na súhrnnej sieti v týchto tretích krajinách: Bielorusko, Ukrajina, Moldavsko, Gruzínsko, Arménsko, Azerbajdžan a Rusko.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b) Komisia prijala 4. februára 2016 delegované nariadenie 2016/758</w:t>
      </w:r>
      <w:r>
        <w:rPr>
          <w:rStyle w:val="FootnoteReference"/>
          <w:noProof/>
        </w:rPr>
        <w:footnoteReference w:id="5"/>
      </w:r>
      <w:r>
        <w:rPr>
          <w:noProof/>
        </w:rPr>
        <w:t>. Toto nariadenie sa týka určenia spojení základnej siete na mapách súhrnnej siete, pokiaľ ide o železničnú a cestnú sieť, ako aj prístavy a letiská v týchto tretích krajinách: Albánsko, Bosna a Hercegovina, Kosovo</w:t>
      </w:r>
      <w:r>
        <w:rPr>
          <w:rStyle w:val="FootnoteReference"/>
          <w:noProof/>
        </w:rPr>
        <w:footnoteReference w:customMarkFollows="1" w:id="6"/>
        <w:t>*</w:t>
      </w:r>
      <w:r>
        <w:rPr>
          <w:noProof/>
        </w:rPr>
        <w:t>, Severomacedónska republika, Čierna Hora a Srbsko.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c) Komisia prijala 9. novembra 2018 delegované nariadenie 2019/254</w:t>
      </w:r>
      <w:r>
        <w:rPr>
          <w:rStyle w:val="FootnoteReference"/>
          <w:noProof/>
        </w:rPr>
        <w:footnoteReference w:id="7"/>
      </w:r>
      <w:r>
        <w:rPr>
          <w:noProof/>
        </w:rPr>
        <w:t>. Toto nariadenie sa týka revízie orientačného rozšírenia máp súhrnnej siete TEN-T, ako aj určenia spojení základnej siete na mapách súhrnnej siete v týchto tretích krajinách: Arménsko, Azerbajdžan, Bielorusko, Moldavská republika a Ukrajina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spacing w:before="120" w:after="120"/>
        <w:jc w:val="both"/>
        <w:rPr>
          <w:noProof/>
        </w:rPr>
      </w:pPr>
    </w:p>
    <w:p>
      <w:pPr>
        <w:spacing w:before="120" w:after="120"/>
        <w:jc w:val="both"/>
        <w:rPr>
          <w:noProof/>
        </w:rPr>
      </w:pPr>
      <w:r>
        <w:rPr>
          <w:noProof/>
        </w:rPr>
        <w:t>Pred prijatím všetkých uvedených delegovaných aktov sa Komisia poradila s odborníkmi z členských štátov a so zástupcami Európskeho parlamentu.</w:t>
      </w:r>
    </w:p>
    <w:p>
      <w:pPr>
        <w:spacing w:before="120" w:after="120"/>
        <w:jc w:val="both"/>
        <w:rPr>
          <w:noProof/>
        </w:rPr>
      </w:pPr>
    </w:p>
    <w:p>
      <w:pPr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noProof/>
        </w:rPr>
        <w:tab/>
      </w:r>
      <w:r>
        <w:rPr>
          <w:b/>
          <w:noProof/>
        </w:rPr>
        <w:t>ZÁVER A VÝHĽAD DO BUDÚCNOSTI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Komisia vyzýva Európsky parlament a Radu, aby túto správu vzali na vedomie.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Komisia do budúcna plánuje uplatniť svoje delegované právomoci na ďalšie úpravy príloh I, II a III k nariadeniu (EÚ) č. 1315/2013.</w:t>
      </w:r>
    </w:p>
    <w:p>
      <w:pPr>
        <w:pStyle w:val="Corps"/>
        <w:spacing w:before="240" w:after="240" w:line="240" w:lineRule="auto"/>
        <w:jc w:val="both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72"/>
        <w:tab w:val="right" w:pos="9046"/>
      </w:tabs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ind w:left="357" w:hanging="35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Ú. v. EÚ L 348, 20.12.2013, s. 1.</w:t>
      </w:r>
    </w:p>
  </w:footnote>
  <w:footnote w:id="3">
    <w:p>
      <w:pPr>
        <w:pStyle w:val="FootnoteText"/>
        <w:ind w:left="357" w:hanging="35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Delegované nariadenie Komisie (EÚ) 2017/849 zo 7. decembra 2016, ktorým sa mení nariadenie Európskeho parlamentu a Rady (EÚ) č. 1315/2013, pokiaľ ide o mapy v prílohe I a zoznam v prílohe II k uvedenému nariadeniu (Ú. v. EÚ L 128, 19.5.2017, s. 1).</w:t>
      </w:r>
    </w:p>
  </w:footnote>
  <w:footnote w:id="4">
    <w:p>
      <w:pPr>
        <w:pStyle w:val="FootnoteText"/>
        <w:ind w:left="357" w:hanging="35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Delegované nariadenie Komisie (EÚ) č. 473/2014 zo 17. januára 2014, ktorým sa mení nariadenie Európskeho parlamentu a Rady (EÚ) č. 1315/2013, pokiaľ ide o doplnenie jeho prílohy III o nové orientačné mapy (Ú. v. EÚ L 136, 9.5.2014, s. 10).</w:t>
      </w:r>
    </w:p>
  </w:footnote>
  <w:footnote w:id="5">
    <w:p>
      <w:pPr>
        <w:pStyle w:val="FootnoteText"/>
        <w:ind w:left="357" w:hanging="35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Delegované nariadenie Komisie (EÚ) 2016/758 zo 4. februára 2016, ktorým sa mení nariadenie Európskeho parlamentu a Rady (EÚ) č. 1315/2013, pokiaľ ide o úpravu prílohy III k uvedenému nariadeniu (Ú. v. EÚ L 126, 14.5.2016, s. 3).</w:t>
      </w:r>
    </w:p>
  </w:footnote>
  <w:footnote w:id="6">
    <w:p>
      <w:pPr>
        <w:pStyle w:val="FootnoteText"/>
        <w:ind w:left="357" w:hanging="35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t>*</w:t>
      </w:r>
      <w:r>
        <w:tab/>
      </w:r>
      <w:r>
        <w:rPr>
          <w:rFonts w:ascii="Times New Roman" w:hAnsi="Times New Roman"/>
        </w:rPr>
        <w:t>Týmto označením nie sú dotknuté pozície k štatútu a označenie je v súlade s rezolúciou BR OSN č. 1244/1999 a so stanoviskom Medzinárodného súdneho dvora k vyhláseniu nezávislosti Kosova.</w:t>
      </w:r>
    </w:p>
  </w:footnote>
  <w:footnote w:id="7">
    <w:p>
      <w:pPr>
        <w:pStyle w:val="FootnoteText"/>
        <w:ind w:left="357" w:hanging="35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Delegované nariadenie Komisie (EÚ) 2019/254 z 9. novembra 2018, ktorým sa upravuje príloha III k nariadeniu Európskeho parlamentu a Rady (EÚ) č. 1315/2013 o usmerneniach Únie pre rozvoj transeurópskej dopravnej siete.</w:t>
      </w:r>
    </w:p>
  </w:footnote>
  <w:footnote w:id="8">
    <w:p>
      <w:pPr>
        <w:pStyle w:val="FootnoteText"/>
        <w:ind w:left="357" w:hanging="35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Komisia prijala 2. februára 2017 delegované nariadenie s cieľom upraviť orientačné mapy základnej siete TEN-T v Turecku a krajinách Východného partnerstva na základe článku 49 ods. 6 nariadenia o TEN-T. Rozhodla sa však zrušiť toto delegované nariadenie z dôvodu obáv, ktoré vyjadrili členské štáty. Delegovaná právomoc sa preto v tomto prípade nevykonávala.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E0"/>
    <w:multiLevelType w:val="multilevel"/>
    <w:tmpl w:val="054CA020"/>
    <w:numStyleLink w:val="Style1import"/>
  </w:abstractNum>
  <w:abstractNum w:abstractNumId="1">
    <w:nsid w:val="163A64C4"/>
    <w:multiLevelType w:val="multilevel"/>
    <w:tmpl w:val="054CA020"/>
    <w:styleLink w:val="Style1import"/>
    <w:lvl w:ilvl="0">
      <w:start w:val="1"/>
      <w:numFmt w:val="decimal"/>
      <w:lvlText w:val="%1."/>
      <w:lvlJc w:val="left"/>
      <w:pPr>
        <w:tabs>
          <w:tab w:val="left" w:pos="85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850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850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85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50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85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BC5AB2"/>
    <w:multiLevelType w:val="hybridMultilevel"/>
    <w:tmpl w:val="364A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8" w:hanging="4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1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4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28" w:hanging="7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2" w:hanging="9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36" w:hanging="10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0" w:hanging="12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16" w:hanging="14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DocStatus" w:val="Green"/>
    <w:docVar w:name="LW_CORRIGENDUM" w:val="&lt;UNUSED&gt;"/>
    <w:docVar w:name="LW_COVERPAGE_EXISTS" w:val="True"/>
    <w:docVar w:name="LW_COVERPAGE_GUID" w:val="B12534E6-3922-4D45-A814-D3D19DE8393E"/>
    <w:docVar w:name="LW_COVERPAGE_TYPE" w:val="1"/>
    <w:docVar w:name="LW_CROSSREFERENCE" w:val="&lt;UNUSED&gt;"/>
    <w:docVar w:name="LW_DocType" w:val="NORMAL"/>
    <w:docVar w:name="LW_EMISSION" w:val="6. 5. 2019"/>
    <w:docVar w:name="LW_EMISSION_ISODATE" w:val="2019-05-06"/>
    <w:docVar w:name="LW_EMISSION_LOCATION" w:val="BRX"/>
    <w:docVar w:name="LW_EMISSION_PREFIX" w:val="V Bruseli"/>
    <w:docVar w:name="LW_EMISSION_SUFFIX" w:val=" "/>
    <w:docVar w:name="LW_ID_DOCTYPE_NONLW" w:val="CP-00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o vykonávaní právomoci prijíma\u357? delegované akty udelenej Komisii pod\u318?a nariadenia Európskeho parlamentu a Rady (EÚ) \u269?. 1315/2013 z 11. decembra 2013 o usmerneniach Únie pre rozvoj transeurópskej dopravnej siete a o zru\u353?ení rozhodnutia \u269?. 661/2010/EÚ&lt;/FMT&gt;_x000d__x000d__x000d__x000d__x000d__x000d__x000b_"/>
    <w:docVar w:name="LW_TYPE.DOC.CP" w:val="SPRÁVA KOMISIE EURÓPSKEMU PARLAMENTU A RA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sk-SK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Corps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rps">
    <w:name w:val="Corps"/>
    <w:link w:val="Corps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</w:rPr>
  </w:style>
  <w:style w:type="paragraph" w:customStyle="1" w:styleId="ManualHeading2">
    <w:name w:val="Manual Heading 2"/>
    <w:next w:val="Corps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sk-SK" w:eastAsia="sk-SK"/>
    </w:rPr>
  </w:style>
  <w:style w:type="paragraph" w:customStyle="1" w:styleId="CM1">
    <w:name w:val="CM1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character" w:customStyle="1" w:styleId="A3">
    <w:name w:val="A3"/>
    <w:uiPriority w:val="99"/>
    <w:rPr>
      <w:rFonts w:cs="EC Square Sans Pro"/>
      <w:color w:val="000000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sk-SK" w:eastAsia="sk-SK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sk-SK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CorpsChar">
    <w:name w:val="Corps Char"/>
    <w:basedOn w:val="DefaultParagraphFont"/>
    <w:link w:val="Corps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Corps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Corps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Corps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sk-SK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Corps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rps">
    <w:name w:val="Corps"/>
    <w:link w:val="Corps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</w:rPr>
  </w:style>
  <w:style w:type="paragraph" w:customStyle="1" w:styleId="ManualHeading2">
    <w:name w:val="Manual Heading 2"/>
    <w:next w:val="Corps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sk-SK" w:eastAsia="sk-SK"/>
    </w:rPr>
  </w:style>
  <w:style w:type="paragraph" w:customStyle="1" w:styleId="CM1">
    <w:name w:val="CM1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character" w:customStyle="1" w:styleId="A3">
    <w:name w:val="A3"/>
    <w:uiPriority w:val="99"/>
    <w:rPr>
      <w:rFonts w:cs="EC Square Sans Pro"/>
      <w:color w:val="000000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sk-SK" w:eastAsia="sk-SK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sk-SK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CorpsChar">
    <w:name w:val="Corps Char"/>
    <w:basedOn w:val="DefaultParagraphFont"/>
    <w:link w:val="Corps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Corps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Corps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Corps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20DF-6F51-4F64-9DB5-5A12F908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4326</Characters>
  <Application>Microsoft Office Word</Application>
  <DocSecurity>0</DocSecurity>
  <Lines>80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16</cp:revision>
  <cp:lastPrinted>2019-02-18T18:14:00Z</cp:lastPrinted>
  <dcterms:created xsi:type="dcterms:W3CDTF">2019-04-25T14:01:00Z</dcterms:created>
  <dcterms:modified xsi:type="dcterms:W3CDTF">2019-05-02T11:17:00Z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