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2EDB101-5A7A-4D57-A637-5D5EB466F45F" style="width:450.8pt;height:361.9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VERSLAG VAN DE COMMISSIE AAN HET EUROPEES PARLEMENT EN DE RAAD</w:t>
      </w:r>
    </w:p>
    <w:p>
      <w:pPr>
        <w:jc w:val="center"/>
        <w:rPr>
          <w:b/>
          <w:noProof/>
        </w:rPr>
      </w:pPr>
    </w:p>
    <w:p>
      <w:pPr>
        <w:jc w:val="center"/>
        <w:rPr>
          <w:b/>
          <w:noProof/>
        </w:rPr>
      </w:pPr>
      <w:r>
        <w:rPr>
          <w:b/>
          <w:noProof/>
        </w:rPr>
        <w:t>over de uitoefening van de bevoegdheid tot het vaststellen van gedelegeerde handelingen die aan de Commissie is verleend bij Verordening (EU) nr. 1315/2013 van het Europees Parlement en de Raad van 11 december 2013 betreffende richtsnoeren van de Unie voor de ontwikkeling van het trans-Europees vervoersnetwerk en tot intrekking van Besluit nr. 661/2010/EU</w:t>
      </w:r>
    </w:p>
    <w:p>
      <w:pPr>
        <w:jc w:val="center"/>
        <w:rPr>
          <w:b/>
          <w:noProof/>
        </w:rPr>
      </w:pPr>
    </w:p>
    <w:p>
      <w:pPr>
        <w:rPr>
          <w:noProof/>
        </w:rPr>
      </w:pPr>
    </w:p>
    <w:p>
      <w:pPr>
        <w:jc w:val="both"/>
        <w:rPr>
          <w:b/>
          <w:noProof/>
        </w:rPr>
      </w:pPr>
      <w:r>
        <w:rPr>
          <w:b/>
          <w:noProof/>
        </w:rPr>
        <w:t>1.</w:t>
      </w:r>
      <w:r>
        <w:rPr>
          <w:noProof/>
        </w:rPr>
        <w:tab/>
      </w:r>
      <w:r>
        <w:rPr>
          <w:b/>
          <w:noProof/>
        </w:rPr>
        <w:t>INLEIDING</w:t>
      </w:r>
    </w:p>
    <w:p>
      <w:pPr>
        <w:spacing w:before="120" w:after="120"/>
        <w:jc w:val="both"/>
        <w:rPr>
          <w:noProof/>
        </w:rPr>
      </w:pPr>
      <w:r>
        <w:rPr>
          <w:noProof/>
        </w:rPr>
        <w:t xml:space="preserve">Bij Verordening (EU) nr. 1315/2013 van het Europees Parlement en de Raad van 11 december 2013 </w:t>
      </w:r>
      <w:r>
        <w:rPr>
          <w:i/>
          <w:noProof/>
        </w:rPr>
        <w:t>betreffende richtsnoeren van de Unie voor de ontwikkeling van het trans-Europees vervoersnetwerk en tot intrekking van Besluit nr. 661/2010/EU</w:t>
      </w:r>
      <w:r>
        <w:rPr>
          <w:noProof/>
          <w:vertAlign w:val="superscript"/>
        </w:rPr>
        <w:footnoteReference w:id="2"/>
      </w:r>
      <w:r>
        <w:rPr>
          <w:noProof/>
        </w:rPr>
        <w:t xml:space="preserve"> is een langetermijnstrategie vastgesteld voor de ontwikkeling van een volledig trans-Europees vervoersnetwerk (TEN-T), bestaande uit spoorlijnen, zee- en luchtvaartinfrastructuur, wegen, waterwegen en terminals voor overslag tussen weg- en spoorvervoer. In de verordening zijn de onderdelen van het TEN-T, de technische normen daarvoor en de eisen inzake de interoperabiliteit van de infrastructuur vastgesteld en zijn de prioriteiten voor de ontwikkeling van het TEN-T bepaald. </w:t>
      </w:r>
    </w:p>
    <w:p>
      <w:pPr>
        <w:spacing w:before="120" w:after="240"/>
        <w:jc w:val="both"/>
        <w:rPr>
          <w:noProof/>
        </w:rPr>
      </w:pPr>
      <w:r>
        <w:rPr>
          <w:noProof/>
        </w:rPr>
        <w:t>Bij artikel 49, lid 4, van Verordening (EU) nr. 1315/2013 is aan de Commissie de bevoegdheid verleend om gedelegeerde handelingen vast te stellen tot wijziging van bijlagen I en II teneinde rekening te houden met eventuele veranderingen die voortvloeien uit de voor bepaalde TEN-T-onderdelen vastgestelde kwantitatieve drempels. Die eisen zijn vervat in de artikelen 14, 20, 24 en 27 van die verordening.</w:t>
      </w:r>
    </w:p>
    <w:p>
      <w:pPr>
        <w:spacing w:before="120" w:after="240"/>
        <w:jc w:val="both"/>
        <w:rPr>
          <w:noProof/>
        </w:rPr>
      </w:pPr>
      <w:r>
        <w:rPr>
          <w:noProof/>
        </w:rPr>
        <w:t>Artikel 49, lid 6, van Verordening (EU) nr. 1315/2013 verleent de Commissie de bevoegdheid om gedelegeerde handelingen vast te stellen tot wijziging van bijlage III om indicatieve kaarten van buurlanden op te nemen of aan te passen.</w:t>
      </w:r>
    </w:p>
    <w:p>
      <w:pPr>
        <w:jc w:val="both"/>
        <w:rPr>
          <w:b/>
          <w:noProof/>
        </w:rPr>
      </w:pPr>
      <w:r>
        <w:rPr>
          <w:b/>
          <w:noProof/>
        </w:rPr>
        <w:t>2.</w:t>
      </w:r>
      <w:r>
        <w:rPr>
          <w:noProof/>
        </w:rPr>
        <w:tab/>
      </w:r>
      <w:r>
        <w:rPr>
          <w:b/>
          <w:noProof/>
        </w:rPr>
        <w:t>RECHTSGRONDSLAG</w:t>
      </w:r>
    </w:p>
    <w:p>
      <w:pPr>
        <w:spacing w:before="120" w:after="240"/>
        <w:jc w:val="both"/>
        <w:rPr>
          <w:noProof/>
        </w:rPr>
      </w:pPr>
      <w:r>
        <w:rPr>
          <w:noProof/>
        </w:rPr>
        <w:t>Dit verslag moet worden opgesteld op grond van artikel 53, lid 2, van Verordening (EU) nr. 1315/2013.</w:t>
      </w:r>
    </w:p>
    <w:p>
      <w:pPr>
        <w:jc w:val="both"/>
        <w:rPr>
          <w:b/>
          <w:noProof/>
        </w:rPr>
      </w:pPr>
      <w:r>
        <w:rPr>
          <w:b/>
          <w:noProof/>
        </w:rPr>
        <w:t>3</w:t>
      </w:r>
      <w:r>
        <w:rPr>
          <w:noProof/>
        </w:rPr>
        <w:tab/>
      </w:r>
      <w:r>
        <w:rPr>
          <w:b/>
          <w:noProof/>
        </w:rPr>
        <w:t>UITOEFENING VAN DE BEVOEGDHEIDSDELEGATIE</w:t>
      </w:r>
    </w:p>
    <w:p>
      <w:pPr>
        <w:spacing w:before="120" w:after="120"/>
        <w:jc w:val="both"/>
        <w:rPr>
          <w:b/>
          <w:noProof/>
        </w:rPr>
      </w:pPr>
    </w:p>
    <w:p>
      <w:pPr>
        <w:spacing w:before="120" w:after="120"/>
        <w:jc w:val="both"/>
        <w:rPr>
          <w:b/>
          <w:noProof/>
        </w:rPr>
      </w:pPr>
      <w:r>
        <w:rPr>
          <w:b/>
          <w:noProof/>
        </w:rPr>
        <w:t>3.1.</w:t>
      </w:r>
      <w:r>
        <w:rPr>
          <w:noProof/>
        </w:rPr>
        <w:tab/>
      </w:r>
      <w:r>
        <w:rPr>
          <w:b/>
          <w:noProof/>
        </w:rPr>
        <w:t>Aanpassing van de lijst en kaarten op basis van statistische gegevens</w:t>
      </w:r>
    </w:p>
    <w:p>
      <w:pPr>
        <w:spacing w:before="120" w:after="120"/>
        <w:jc w:val="both"/>
        <w:rPr>
          <w:noProof/>
        </w:rPr>
      </w:pPr>
      <w:r>
        <w:rPr>
          <w:noProof/>
        </w:rPr>
        <w:t xml:space="preserve">Bijlage I bij Verordening (EU) nr. 1315/2013 bevat kaarten van de uitgebreide en kernnetwerken, die het toepassingsgebied van Verordening (EU) nr. 1315/2013 definiëren en waarop de projecten van gemeenschappelijk belang zijn aangeduid. Bijlage II bij deze verordening bevat de lijst van knooppunten van het kernnetwerk en het uitgebreide netwerk. </w:t>
      </w:r>
    </w:p>
    <w:p>
      <w:pPr>
        <w:spacing w:before="120" w:after="120"/>
        <w:jc w:val="both"/>
        <w:rPr>
          <w:noProof/>
        </w:rPr>
      </w:pPr>
      <w:r>
        <w:rPr>
          <w:noProof/>
        </w:rPr>
        <w:t>Op grond van artikel 49, lid 4, van Verordening (EU) nr. 1315/2013 is de Commissie bevoegd om gedelegeerde handelingen vast te stellen tot aanpassing van de kaarten en lijsten in de bijlage bij die verordening, in verband met de kwantitatieve drempels waaraan zee- en binnenhavens, luchthavens en terminals voor overslag tussen weg- en spoorvervoer moeten voldoen om deel uit te maken van het TEN-T. De wijzigingen gebeuren op basis van de recentste statistieken van Eurostat of, indien die statistieken niet beschikbaar zijn, van de nationale bureaus voor de statistiek van de lidstaten. De Commissie kan ook de kaarten met de weg-, spoor- en binnenvaartinfrastructuur in zeer beperkte mate aanpassen om ervoor te zorgen dat die kaarten de voortgang inzake de voltooiing van het netwerk weergeven.</w:t>
      </w:r>
    </w:p>
    <w:p>
      <w:pPr>
        <w:spacing w:before="120" w:after="120"/>
        <w:jc w:val="both"/>
        <w:rPr>
          <w:noProof/>
        </w:rPr>
      </w:pPr>
      <w:r>
        <w:rPr>
          <w:noProof/>
        </w:rPr>
        <w:t xml:space="preserve">De Commissie heeft het actualiseringsproces op 30 september 2015 geopend tijdens de vergadering van het TEN-T-comité en zij heeft, in aanwezigheid van deskundigen van het Europees Parlement, deskundigen van de bevoegde autoriteiten van de lidstaten geraadpleegd tijdens vergaderingen op 9 december 2015 en 16 maart 2016. </w:t>
      </w:r>
    </w:p>
    <w:p>
      <w:pPr>
        <w:spacing w:before="120" w:after="120"/>
        <w:jc w:val="both"/>
        <w:rPr>
          <w:noProof/>
        </w:rPr>
      </w:pPr>
      <w:r>
        <w:rPr>
          <w:noProof/>
        </w:rPr>
        <w:t>Op basis van dit raadplegingsproces en de analyse van de beschikbare gegevens heeft zij op 7 december 2016 Gedelegeerde Verordening (EU) 2017/849</w:t>
      </w:r>
      <w:r>
        <w:rPr>
          <w:rStyle w:val="FootnoteReference"/>
          <w:noProof/>
        </w:rPr>
        <w:footnoteReference w:id="3"/>
      </w:r>
      <w:r>
        <w:rPr>
          <w:noProof/>
        </w:rPr>
        <w:t xml:space="preserve"> vastgesteld.</w:t>
      </w:r>
    </w:p>
    <w:p>
      <w:pPr>
        <w:spacing w:before="120" w:after="120"/>
        <w:jc w:val="both"/>
        <w:rPr>
          <w:noProof/>
        </w:rPr>
      </w:pPr>
      <w:r>
        <w:rPr>
          <w:noProof/>
        </w:rPr>
        <w:t>De in de gedelegeerde verordening vastgestelde aanpassingen omvatten geen schrappingen overeenkomstig artikel 49, lid 4, onder b), aangezien de daartoe vereiste beoordeling pas zes jaar na de vaststelling van Verordening (EU) nr. 1315/2013 relevant wordt.</w:t>
      </w:r>
    </w:p>
    <w:p>
      <w:pPr>
        <w:spacing w:before="120" w:after="120"/>
        <w:jc w:val="both"/>
        <w:rPr>
          <w:b/>
          <w:noProof/>
        </w:rPr>
      </w:pPr>
    </w:p>
    <w:p>
      <w:pPr>
        <w:spacing w:before="120" w:after="120"/>
        <w:jc w:val="both"/>
        <w:rPr>
          <w:b/>
          <w:noProof/>
        </w:rPr>
      </w:pPr>
      <w:r>
        <w:rPr>
          <w:b/>
          <w:noProof/>
        </w:rPr>
        <w:t>3.2.</w:t>
      </w:r>
      <w:r>
        <w:rPr>
          <w:noProof/>
        </w:rPr>
        <w:tab/>
      </w:r>
      <w:r>
        <w:rPr>
          <w:b/>
          <w:noProof/>
        </w:rPr>
        <w:t>Aanpassing van de indicatieve kaarten van de buurlanden</w:t>
      </w:r>
    </w:p>
    <w:p>
      <w:pPr>
        <w:spacing w:before="120" w:after="120"/>
        <w:jc w:val="both"/>
        <w:rPr>
          <w:noProof/>
        </w:rPr>
      </w:pPr>
      <w:r>
        <w:rPr>
          <w:noProof/>
        </w:rPr>
        <w:t>Bijlage III bij Verordening (EU) nr. 1315/2013 bevat indicatieve kaarten van een aantal buurlanden.</w:t>
      </w:r>
    </w:p>
    <w:p>
      <w:pPr>
        <w:spacing w:before="120" w:after="120"/>
        <w:jc w:val="both"/>
        <w:rPr>
          <w:noProof/>
        </w:rPr>
      </w:pPr>
      <w:r>
        <w:rPr>
          <w:noProof/>
        </w:rPr>
        <w:t>Bij artikel 49, lid 6, van Verordening (EU) nr. 1315/2013 is de Commissie gemachtigd om gedelegeerde handelingen vast te stellen teneinde de indicatieve kaarten van buurlanden op te nemen of aan te passen op basis van overeenkomsten op hoog niveau tussen de Unie en de betrokken buurlanden.</w:t>
      </w:r>
    </w:p>
    <w:p>
      <w:pPr>
        <w:spacing w:before="120" w:after="120"/>
        <w:jc w:val="both"/>
        <w:rPr>
          <w:noProof/>
        </w:rPr>
      </w:pPr>
      <w:r>
        <w:rPr>
          <w:noProof/>
        </w:rPr>
        <w:t>De Commissie heeft die bevoegdheidsdelegatie in de volgende gevallen gebruikt:</w:t>
      </w:r>
    </w:p>
    <w:p>
      <w:pPr>
        <w:spacing w:before="120" w:after="120"/>
        <w:jc w:val="both"/>
        <w:rPr>
          <w:noProof/>
        </w:rPr>
      </w:pPr>
      <w:r>
        <w:rPr>
          <w:noProof/>
        </w:rPr>
        <w:t>a) De Commissie heeft op 17 januari 2014 Gedelegeerde Verordening (EU) nr. 473/2014</w:t>
      </w:r>
      <w:r>
        <w:rPr>
          <w:rStyle w:val="FootnoteReference"/>
          <w:noProof/>
        </w:rPr>
        <w:footnoteReference w:id="4"/>
      </w:r>
      <w:r>
        <w:rPr>
          <w:noProof/>
        </w:rPr>
        <w:t xml:space="preserve"> vastgesteld. Die verordening heeft betrekking op de spoorlijnen en wegverbindingen, alsmede de havens, luchthavens en terminals voor overslag tussen weg- en spoorvervoer op het uitgebreide netwerk in de volgende derde landen: Belarus, Oekraïne, Moldavië, Georgië, Armenië, Azerbeidzjan en Rusland.</w:t>
      </w:r>
    </w:p>
    <w:p>
      <w:pPr>
        <w:spacing w:before="120" w:after="120"/>
        <w:jc w:val="both"/>
        <w:rPr>
          <w:noProof/>
        </w:rPr>
      </w:pPr>
      <w:r>
        <w:rPr>
          <w:noProof/>
        </w:rPr>
        <w:t>b) De Commissie heeft op 4 februari 2016 Gedelegeerde Verordening (EU) nr. 2016/758</w:t>
      </w:r>
      <w:r>
        <w:rPr>
          <w:rStyle w:val="FootnoteReference"/>
          <w:noProof/>
        </w:rPr>
        <w:footnoteReference w:id="5"/>
      </w:r>
      <w:r>
        <w:rPr>
          <w:noProof/>
        </w:rPr>
        <w:t xml:space="preserve"> vastgesteld. Die verordening betreft de aanduiding van de kernnetwerkverbindingen op de kaarten van de uitgebreide wegen- en spoorwegnetten, en van de havens en luchthavens in de volgende derde landen: Albanië, Bosnië en Herzegovina, Kosovo</w:t>
      </w:r>
      <w:r>
        <w:rPr>
          <w:rStyle w:val="FootnoteReference"/>
          <w:noProof/>
        </w:rPr>
        <w:footnoteReference w:customMarkFollows="1" w:id="6"/>
        <w:t>*</w:t>
      </w:r>
      <w:r>
        <w:rPr>
          <w:noProof/>
        </w:rPr>
        <w:t>, de Republiek Noord-Macedonië, Montenegro en Servië.</w:t>
      </w:r>
    </w:p>
    <w:p>
      <w:pPr>
        <w:spacing w:before="120" w:after="120"/>
        <w:jc w:val="both"/>
        <w:rPr>
          <w:noProof/>
        </w:rPr>
      </w:pPr>
      <w:r>
        <w:rPr>
          <w:noProof/>
        </w:rPr>
        <w:t>c) De Commissie heeft op 9 november 2018 Gedelegeerde Verordening (EU) 2019/254</w:t>
      </w:r>
      <w:r>
        <w:rPr>
          <w:rStyle w:val="FootnoteReference"/>
          <w:noProof/>
        </w:rPr>
        <w:footnoteReference w:id="7"/>
      </w:r>
      <w:r>
        <w:rPr>
          <w:noProof/>
        </w:rPr>
        <w:t xml:space="preserve"> vastgesteld. Die verordening behelst de herziening van de indicatieve uitbreidingen op de kaarten van het uitgebreide TEN-T, alsmede de aanduiding van de kernnetwerkverbindingen op kaarten van het kernnetwerk in de volgende derde landen: Armenië, Azerbeidzjan, Belarus, de Republiek Moldavië en Oekraïne</w:t>
      </w:r>
      <w:r>
        <w:rPr>
          <w:rStyle w:val="FootnoteReference"/>
          <w:noProof/>
        </w:rPr>
        <w:footnoteReference w:id="8"/>
      </w:r>
      <w:r>
        <w:rPr>
          <w:noProof/>
        </w:rPr>
        <w:t>.</w:t>
      </w:r>
    </w:p>
    <w:p>
      <w:pPr>
        <w:spacing w:before="120" w:after="120"/>
        <w:jc w:val="both"/>
        <w:rPr>
          <w:noProof/>
        </w:rPr>
      </w:pPr>
      <w:r>
        <w:rPr>
          <w:noProof/>
        </w:rPr>
        <w:t>Voorafgaand aan de vaststelling van de bovengenoemde gedelegeerde handelingen heeft de Commissie telkens deskundigen van de lidstaten en de vertegenwoordigers van het Europees Parlement geraadpleegd.</w:t>
      </w:r>
    </w:p>
    <w:p>
      <w:pPr>
        <w:spacing w:before="120" w:after="120"/>
        <w:jc w:val="both"/>
        <w:rPr>
          <w:noProof/>
        </w:rPr>
      </w:pPr>
    </w:p>
    <w:p>
      <w:pPr>
        <w:jc w:val="both"/>
        <w:rPr>
          <w:b/>
          <w:noProof/>
        </w:rPr>
      </w:pPr>
      <w:r>
        <w:rPr>
          <w:b/>
          <w:noProof/>
        </w:rPr>
        <w:t>4.</w:t>
      </w:r>
      <w:r>
        <w:rPr>
          <w:noProof/>
        </w:rPr>
        <w:tab/>
      </w:r>
      <w:r>
        <w:rPr>
          <w:b/>
          <w:noProof/>
        </w:rPr>
        <w:t>CONCLUSIE EN VOORUITZICHTEN VOOR DE TOEKOMST</w:t>
      </w:r>
    </w:p>
    <w:p>
      <w:pPr>
        <w:spacing w:before="120" w:after="120"/>
        <w:jc w:val="both"/>
        <w:rPr>
          <w:noProof/>
        </w:rPr>
      </w:pPr>
      <w:r>
        <w:rPr>
          <w:noProof/>
        </w:rPr>
        <w:t>De Commissie verzoekt het Europees Parlement en de Raad nota te nemen van dit verslag.</w:t>
      </w:r>
    </w:p>
    <w:p>
      <w:pPr>
        <w:spacing w:before="120" w:after="120"/>
        <w:jc w:val="both"/>
        <w:rPr>
          <w:noProof/>
        </w:rPr>
      </w:pPr>
      <w:r>
        <w:rPr>
          <w:noProof/>
        </w:rPr>
        <w:t>In de toekomst is de Commissie voornemens haar gedelegeerde bevoegdheden te gebruiken voor verdere aanpassingen van de bijlagen I, II en III bij Verordening (EU) nr. 1315/2013.</w:t>
      </w:r>
    </w:p>
    <w:sectPr>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PB L 348 van 20.12.2013, blz. 1</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Gedelegeerde Verordening (EU) 2017/849 van de Commissie van 7 december 2016 tot wijziging van Verordening (EU) nr. 1315/2013 van het Europees Parlement en de Raad en met name van de kaarten in bijlage I en de lijst in bijlage II van die verordening (PB L 128I van 19.5.2017, blz. 1).</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Gedelegeerde Verordening (EU) nr. 473/2014 van de Commissie van 17 januari 2014 houdende wijziging van Verordening (EU) nr. 1315/2013 van het Europees Parlement en de Raad door toevoeging van nieuwe indicatieve kaarten aan bijlage III bij deze verordening (PB L 136 van 9.5.2014, blz. 10).</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Gedelegeerde Verordening (EU) 2016/758 van de Commissie van 4 februari 2016 tot wijziging van Verordening (EU) nr. 1315/2013 van het Europees Parlement en de Raad, met name van bijlage III bij die verordening (PB L 126 van 14.5.2016, blz. 3).</w:t>
      </w:r>
    </w:p>
  </w:footnote>
  <w:footnote w:id="6">
    <w:p>
      <w:pPr>
        <w:pStyle w:val="FootnoteText"/>
        <w:jc w:val="both"/>
        <w:rPr>
          <w:rFonts w:ascii="Times New Roman" w:hAnsi="Times New Roman" w:cs="Times New Roman"/>
        </w:rPr>
      </w:pPr>
      <w:r>
        <w:rPr>
          <w:rStyle w:val="FootnoteReference"/>
          <w:rFonts w:ascii="Times New Roman" w:hAnsi="Times New Roman"/>
        </w:rPr>
        <w:t>*</w:t>
      </w:r>
      <w:r>
        <w:rPr>
          <w:rFonts w:ascii="Times New Roman" w:hAnsi="Times New Roman"/>
        </w:rPr>
        <w:t xml:space="preserve"> Deze benaming laat de standpunten over de status van Kosovo onverlet, en is in overeenstemming met Resolutie 1244/1999 van de VN-Veiligheidsraad en het advies van het Internationaal Gerechtshof over de onafhankelijkheidsverklaring van Kosovo.</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Gedelegeerde Verordening (EU) 2019/254 van de Commissie van 9 november 2018 betreffende de aanpassing van bijlage III bij Verordening (EU) nr. 1315/2013 van het Europees Parlement en de Raad betreffende richtsnoeren van de Unie voor de ontwikkeling van het trans-Europees vervoersnetwerk (PB L 43 van 14.2.2019, blz. 1).</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Op 2 februari 2017 heeft de Commissie op grond van artikel 49, lid 6, van de TEN-T-verordening een gedelegeerde verordening aangenomen tot aanpassing van de indicatieve kaarten van het TEN-T-kernnetwerk in Turkije en de landen van het Oostelijk Partnerschap. Omdat een aantal lidstaten bezwaar hadden gemaakt, heeft zij die gedelegeerde verordening echter ingetrokken. De delegatie werd in dit geval dan ook niet gebruikt.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EE0"/>
    <w:multiLevelType w:val="multilevel"/>
    <w:tmpl w:val="054CA020"/>
    <w:numStyleLink w:val="Style1import"/>
  </w:abstractNum>
  <w:abstractNum w:abstractNumId="1">
    <w:nsid w:val="163A64C4"/>
    <w:multiLevelType w:val="multilevel"/>
    <w:tmpl w:val="054CA020"/>
    <w:styleLink w:val="Style1import"/>
    <w:lvl w:ilvl="0">
      <w:start w:val="1"/>
      <w:numFmt w:val="decimal"/>
      <w:lvlText w:val="%1."/>
      <w:lvlJc w:val="left"/>
      <w:pPr>
        <w:tabs>
          <w:tab w:val="left" w:pos="8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5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5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5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5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5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BBC5AB2"/>
    <w:multiLevelType w:val="hybridMultilevel"/>
    <w:tmpl w:val="364A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5"/>
    </w:lvlOverride>
  </w:num>
  <w:num w:numId="4">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8" w:hanging="4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0"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4"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28" w:hanging="7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2" w:hanging="9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36" w:hanging="10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0" w:hanging="12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16" w:hanging="14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42EDB101-5A7A-4D57-A637-5D5EB466F45F"/>
    <w:docVar w:name="LW_COVERPAGE_TYPE" w:val="1"/>
    <w:docVar w:name="LW_CROSSREFERENCE" w:val="&lt;UNUSED&gt;"/>
    <w:docVar w:name="LW_DocType" w:val="NORMAL"/>
    <w:docVar w:name="LW_EMISSION" w:val="6.5.2019"/>
    <w:docVar w:name="LW_EMISSION_ISODATE" w:val="2019-05-06"/>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2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ver de uitoefening van de bevoegdheid tot het vaststellen van gedelegeerde handelingen die aan de Commissie is verleend bij Verordening (EU) nr. 1315/2013 van het Europees Parlement en de Raad van 11 december 2013 betreffende richtsnoeren van de Unie voor de ontwikkeling van het trans-Europees vervoersnetwerk en tot intrekking van Besluit nr. 661/2010/EU&lt;/FMT&gt;"/>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nl-N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Corps"/>
    <w:pPr>
      <w:jc w:val="both"/>
    </w:pPr>
    <w:rPr>
      <w:rFonts w:eastAsia="Times New Roman"/>
      <w:color w:val="000000"/>
      <w:sz w:val="24"/>
      <w:szCs w:val="24"/>
      <w:u w:color="000000"/>
    </w:rPr>
  </w:style>
  <w:style w:type="paragraph" w:customStyle="1" w:styleId="Corps">
    <w:name w:val="Corps"/>
    <w:link w:val="CorpsChar"/>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ManualHeading2">
    <w:name w:val="Manual Heading 2"/>
    <w:next w:val="Corps"/>
    <w:pPr>
      <w:keepNext/>
      <w:tabs>
        <w:tab w:val="left" w:pos="850"/>
      </w:tabs>
      <w:spacing w:before="120" w:after="120"/>
      <w:ind w:left="850" w:hanging="850"/>
      <w:jc w:val="both"/>
      <w:outlineLvl w:val="1"/>
    </w:pPr>
    <w:rPr>
      <w:rFonts w:cs="Arial Unicode MS"/>
      <w:b/>
      <w:bCs/>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eastAsia="nl-NL"/>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nl-NL"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nl-NL" w:eastAsia="nl-NL"/>
    </w:rPr>
  </w:style>
  <w:style w:type="paragraph" w:customStyle="1" w:styleId="CM1">
    <w:name w:val="CM1"/>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3">
    <w:name w:val="CM3"/>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4">
    <w:name w:val="CM4"/>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character" w:customStyle="1" w:styleId="A3">
    <w:name w:val="A3"/>
    <w:uiPriority w:val="99"/>
    <w:rPr>
      <w:rFonts w:cs="EC Square Sans Pro"/>
      <w:color w:val="000000"/>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nl-NL" w:eastAsia="nl-NL"/>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nl-NL"/>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CorpsChar">
    <w:name w:val="Corps Char"/>
    <w:basedOn w:val="DefaultParagraphFont"/>
    <w:link w:val="Corps"/>
    <w:rPr>
      <w:rFonts w:ascii="Calibri" w:eastAsia="Calibri" w:hAnsi="Calibri" w:cs="Calibri"/>
      <w:color w:val="000000"/>
      <w:sz w:val="22"/>
      <w:szCs w:val="22"/>
      <w:u w:color="000000"/>
    </w:rPr>
  </w:style>
  <w:style w:type="character" w:customStyle="1" w:styleId="FooterSensitivityChar">
    <w:name w:val="Footer Sensitivity Char"/>
    <w:basedOn w:val="Corps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ascii="Calibri" w:eastAsia="Calibri" w:hAnsi="Calibri" w:cs="Calibri"/>
      <w:b/>
      <w:color w:val="000000"/>
      <w:sz w:val="32"/>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nl-N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Corps"/>
    <w:pPr>
      <w:jc w:val="both"/>
    </w:pPr>
    <w:rPr>
      <w:rFonts w:eastAsia="Times New Roman"/>
      <w:color w:val="000000"/>
      <w:sz w:val="24"/>
      <w:szCs w:val="24"/>
      <w:u w:color="000000"/>
    </w:rPr>
  </w:style>
  <w:style w:type="paragraph" w:customStyle="1" w:styleId="Corps">
    <w:name w:val="Corps"/>
    <w:link w:val="CorpsChar"/>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ManualHeading2">
    <w:name w:val="Manual Heading 2"/>
    <w:next w:val="Corps"/>
    <w:pPr>
      <w:keepNext/>
      <w:tabs>
        <w:tab w:val="left" w:pos="850"/>
      </w:tabs>
      <w:spacing w:before="120" w:after="120"/>
      <w:ind w:left="850" w:hanging="850"/>
      <w:jc w:val="both"/>
      <w:outlineLvl w:val="1"/>
    </w:pPr>
    <w:rPr>
      <w:rFonts w:cs="Arial Unicode MS"/>
      <w:b/>
      <w:bCs/>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eastAsia="nl-NL"/>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nl-NL"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nl-NL" w:eastAsia="nl-NL"/>
    </w:rPr>
  </w:style>
  <w:style w:type="paragraph" w:customStyle="1" w:styleId="CM1">
    <w:name w:val="CM1"/>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3">
    <w:name w:val="CM3"/>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4">
    <w:name w:val="CM4"/>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character" w:customStyle="1" w:styleId="A3">
    <w:name w:val="A3"/>
    <w:uiPriority w:val="99"/>
    <w:rPr>
      <w:rFonts w:cs="EC Square Sans Pro"/>
      <w:color w:val="000000"/>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nl-NL" w:eastAsia="nl-NL"/>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nl-NL"/>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CorpsChar">
    <w:name w:val="Corps Char"/>
    <w:basedOn w:val="DefaultParagraphFont"/>
    <w:link w:val="Corps"/>
    <w:rPr>
      <w:rFonts w:ascii="Calibri" w:eastAsia="Calibri" w:hAnsi="Calibri" w:cs="Calibri"/>
      <w:color w:val="000000"/>
      <w:sz w:val="22"/>
      <w:szCs w:val="22"/>
      <w:u w:color="000000"/>
    </w:rPr>
  </w:style>
  <w:style w:type="character" w:customStyle="1" w:styleId="FooterSensitivityChar">
    <w:name w:val="Footer Sensitivity Char"/>
    <w:basedOn w:val="Corps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ascii="Calibri" w:eastAsia="Calibri" w:hAnsi="Calibri" w:cs="Calibri"/>
      <w:b/>
      <w:color w:val="000000"/>
      <w:sz w:val="32"/>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163">
      <w:bodyDiv w:val="1"/>
      <w:marLeft w:val="0"/>
      <w:marRight w:val="0"/>
      <w:marTop w:val="0"/>
      <w:marBottom w:val="0"/>
      <w:divBdr>
        <w:top w:val="none" w:sz="0" w:space="0" w:color="auto"/>
        <w:left w:val="none" w:sz="0" w:space="0" w:color="auto"/>
        <w:bottom w:val="none" w:sz="0" w:space="0" w:color="auto"/>
        <w:right w:val="none" w:sz="0" w:space="0" w:color="auto"/>
      </w:divBdr>
    </w:div>
    <w:div w:id="120729774">
      <w:bodyDiv w:val="1"/>
      <w:marLeft w:val="0"/>
      <w:marRight w:val="0"/>
      <w:marTop w:val="0"/>
      <w:marBottom w:val="0"/>
      <w:divBdr>
        <w:top w:val="none" w:sz="0" w:space="0" w:color="auto"/>
        <w:left w:val="none" w:sz="0" w:space="0" w:color="auto"/>
        <w:bottom w:val="none" w:sz="0" w:space="0" w:color="auto"/>
        <w:right w:val="none" w:sz="0" w:space="0" w:color="auto"/>
      </w:divBdr>
    </w:div>
    <w:div w:id="174879516">
      <w:bodyDiv w:val="1"/>
      <w:marLeft w:val="0"/>
      <w:marRight w:val="0"/>
      <w:marTop w:val="0"/>
      <w:marBottom w:val="0"/>
      <w:divBdr>
        <w:top w:val="none" w:sz="0" w:space="0" w:color="auto"/>
        <w:left w:val="none" w:sz="0" w:space="0" w:color="auto"/>
        <w:bottom w:val="none" w:sz="0" w:space="0" w:color="auto"/>
        <w:right w:val="none" w:sz="0" w:space="0" w:color="auto"/>
      </w:divBdr>
    </w:div>
    <w:div w:id="199514773">
      <w:bodyDiv w:val="1"/>
      <w:marLeft w:val="0"/>
      <w:marRight w:val="0"/>
      <w:marTop w:val="0"/>
      <w:marBottom w:val="0"/>
      <w:divBdr>
        <w:top w:val="none" w:sz="0" w:space="0" w:color="auto"/>
        <w:left w:val="none" w:sz="0" w:space="0" w:color="auto"/>
        <w:bottom w:val="none" w:sz="0" w:space="0" w:color="auto"/>
        <w:right w:val="none" w:sz="0" w:space="0" w:color="auto"/>
      </w:divBdr>
    </w:div>
    <w:div w:id="290981829">
      <w:bodyDiv w:val="1"/>
      <w:marLeft w:val="0"/>
      <w:marRight w:val="0"/>
      <w:marTop w:val="0"/>
      <w:marBottom w:val="0"/>
      <w:divBdr>
        <w:top w:val="none" w:sz="0" w:space="0" w:color="auto"/>
        <w:left w:val="none" w:sz="0" w:space="0" w:color="auto"/>
        <w:bottom w:val="none" w:sz="0" w:space="0" w:color="auto"/>
        <w:right w:val="none" w:sz="0" w:space="0" w:color="auto"/>
      </w:divBdr>
    </w:div>
    <w:div w:id="568617094">
      <w:bodyDiv w:val="1"/>
      <w:marLeft w:val="0"/>
      <w:marRight w:val="0"/>
      <w:marTop w:val="0"/>
      <w:marBottom w:val="0"/>
      <w:divBdr>
        <w:top w:val="none" w:sz="0" w:space="0" w:color="auto"/>
        <w:left w:val="none" w:sz="0" w:space="0" w:color="auto"/>
        <w:bottom w:val="none" w:sz="0" w:space="0" w:color="auto"/>
        <w:right w:val="none" w:sz="0" w:space="0" w:color="auto"/>
      </w:divBdr>
    </w:div>
    <w:div w:id="788666751">
      <w:bodyDiv w:val="1"/>
      <w:marLeft w:val="0"/>
      <w:marRight w:val="0"/>
      <w:marTop w:val="0"/>
      <w:marBottom w:val="0"/>
      <w:divBdr>
        <w:top w:val="none" w:sz="0" w:space="0" w:color="auto"/>
        <w:left w:val="none" w:sz="0" w:space="0" w:color="auto"/>
        <w:bottom w:val="none" w:sz="0" w:space="0" w:color="auto"/>
        <w:right w:val="none" w:sz="0" w:space="0" w:color="auto"/>
      </w:divBdr>
      <w:divsChild>
        <w:div w:id="976302308">
          <w:marLeft w:val="0"/>
          <w:marRight w:val="0"/>
          <w:marTop w:val="0"/>
          <w:marBottom w:val="0"/>
          <w:divBdr>
            <w:top w:val="none" w:sz="0" w:space="0" w:color="auto"/>
            <w:left w:val="none" w:sz="0" w:space="0" w:color="auto"/>
            <w:bottom w:val="none" w:sz="0" w:space="0" w:color="auto"/>
            <w:right w:val="none" w:sz="0" w:space="0" w:color="auto"/>
          </w:divBdr>
          <w:divsChild>
            <w:div w:id="1131630886">
              <w:marLeft w:val="0"/>
              <w:marRight w:val="0"/>
              <w:marTop w:val="0"/>
              <w:marBottom w:val="0"/>
              <w:divBdr>
                <w:top w:val="none" w:sz="0" w:space="0" w:color="auto"/>
                <w:left w:val="none" w:sz="0" w:space="0" w:color="auto"/>
                <w:bottom w:val="none" w:sz="0" w:space="0" w:color="auto"/>
                <w:right w:val="none" w:sz="0" w:space="0" w:color="auto"/>
              </w:divBdr>
              <w:divsChild>
                <w:div w:id="1548184612">
                  <w:marLeft w:val="0"/>
                  <w:marRight w:val="0"/>
                  <w:marTop w:val="0"/>
                  <w:marBottom w:val="0"/>
                  <w:divBdr>
                    <w:top w:val="none" w:sz="0" w:space="0" w:color="auto"/>
                    <w:left w:val="none" w:sz="0" w:space="0" w:color="auto"/>
                    <w:bottom w:val="none" w:sz="0" w:space="0" w:color="auto"/>
                    <w:right w:val="none" w:sz="0" w:space="0" w:color="auto"/>
                  </w:divBdr>
                  <w:divsChild>
                    <w:div w:id="1289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8890">
      <w:bodyDiv w:val="1"/>
      <w:marLeft w:val="0"/>
      <w:marRight w:val="0"/>
      <w:marTop w:val="0"/>
      <w:marBottom w:val="0"/>
      <w:divBdr>
        <w:top w:val="none" w:sz="0" w:space="0" w:color="auto"/>
        <w:left w:val="none" w:sz="0" w:space="0" w:color="auto"/>
        <w:bottom w:val="none" w:sz="0" w:space="0" w:color="auto"/>
        <w:right w:val="none" w:sz="0" w:space="0" w:color="auto"/>
      </w:divBdr>
    </w:div>
    <w:div w:id="1105611107">
      <w:bodyDiv w:val="1"/>
      <w:marLeft w:val="0"/>
      <w:marRight w:val="0"/>
      <w:marTop w:val="0"/>
      <w:marBottom w:val="0"/>
      <w:divBdr>
        <w:top w:val="none" w:sz="0" w:space="0" w:color="auto"/>
        <w:left w:val="none" w:sz="0" w:space="0" w:color="auto"/>
        <w:bottom w:val="none" w:sz="0" w:space="0" w:color="auto"/>
        <w:right w:val="none" w:sz="0" w:space="0" w:color="auto"/>
      </w:divBdr>
    </w:div>
    <w:div w:id="1148478996">
      <w:bodyDiv w:val="1"/>
      <w:marLeft w:val="0"/>
      <w:marRight w:val="0"/>
      <w:marTop w:val="0"/>
      <w:marBottom w:val="0"/>
      <w:divBdr>
        <w:top w:val="none" w:sz="0" w:space="0" w:color="auto"/>
        <w:left w:val="none" w:sz="0" w:space="0" w:color="auto"/>
        <w:bottom w:val="none" w:sz="0" w:space="0" w:color="auto"/>
        <w:right w:val="none" w:sz="0" w:space="0" w:color="auto"/>
      </w:divBdr>
    </w:div>
    <w:div w:id="1173104225">
      <w:bodyDiv w:val="1"/>
      <w:marLeft w:val="0"/>
      <w:marRight w:val="0"/>
      <w:marTop w:val="0"/>
      <w:marBottom w:val="0"/>
      <w:divBdr>
        <w:top w:val="none" w:sz="0" w:space="0" w:color="auto"/>
        <w:left w:val="none" w:sz="0" w:space="0" w:color="auto"/>
        <w:bottom w:val="none" w:sz="0" w:space="0" w:color="auto"/>
        <w:right w:val="none" w:sz="0" w:space="0" w:color="auto"/>
      </w:divBdr>
    </w:div>
    <w:div w:id="1415930445">
      <w:bodyDiv w:val="1"/>
      <w:marLeft w:val="0"/>
      <w:marRight w:val="0"/>
      <w:marTop w:val="0"/>
      <w:marBottom w:val="0"/>
      <w:divBdr>
        <w:top w:val="none" w:sz="0" w:space="0" w:color="auto"/>
        <w:left w:val="none" w:sz="0" w:space="0" w:color="auto"/>
        <w:bottom w:val="none" w:sz="0" w:space="0" w:color="auto"/>
        <w:right w:val="none" w:sz="0" w:space="0" w:color="auto"/>
      </w:divBdr>
    </w:div>
    <w:div w:id="154910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8B2F-B432-44F0-83E0-4E7816A4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892</Words>
  <Characters>5224</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26</cp:revision>
  <cp:lastPrinted>2019-02-18T18:14:00Z</cp:lastPrinted>
  <dcterms:created xsi:type="dcterms:W3CDTF">2019-03-22T15:34:00Z</dcterms:created>
  <dcterms:modified xsi:type="dcterms:W3CDTF">2019-05-02T11:16:00Z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