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1AEE838-FF0F-406A-9601-6C87004C1201" style="width:450.8pt;height:351.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SELETUSKIRI</w:t>
      </w:r>
    </w:p>
    <w:p>
      <w:pPr>
        <w:pStyle w:val="ManualHeading1"/>
        <w:rPr>
          <w:noProof/>
        </w:rPr>
      </w:pPr>
      <w:r>
        <w:rPr>
          <w:noProof/>
        </w:rPr>
        <w:t>1.</w:t>
      </w:r>
      <w:r>
        <w:rPr>
          <w:noProof/>
        </w:rPr>
        <w:tab/>
        <w:t>ETTEPANEKU TAUST</w:t>
      </w:r>
    </w:p>
    <w:p>
      <w:pPr>
        <w:spacing w:before="0" w:after="200" w:line="276" w:lineRule="auto"/>
        <w:rPr>
          <w:rFonts w:eastAsia="Calibri"/>
          <w:noProof/>
        </w:rPr>
      </w:pPr>
      <w:r>
        <w:rPr>
          <w:noProof/>
        </w:rPr>
        <w:t xml:space="preserve">Euroopa Liidu toimimise lepingus on sätestatud, et liikmesriigid käsitlevad oma majanduspoliitikat ja edendavad tööhõivet ühise huvi küsimusena ning kooskõlastavad oma tegevust nõukogus. Lepinguga on ette nähtud, et nõukogu peab vastu võtma tööhõivesuunised (artikkel 148) ning täpsustatud, et need peavad olema kooskõlas majanduspoliitika üldsuunistega (artikkel 121). </w:t>
      </w:r>
    </w:p>
    <w:p>
      <w:pPr>
        <w:spacing w:before="0" w:after="200" w:line="276" w:lineRule="auto"/>
        <w:rPr>
          <w:rFonts w:eastAsia="Calibri"/>
          <w:noProof/>
        </w:rPr>
      </w:pPr>
      <w:r>
        <w:rPr>
          <w:noProof/>
        </w:rPr>
        <w:t xml:space="preserve">Majanduspoliitika üldsuunised jäävad kehtima pikemaks perioodiks, kuid tööhõivesuunised tuleb koostada igal aastal. Need suunised võeti esimest korda ühisena (koondpakett) vastu 2010. aastal, et toetada strateegiat „Euroopa 2020“. 2018. aastal viidi suunised vastavusse Euroopa Parlamendi, nõukogu ja komisjoni poolt 2017. aasta novembris välja kuulutatud Euroopa sotsiaalõiguste samba põhimõtetega, mille eesmärk on juhtida reforme riikide tasandil ja olla suunanäitajaks uuendatud lähenemisprotsessil kogu Euroopas. </w:t>
      </w:r>
    </w:p>
    <w:p>
      <w:pPr>
        <w:spacing w:before="0" w:after="200" w:line="276" w:lineRule="auto"/>
        <w:rPr>
          <w:noProof/>
          <w:szCs w:val="24"/>
        </w:rPr>
      </w:pPr>
      <w:r>
        <w:rPr>
          <w:noProof/>
        </w:rPr>
        <w:t>Tööhõivesuunised on koos majanduspoliitika üldsuunistega esitatud nõukogu otsusena liikmesriikide tööhõivepoliitika suuniste kohta (koondsuuniste II osa) ning need moodustavad riigipõhiste soovituste õigusliku aluse.</w:t>
      </w:r>
    </w:p>
    <w:p>
      <w:pPr>
        <w:spacing w:before="0" w:after="200" w:line="276" w:lineRule="auto"/>
        <w:rPr>
          <w:noProof/>
        </w:rPr>
      </w:pPr>
      <w:r>
        <w:rPr>
          <w:noProof/>
        </w:rPr>
        <w:t>Tööhõivepoliitika suunistes seatud üldeesmärgid ja -prioriteedid jäävad kehtima. Kooskõlas artikli 148 lõikega 2 peab tööhõivesuuniste kehtivust 2019. aastal oma otsusega kinnitama nõukogu pärast konsulteerimist Euroopa Parlamendi, Euroopa Majandus- ja Sotsiaalkomitee, Regioonide Komitee ning tööhõivekomiteega. Tööhõive suunised võeti vastu 16. juulil 2018, et tagada keskendumine poliitika rakendamisele.</w:t>
      </w:r>
    </w:p>
    <w:p>
      <w:pPr>
        <w:pStyle w:val="ManualHeading1"/>
        <w:rPr>
          <w:noProof/>
        </w:rPr>
      </w:pPr>
      <w:r>
        <w:rPr>
          <w:noProof/>
        </w:rPr>
        <w:t>2.</w:t>
      </w:r>
      <w:r>
        <w:rPr>
          <w:noProof/>
        </w:rPr>
        <w:tab/>
        <w:t xml:space="preserve">HUVITATUD ISIKUTEGA KONSULTEERIMISE JA MÕJU HINDAMISTE TULEMUSED </w:t>
      </w:r>
    </w:p>
    <w:p>
      <w:pPr>
        <w:pStyle w:val="Text1"/>
        <w:rPr>
          <w:noProof/>
        </w:rPr>
      </w:pPr>
      <w:r>
        <w:rPr>
          <w:noProof/>
        </w:rPr>
        <w:t>Ei kohaldata</w:t>
      </w:r>
    </w:p>
    <w:p>
      <w:pPr>
        <w:pStyle w:val="ManualHeading1"/>
        <w:rPr>
          <w:noProof/>
        </w:rPr>
      </w:pPr>
      <w:r>
        <w:rPr>
          <w:noProof/>
        </w:rPr>
        <w:t>3.</w:t>
      </w:r>
      <w:r>
        <w:rPr>
          <w:noProof/>
        </w:rPr>
        <w:tab/>
        <w:t>ETTEPANEKU ÕIGUSLIK KÜLG</w:t>
      </w:r>
    </w:p>
    <w:p>
      <w:pPr>
        <w:ind w:firstLine="720"/>
        <w:rPr>
          <w:rFonts w:eastAsia="Calibri"/>
          <w:iCs/>
          <w:noProof/>
        </w:rPr>
      </w:pPr>
      <w:r>
        <w:rPr>
          <w:noProof/>
        </w:rPr>
        <w:t>ELT L 224, 5.9.2018, lk 4.</w:t>
      </w:r>
    </w:p>
    <w:p>
      <w:pPr>
        <w:pBdr>
          <w:top w:val="nil"/>
          <w:left w:val="nil"/>
          <w:bottom w:val="nil"/>
          <w:right w:val="nil"/>
          <w:between w:val="nil"/>
          <w:bar w:val="nil"/>
        </w:pBd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2019/0056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liikmesriikide tööhõivepoliitika suuniste kohta</w:t>
      </w:r>
      <w:r>
        <w:rPr>
          <w:noProof/>
        </w:rPr>
        <w:br/>
      </w:r>
    </w:p>
    <w:p>
      <w:pPr>
        <w:pStyle w:val="Institutionquiagit"/>
        <w:rPr>
          <w:noProof/>
        </w:rPr>
      </w:pPr>
      <w:r>
        <w:rPr>
          <w:noProof/>
        </w:rPr>
        <w:t>EUROOPA LIIDU NÕUKOGU,</w:t>
      </w:r>
    </w:p>
    <w:p>
      <w:pPr>
        <w:rPr>
          <w:noProof/>
        </w:rPr>
      </w:pPr>
      <w:r>
        <w:rPr>
          <w:noProof/>
        </w:rPr>
        <w:t>võttes arvesse Euroopa Liidu toimimise lepingut, eriti selle artikli 148 lõiget 2,</w:t>
      </w:r>
    </w:p>
    <w:p>
      <w:pPr>
        <w:rPr>
          <w:noProof/>
        </w:rPr>
      </w:pPr>
      <w:r>
        <w:rPr>
          <w:noProof/>
        </w:rPr>
        <w:t>võttes arvesse Euroopa Komisjoni ettepanekut,</w:t>
      </w:r>
    </w:p>
    <w:p>
      <w:pPr>
        <w:rPr>
          <w:noProof/>
        </w:rPr>
      </w:pPr>
      <w:r>
        <w:rPr>
          <w:noProof/>
        </w:rPr>
        <w:t>võttes arvesse Euroopa Parlamendi arvamust</w:t>
      </w:r>
      <w:r>
        <w:rPr>
          <w:rStyle w:val="FootnoteReference"/>
          <w:noProof/>
        </w:rPr>
        <w:footnoteReference w:id="1"/>
      </w:r>
      <w:r>
        <w:rPr>
          <w:noProof/>
        </w:rPr>
        <w:t>,</w:t>
      </w:r>
    </w:p>
    <w:p>
      <w:pPr>
        <w:rPr>
          <w:noProof/>
        </w:rPr>
      </w:pPr>
      <w:r>
        <w:rPr>
          <w:noProof/>
        </w:rPr>
        <w:t>võttes arvesse Euroopa Majandus- ja Sotsiaalkomitee arvamust</w:t>
      </w:r>
      <w:r>
        <w:rPr>
          <w:rStyle w:val="FootnoteReference"/>
          <w:noProof/>
        </w:rPr>
        <w:footnoteReference w:id="2"/>
      </w:r>
      <w:r>
        <w:rPr>
          <w:noProof/>
        </w:rPr>
        <w:t>,</w:t>
      </w:r>
    </w:p>
    <w:p>
      <w:pPr>
        <w:rPr>
          <w:noProof/>
        </w:rPr>
      </w:pPr>
      <w:r>
        <w:rPr>
          <w:noProof/>
        </w:rPr>
        <w:t>võttes arvesse Regioonide Komitee arvamust</w:t>
      </w:r>
      <w:r>
        <w:rPr>
          <w:rStyle w:val="FootnoteReference"/>
          <w:noProof/>
        </w:rPr>
        <w:footnoteReference w:id="3"/>
      </w:r>
      <w:r>
        <w:rPr>
          <w:noProof/>
        </w:rPr>
        <w:t>,</w:t>
      </w:r>
    </w:p>
    <w:p>
      <w:pPr>
        <w:rPr>
          <w:noProof/>
        </w:rPr>
      </w:pPr>
      <w:r>
        <w:rPr>
          <w:noProof/>
        </w:rPr>
        <w:t>võttes arvesse tööhõivekomitee arvamust</w:t>
      </w:r>
      <w:r>
        <w:rPr>
          <w:rStyle w:val="FootnoteReference"/>
          <w:noProof/>
        </w:rPr>
        <w:footnoteReference w:id="4"/>
      </w:r>
    </w:p>
    <w:p>
      <w:pPr>
        <w:rPr>
          <w:noProof/>
        </w:rPr>
      </w:pPr>
      <w:r>
        <w:rPr>
          <w:noProof/>
        </w:rPr>
        <w:t>ning arvestades järgmist:</w:t>
      </w:r>
    </w:p>
    <w:p>
      <w:pPr>
        <w:pStyle w:val="ManualConsidrant"/>
        <w:rPr>
          <w:noProof/>
        </w:rPr>
      </w:pPr>
      <w:r>
        <w:rPr>
          <w:noProof/>
        </w:rPr>
        <w:t xml:space="preserve">Liikmesriigid ja liit püüavad välja arendada kooskõlastatud tööhõivestrateegiat ja eelkõige strateegiat kvalifitseeritud, koolitatud ja kohanemisvõimelise tööjõu ning samuti majanduse arengule reageerivate tööturgude edendamiseks, pidades silmas Euroopa Liidu lepingu artiklis 3 sätestatud täieliku tööhõive ja sotsiaalse progressi eesmärkide saavutamist. </w:t>
      </w:r>
    </w:p>
    <w:p>
      <w:pPr>
        <w:pStyle w:val="ManualConsidrant"/>
        <w:rPr>
          <w:noProof/>
        </w:rPr>
      </w:pPr>
      <w:r>
        <w:rPr>
          <w:noProof/>
        </w:rPr>
        <w:t>2.</w:t>
      </w:r>
      <w:r>
        <w:rPr>
          <w:noProof/>
        </w:rPr>
        <w:tab/>
        <w:t>Kooskõlas Euroopa Liidu toimimise lepinguga on liit välja töötanud poliitika koordineerimise vahendid eelarve-, makromajandus- ja struktuuripoliitika jaoks ning neid rakendanud. Nende vahendite hulka kuuluvad käesolevad liikmesriikide tööhõivepoliitika suunised ning liikmesriikide ja liidu majanduspoliitika üldsuunised (esitatud nõukogu soovituses (EL) 2015/1184</w:t>
      </w:r>
      <w:r>
        <w:rPr>
          <w:rStyle w:val="FootnoteReference"/>
          <w:noProof/>
        </w:rPr>
        <w:footnoteReference w:id="5"/>
      </w:r>
      <w:r>
        <w:rPr>
          <w:noProof/>
        </w:rPr>
        <w:t>), mis üheskoos moodustavad strateegia „Euroopa 2020“ rakendamise koondsuunised. Nende alusel suunatakse poliitika elluviimist liikmesriikides ja liidus, võttes arvesse liikmesriikide vahelist vastastikust sõltuvust. Sellest tulenev Euroopa ja liikmesriikide kooskõlastatud poliitikasuundade ja reformide kompleks peaks moodustama sobiva majandus- ja sotsiaalpoliitika üldise kompleksi, millega tuleks saavutada positiivne vastastikune mõju.</w:t>
      </w:r>
    </w:p>
    <w:p>
      <w:pPr>
        <w:pStyle w:val="ManualConsidrant"/>
        <w:rPr>
          <w:noProof/>
        </w:rPr>
      </w:pPr>
      <w:r>
        <w:rPr>
          <w:noProof/>
        </w:rPr>
        <w:t>3.</w:t>
      </w:r>
      <w:r>
        <w:rPr>
          <w:noProof/>
        </w:rPr>
        <w:tab/>
        <w:t>Euroopa poolaasta koondab need eri vahendid majandus-, eelarve-, tööhõive- ja sotsiaalpoliitika mitmepoolse jälgimise üldiseks raamistikuks ning püüdleb strateegia „Euroopa 2020“ eesmärkide, sealhulgas nõukogu otsuses 2010/707/EL</w:t>
      </w:r>
      <w:r>
        <w:rPr>
          <w:rStyle w:val="FootnoteReference"/>
          <w:noProof/>
        </w:rPr>
        <w:footnoteReference w:id="6"/>
      </w:r>
      <w:r>
        <w:rPr>
          <w:noProof/>
        </w:rPr>
        <w:t xml:space="preserve"> esitatud tööhõive, hariduse ja vaesuse vähendamise eesmärkide saavutamise poole. Edendades poliitikaeesmärke, milleks on investeeringute hoogustamine, struktuurireformide jätkamine ja vastutustundliku eelarvepoliitika tagamine, on Euroopa poolaasta tegevust alates 2015. aastast jätkuvalt tugevdatud ja ühtlustatud. Eelkõige on tugevdatud selle tööhõive- ja sotsiaalfookust ning elavdatud liikmesriikide, sotsiaalpartnerite ja kodanikuühiskonna esindajatega peetavat dialoogi.</w:t>
      </w:r>
    </w:p>
    <w:p>
      <w:pPr>
        <w:pStyle w:val="ManualConsidrant"/>
        <w:rPr>
          <w:noProof/>
        </w:rPr>
      </w:pPr>
      <w:r>
        <w:rPr>
          <w:noProof/>
        </w:rPr>
        <w:t>4.</w:t>
      </w:r>
      <w:r>
        <w:rPr>
          <w:noProof/>
        </w:rPr>
        <w:tab/>
        <w:t xml:space="preserve">2017. aasta novembris allkirjastasid Euroopa Parlament, nõukogu ja komisjon Euroopa sotsiaalõiguste samba kohta institutsioonide ühise teadaande, milles on sätestatud kakskümmend põhimõtet ja õigust, et toetada hästitoimivaid ja õiglaseid tööturge ning sotsiaalhoolekande süsteeme. Sammas kujutab endast raamistikku liikmesriikide tööhõive- ja sotsiaalnäitajate jälgimiseks, riigi tasandi reformide edendamiseks ning teenäitajat Euroopa uuendatud lähenemisprotsessis. </w:t>
      </w:r>
    </w:p>
    <w:p>
      <w:pPr>
        <w:pStyle w:val="ManualConsidrant"/>
        <w:rPr>
          <w:noProof/>
        </w:rPr>
      </w:pPr>
      <w:r>
        <w:rPr>
          <w:noProof/>
        </w:rPr>
        <w:t xml:space="preserve">5. </w:t>
      </w:r>
      <w:r>
        <w:rPr>
          <w:noProof/>
        </w:rPr>
        <w:tab/>
        <w:t>Koondsuunised peaksid olema aluseks riigipõhistele soovitustele, mida nõukogu võib liikmesriikidele esitada. Liikmesriigid peaksid tööhõivesuuniste rakendamisel täiel määral ära kasutama Euroopa Sotsiaalfondi ja muid liidu rahalisi vahendeid. Kuigi koondsuunised on adresseeritud liikmesriikidele ja liidule, tuleks neid rakendada koostöös kõigi liikmesriigi, piirkondliku ja kohaliku tasandi ametiasutustega, tehes tihedat koostööd parlamentide, sotsiaalpartnerite ja kodanikuühiskonna esindajatega.</w:t>
      </w:r>
    </w:p>
    <w:p>
      <w:pPr>
        <w:pStyle w:val="ManualConsidrant"/>
        <w:rPr>
          <w:noProof/>
        </w:rPr>
      </w:pPr>
      <w:r>
        <w:rPr>
          <w:noProof/>
        </w:rPr>
        <w:t>6.</w:t>
      </w:r>
      <w:r>
        <w:rPr>
          <w:noProof/>
        </w:rPr>
        <w:tab/>
        <w:t>Tööhõivekomitee ja sotsiaalkaitsekomitee peaksid kooskõlas oma vastavate aluslepingust lähtuvate volitustega jälgima, kas tööhõivepoliitika suuniseid võetakse arvesse nende vastutusvaldkonna poliitika elluviimisel. Nimetatud komiteed ning muud majandus- ja sotsiaalpoliitika koordineerimises osalevad nõukogu ettevalmistavad asutused peaksid tegema omavahel tihedat koostööd. Tuleks jätkata Euroopa Parlamendi, nõukogu ja komisjoni vahelist poliitikadialoogi, eelkõige liikmesriikide tööhõivepoliitika suuniste teemal.</w:t>
      </w:r>
    </w:p>
    <w:p>
      <w:pPr>
        <w:pStyle w:val="ManualConsidrant"/>
        <w:rPr>
          <w:noProof/>
        </w:rPr>
      </w:pPr>
      <w:r>
        <w:rPr>
          <w:noProof/>
        </w:rPr>
        <w:t>7.</w:t>
      </w:r>
      <w:r>
        <w:rPr>
          <w:noProof/>
        </w:rPr>
        <w:tab/>
        <w:t>Sotsiaalkaitsekomiteega on konsulteeritud.</w:t>
      </w:r>
    </w:p>
    <w:p>
      <w:pPr>
        <w:pStyle w:val="ManualConsidrant"/>
        <w:rPr>
          <w:noProof/>
        </w:rPr>
      </w:pPr>
      <w:r>
        <w:rPr>
          <w:noProof/>
        </w:rPr>
        <w:t>8.</w:t>
      </w:r>
      <w:r>
        <w:rPr>
          <w:noProof/>
        </w:rPr>
        <w:tab/>
        <w:t>2018. aastal vastu võetud tööhõivesuunised peaksid jääma muutusteta kehtima, et tagada keskendumine meetmete rakendamisele. Tööturu arengute ja sotsiaalse olukorra hindamise seisukohalt ei ole tööhõivesuuniseid pärast nende vastuvõtmisest 2018. aastal vaja ajakohastada. Nende vastuvõtmise põhjused 2018. aastal on endiselt kehtivad; seetõttu tuleks need suunised säilitada,</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Nõukogu otsuse (EL) 2018/1215</w:t>
      </w:r>
      <w:r>
        <w:rPr>
          <w:rStyle w:val="FootnoteReference"/>
          <w:noProof/>
        </w:rPr>
        <w:footnoteReference w:id="7"/>
      </w:r>
      <w:r>
        <w:rPr>
          <w:noProof/>
        </w:rPr>
        <w:t xml:space="preserve"> lisas sätestatud liikmesriikide tööhõivepoliitika suunised jäävad kehtima ka 2019. aastaks ning liikmesriigid arvestavad neid oma tööhõivepoliitikas ja reformikavades.</w:t>
      </w:r>
    </w:p>
    <w:p>
      <w:pPr>
        <w:pStyle w:val="Titrearticle"/>
        <w:rPr>
          <w:noProof/>
        </w:rPr>
      </w:pPr>
      <w:r>
        <w:rPr>
          <w:noProof/>
        </w:rPr>
        <w:t>Artikkel 2</w:t>
      </w:r>
    </w:p>
    <w:p>
      <w:pPr>
        <w:keepNext/>
        <w:keepLines/>
        <w:rPr>
          <w:noProof/>
        </w:rPr>
      </w:pPr>
      <w:r>
        <w:rPr>
          <w:noProof/>
        </w:rPr>
        <w:t>Käesolev otsus on adresseeritud liikmesriikidele.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ELT C , , lk .</w:t>
      </w:r>
    </w:p>
  </w:footnote>
  <w:footnote w:id="2">
    <w:p>
      <w:pPr>
        <w:pStyle w:val="FootnoteText"/>
        <w:rPr>
          <w:lang w:val="pl-PL"/>
        </w:rPr>
      </w:pPr>
      <w:r>
        <w:rPr>
          <w:rStyle w:val="FootnoteReference"/>
        </w:rPr>
        <w:footnoteRef/>
      </w:r>
      <w:r>
        <w:tab/>
        <w:t>ELT C , , lk .</w:t>
      </w:r>
    </w:p>
  </w:footnote>
  <w:footnote w:id="3">
    <w:p>
      <w:pPr>
        <w:pStyle w:val="FootnoteText"/>
        <w:rPr>
          <w:lang w:val="pl-PL"/>
        </w:rPr>
      </w:pPr>
      <w:r>
        <w:rPr>
          <w:rStyle w:val="FootnoteReference"/>
        </w:rPr>
        <w:footnoteRef/>
      </w:r>
      <w:r>
        <w:tab/>
        <w:t>ELT C , , lk .</w:t>
      </w:r>
    </w:p>
  </w:footnote>
  <w:footnote w:id="4">
    <w:p>
      <w:pPr>
        <w:pStyle w:val="FootnoteText"/>
        <w:rPr>
          <w:lang w:val="pl-PL"/>
        </w:rPr>
      </w:pPr>
      <w:r>
        <w:rPr>
          <w:rStyle w:val="FootnoteReference"/>
        </w:rPr>
        <w:footnoteRef/>
      </w:r>
      <w:r>
        <w:tab/>
        <w:t>ELT C , , lk .</w:t>
      </w:r>
    </w:p>
  </w:footnote>
  <w:footnote w:id="5">
    <w:p>
      <w:pPr>
        <w:pStyle w:val="FootnoteText"/>
        <w:rPr>
          <w:b/>
          <w:lang w:val="en"/>
        </w:rPr>
      </w:pPr>
      <w:r>
        <w:rPr>
          <w:rStyle w:val="FootnoteReference"/>
        </w:rPr>
        <w:footnoteRef/>
      </w:r>
      <w:r>
        <w:tab/>
        <w:t>Nõukogu 14. juuli 2015. aasta soovitus (EL) 2015/1184 liikmesriikide ja Euroopa Liidu majanduspoliitika üldsuuniste kohta (ELT L 192, 18.7.2015, lk 27).</w:t>
      </w:r>
    </w:p>
  </w:footnote>
  <w:footnote w:id="6">
    <w:p>
      <w:pPr>
        <w:pStyle w:val="FootnoteText"/>
      </w:pPr>
      <w:r>
        <w:rPr>
          <w:rStyle w:val="FootnoteReference"/>
        </w:rPr>
        <w:footnoteRef/>
      </w:r>
      <w:r>
        <w:tab/>
        <w:t>Nõukogu 21. oktoobri 2010. aasta otsus 2010/707/EL liikmesriikide tööhõivepoliitika suuniste kohta (ELT L 308, 24.11.2010, lk 46).</w:t>
      </w:r>
    </w:p>
  </w:footnote>
  <w:footnote w:id="7">
    <w:p>
      <w:pPr>
        <w:pStyle w:val="FootnoteText"/>
      </w:pPr>
      <w:r>
        <w:rPr>
          <w:rStyle w:val="FootnoteReference"/>
        </w:rPr>
        <w:footnoteRef/>
      </w:r>
      <w:r>
        <w:tab/>
        <w:t>Nõukogu 16. juuli 2018. aasta otsus (EL) 2018/1215 liikmesriikide tööhõivepoliitika suuniste kohta (ELT L 224, 5.9.2018, lk 4).</w:t>
      </w:r>
    </w:p>
    <w:p>
      <w:pPr>
        <w:pStyle w:val="FootnoteText"/>
      </w:pPr>
    </w:p>
    <w:p>
      <w:pPr>
        <w:pStyle w:val="FootnoteText"/>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60AF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94D8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60B4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FC25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3875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4EFA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745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7CEA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6:26: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1AEE838-FF0F-406A-9601-6C87004C1201"/>
    <w:docVar w:name="LW_COVERPAGE_TYPE" w:val="1"/>
    <w:docVar w:name="LW_CROSSREFERENCE" w:val="&lt;UNUSED&gt;"/>
    <w:docVar w:name="LW_DocType" w:val="COM"/>
    <w:docVar w:name="LW_EMISSION" w:val="27.2.2019"/>
    <w:docVar w:name="LW_EMISSION_ISODATE" w:val="2019-02-27"/>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56"/>
    <w:docVar w:name="LW_REF.II.NEW.CP_YEAR" w:val="2019"/>
    <w:docVar w:name="LW_REF.INST.NEW" w:val="COM"/>
    <w:docVar w:name="LW_REF.INST.NEW_ADOPTED" w:val="final"/>
    <w:docVar w:name="LW_REF.INST.NEW_TEXT" w:val="(2019)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liikmesriikide tööhõivepoliitika suuniste kohta_x000b_"/>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699</Words>
  <Characters>5593</Characters>
  <Application>Microsoft Office Word</Application>
  <DocSecurity>0</DocSecurity>
  <Lines>101</Lines>
  <Paragraphs>42</Paragraphs>
  <ScaleCrop>false</ScaleCrop>
  <Manager/>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2019-03-01T10:37:00Z</dcterms:created>
  <dcterms:modified xsi:type="dcterms:W3CDTF">2019-03-01T15:26:00Z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