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1B2EBC4-EB22-4842-94DC-0CDDB031230D" style="width:450.55pt;height:35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rPr>
      </w:pPr>
      <w:r>
        <w:rPr>
          <w:noProof/>
        </w:rPr>
        <w:t>S cílem zajistit dostatečné a nepřerušené dodávky některých zemědělských produktů a průmyslových výrobků, jejichž produkce je v Unii nedostatečná nebo vůbec neexistuje, a s cílem zabránit narušení trhu s některými těmito produkty a výrobky byla nařízením Rady (EU) č. 1387/2013 (dále jen „nařízení“) v částečném či plném rozsahu pozastavena některá všeobecná cla společného celního sazebníku.</w:t>
      </w:r>
    </w:p>
    <w:p>
      <w:pPr>
        <w:rPr>
          <w:noProof/>
        </w:rPr>
      </w:pPr>
      <w:r>
        <w:rPr>
          <w:noProof/>
        </w:rPr>
        <w:t>Nařízení je každých šest měsíců aktualizováno, aby se přizpůsobilo potřebám průmyslu Unie. Komise s přispěním skupiny pro hospodářské otázky celních sazeb přezkoumala veškeré žádosti o pozastavení všeobecných cel, které jí předložily členské státy.</w:t>
      </w:r>
    </w:p>
    <w:p>
      <w:pPr>
        <w:rPr>
          <w:noProof/>
        </w:rPr>
      </w:pPr>
      <w:r>
        <w:rPr>
          <w:noProof/>
        </w:rPr>
        <w:t>Na základě tohoto přezkumu považuje Komise za odůvodněné pozastavit cla z některých nových produktů a výrobků, jež v současnosti nejsou uvedeny na seznamu v příloze nařízení. V souvislosti s některými jinými produkty a výrobky je nutno změnit podmínky, pokud jde o popis zboží, sazební zařazení, celní sazby nebo požadavek na konečné užití. Produkty a výrobky, v jejichž případě již není pozastavení cel v hospodářském zájmu Unie, je navrženo ze seznamu vyjmout.</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rPr>
          <w:noProof/>
        </w:rPr>
      </w:pPr>
      <w:r>
        <w:rPr>
          <w:noProof/>
        </w:rPr>
        <w:t>Tento návrh nemá dopad na země, které mají s Unií uzavřenou preferenční obchodní dohodu, ani na kandidátské země nebo potenciální kandidáty na uzavření preferenčních dohod s Unií (např. všeobecný systém preferencí, obchodní režim skupiny afrických, karibských a tichomořských států, dohody o volném obchodu).</w:t>
      </w:r>
    </w:p>
    <w:p>
      <w:pPr>
        <w:pStyle w:val="ManualHeading2"/>
        <w:rPr>
          <w:rFonts w:eastAsia="Arial Unicode MS"/>
          <w:noProof/>
        </w:rPr>
      </w:pPr>
      <w:r>
        <w:rPr>
          <w:noProof/>
          <w:color w:val="000000"/>
          <w:u w:color="000000"/>
          <w:bdr w:val="nil"/>
        </w:rPr>
        <w:t>•</w:t>
      </w:r>
      <w:r>
        <w:rPr>
          <w:noProof/>
        </w:rPr>
        <w:tab/>
        <w:t>Soulad s ostatními politikami Unie</w:t>
      </w:r>
    </w:p>
    <w:p>
      <w:pPr>
        <w:rPr>
          <w:noProof/>
        </w:rPr>
      </w:pPr>
      <w:r>
        <w:rPr>
          <w:noProof/>
        </w:rPr>
        <w:t>Návrh je v souladu s politikami Unie v oblasti zemědělství, obchodu, podnikání, životního prostředí, rozvoje a vnějších vztahů.</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Právním základem tohoto návrhu je článek 31 Smlouvy o fungování Evropské unie (SFEU).</w:t>
      </w:r>
    </w:p>
    <w:p>
      <w:pPr>
        <w:pStyle w:val="ManualHeading2"/>
        <w:rPr>
          <w:rFonts w:eastAsia="Arial Unicode MS"/>
          <w:noProof/>
          <w:u w:color="000000"/>
          <w:bdr w:val="nil"/>
        </w:rPr>
      </w:pPr>
      <w:r>
        <w:rPr>
          <w:noProof/>
        </w:rPr>
        <w:t>•</w:t>
      </w:r>
      <w:r>
        <w:rPr>
          <w:noProof/>
        </w:rPr>
        <w:tab/>
        <w:t xml:space="preserve">Subsidiarita (v případě nevýlučné pravomoci) </w:t>
      </w:r>
    </w:p>
    <w:p>
      <w:pPr>
        <w:rPr>
          <w:noProof/>
        </w:rPr>
      </w:pPr>
      <w:r>
        <w:rPr>
          <w:noProof/>
        </w:rPr>
        <w:t>Návrh spadá do výlučné pravomoci Unie. Zásada subsidiarity se proto neuplatní.</w:t>
      </w:r>
    </w:p>
    <w:p>
      <w:pPr>
        <w:pStyle w:val="ManualHeading2"/>
        <w:rPr>
          <w:rFonts w:eastAsia="Arial Unicode MS"/>
          <w:noProof/>
          <w:u w:color="000000"/>
          <w:bdr w:val="nil"/>
        </w:rPr>
      </w:pPr>
      <w:r>
        <w:rPr>
          <w:noProof/>
        </w:rPr>
        <w:t>•</w:t>
      </w:r>
      <w:r>
        <w:rPr>
          <w:noProof/>
        </w:rPr>
        <w:tab/>
        <w:t>Proporcionalita</w:t>
      </w:r>
    </w:p>
    <w:p>
      <w:pPr>
        <w:rPr>
          <w:noProof/>
        </w:rPr>
      </w:pPr>
      <w:r>
        <w:rPr>
          <w:noProof/>
        </w:rPr>
        <w:t>Návrh je v souladu se zásadou proporcionality. Navrhovaná opatření naplňují zásady zjednodušení postupů pro hospodářské subjekty činné v oblasti zahraničního obchodu, jak je uvedeno ve sdělení Komise o pozastavení všeobecných cel a o autonomních celních kvótách</w:t>
      </w:r>
      <w:bookmarkStart w:id="1" w:name="_Ref5357254"/>
      <w:r>
        <w:rPr>
          <w:rStyle w:val="FootnoteReference"/>
          <w:noProof/>
        </w:rPr>
        <w:footnoteReference w:id="1"/>
      </w:r>
      <w:bookmarkEnd w:id="1"/>
      <w:r>
        <w:rPr>
          <w:noProof/>
        </w:rPr>
        <w:t>. V souladu s čl. 5 odst. 4 Smlouvy o Evropské unii (SEU) toto nařízení nepřekračuje rámec toho, co je nezbytné pro dosažení sledovaných cílů.</w:t>
      </w:r>
    </w:p>
    <w:p>
      <w:pPr>
        <w:pStyle w:val="ManualHeading2"/>
        <w:rPr>
          <w:rFonts w:eastAsia="Arial Unicode MS"/>
          <w:noProof/>
          <w:u w:color="000000"/>
          <w:bdr w:val="nil"/>
        </w:rPr>
      </w:pPr>
      <w:r>
        <w:rPr>
          <w:noProof/>
        </w:rPr>
        <w:t>•</w:t>
      </w:r>
      <w:r>
        <w:rPr>
          <w:noProof/>
        </w:rPr>
        <w:tab/>
        <w:t>Volba nástroje</w:t>
      </w:r>
    </w:p>
    <w:p>
      <w:pPr>
        <w:rPr>
          <w:noProof/>
        </w:rPr>
      </w:pPr>
      <w:r>
        <w:rPr>
          <w:noProof/>
        </w:rPr>
        <w:t>Podle článku 31 Smlouvy o fungování Evropské unie „společný celní sazebník stanoví Rada na návrh Komise“. Vhodným nástrojem je tedy nařízení.</w:t>
      </w:r>
    </w:p>
    <w:p>
      <w:pPr>
        <w:pStyle w:val="ManualHeading1"/>
        <w:rPr>
          <w:noProof/>
        </w:rPr>
      </w:pPr>
      <w:r>
        <w:rPr>
          <w:noProof/>
        </w:rPr>
        <w:lastRenderedPageBreak/>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rPr>
          <w:noProof/>
        </w:rPr>
      </w:pPr>
      <w:r>
        <w:rPr>
          <w:noProof/>
        </w:rPr>
        <w:t>Celý režim pozastavení všeobecných cel byl předmětem hodnotící studie, která byla provedena v roce 2013. Z hodnocení vyplynulo, že hlavní důvod existence tohoto režimu i nadále přetrvává. Podniky z EU, jež v rámci režimu dovážejí zboží, mohou dosáhnout značných úspor na nákladech. Tyto úspory pak mohou být zdrojem širších přínosů (jako jsou zvýšení konkurenceschopnosti, zefektivnění výrobních metod, tvorba či zachování pracovních míst v Unii apod.), a to v závislosti na daném produktu či výrobku, společnosti a odvětví. Podrobnosti o úsporách, které toto nařízení přinese, jsou uvedeny v připojeném legislativním finančním výkazu.</w:t>
      </w:r>
    </w:p>
    <w:p>
      <w:pPr>
        <w:pStyle w:val="ManualHeading2"/>
        <w:rPr>
          <w:rFonts w:eastAsia="Arial Unicode MS"/>
          <w:noProof/>
          <w:u w:color="000000"/>
          <w:bdr w:val="nil"/>
        </w:rPr>
      </w:pPr>
      <w:r>
        <w:rPr>
          <w:noProof/>
        </w:rPr>
        <w:t>•</w:t>
      </w:r>
      <w:r>
        <w:rPr>
          <w:noProof/>
        </w:rPr>
        <w:tab/>
        <w:t>Konzultace se zúčastněnými stranami</w:t>
      </w:r>
    </w:p>
    <w:p>
      <w:pPr>
        <w:rPr>
          <w:rFonts w:eastAsia="Calibri"/>
          <w:noProof/>
        </w:rPr>
      </w:pPr>
      <w:r>
        <w:rPr>
          <w:noProof/>
        </w:rPr>
        <w:t>Komise tento návrh posoudila za přispění skupiny pro hospodářské otázky celních sazeb, kterou tvoří delegace ze všech členských států a z Turecka. Před odsouhlasením změn uvedených v tomto návrhu se skupina sešla třikrát.</w:t>
      </w:r>
    </w:p>
    <w:p>
      <w:pPr>
        <w:rPr>
          <w:rFonts w:eastAsia="Calibri"/>
          <w:noProof/>
        </w:rPr>
      </w:pPr>
      <w:r>
        <w:rPr>
          <w:noProof/>
        </w:rPr>
        <w:t>Pečlivě posoudila každou žádost (novou, nebo žádost o změnu). Každý případ posoudila, aby se zejména ujistila, že nezpůsobí žádnou újmu producentům z Unie a že posílí a upevní konkurenceschopnost produkce Unie. Skupina pro hospodářské otázky celních sazeb posouzení provedla formou rozprav a členské státy jednaly s dotčenými odvětvími, sdruženími, obchodními komorami a dalšími zúčastněnými stranami.</w:t>
      </w:r>
    </w:p>
    <w:p>
      <w:pPr>
        <w:rPr>
          <w:noProof/>
        </w:rPr>
      </w:pPr>
      <w:r>
        <w:rPr>
          <w:noProof/>
        </w:rPr>
        <w:t>Všechna uvedená pozastavení cel byla předmětem dohod nebo kompromisů, jichž bylo dosaženo při jednáních vedených v rámci skupiny pro hospodářské otázky celních sazeb. Nebyla uvedena žádná potenciálně závažná rizika s nevratnými důsledky.</w:t>
      </w:r>
    </w:p>
    <w:p>
      <w:pPr>
        <w:pStyle w:val="ManualHeading2"/>
        <w:rPr>
          <w:rFonts w:eastAsia="Arial Unicode MS"/>
          <w:noProof/>
          <w:u w:color="000000"/>
          <w:bdr w:val="nil"/>
        </w:rPr>
      </w:pPr>
      <w:r>
        <w:rPr>
          <w:noProof/>
        </w:rPr>
        <w:t>•</w:t>
      </w:r>
      <w:r>
        <w:rPr>
          <w:noProof/>
        </w:rPr>
        <w:tab/>
        <w:t>Posouzení dopadů</w:t>
      </w:r>
    </w:p>
    <w:p>
      <w:pPr>
        <w:rPr>
          <w:noProof/>
        </w:rPr>
      </w:pPr>
      <w:r>
        <w:rPr>
          <w:noProof/>
        </w:rPr>
        <w:t>Navrhovaná změna je čistě technické povahy a týká se pouze rozsahu pozastavení uvedených v příloze nařízení Rady (EU) č. 1387/2013. Posouzení dopadů k tomuto návrhu se proto neprovádělo.</w:t>
      </w:r>
    </w:p>
    <w:p>
      <w:pPr>
        <w:pStyle w:val="ManualHeading2"/>
        <w:rPr>
          <w:rFonts w:eastAsia="Arial Unicode MS"/>
          <w:noProof/>
          <w:u w:color="000000"/>
          <w:bdr w:val="nil"/>
        </w:rPr>
      </w:pPr>
      <w:r>
        <w:rPr>
          <w:noProof/>
        </w:rPr>
        <w:t>•</w:t>
      </w:r>
      <w:r>
        <w:rPr>
          <w:noProof/>
        </w:rPr>
        <w:tab/>
        <w:t>Základní práva</w:t>
      </w:r>
    </w:p>
    <w:p>
      <w:pPr>
        <w:rPr>
          <w:noProof/>
        </w:rPr>
      </w:pPr>
      <w:r>
        <w:rPr>
          <w:noProof/>
        </w:rPr>
        <w:t>Návrh nemá dopad na základní práva.</w:t>
      </w:r>
    </w:p>
    <w:p>
      <w:pPr>
        <w:pStyle w:val="ManualHeading1"/>
        <w:rPr>
          <w:noProof/>
        </w:rPr>
      </w:pPr>
      <w:r>
        <w:rPr>
          <w:noProof/>
        </w:rPr>
        <w:t>4.</w:t>
      </w:r>
      <w:r>
        <w:rPr>
          <w:noProof/>
        </w:rPr>
        <w:tab/>
        <w:t>ROZPOČTOVÉ DŮSLEDKY</w:t>
      </w:r>
    </w:p>
    <w:p>
      <w:pPr>
        <w:rPr>
          <w:noProof/>
        </w:rPr>
      </w:pPr>
      <w:r>
        <w:rPr>
          <w:noProof/>
        </w:rPr>
        <w:t>Návrh nemá finanční dopad na výdaje, má však finanční dopad na příjmy. Nevybrané clo dosahuje přibližné výše 27,8 milionu EUR za rok. Dopad na tradiční vlastní zdroje rozpočtu je 22,2 milionu EUR za rok (tj. 80 % celkové částky). Podrobněji jsou rozpočtové důsledky tohoto návrhu vysvětleny v legislativním finančním výkazu.</w:t>
      </w:r>
    </w:p>
    <w:p>
      <w:pPr>
        <w:rPr>
          <w:noProof/>
        </w:rPr>
      </w:pPr>
      <w:r>
        <w:rPr>
          <w:noProof/>
        </w:rPr>
        <w:t>Ztráta příjmů z tradičních vlastních zdrojů bude nahrazena příspěvky z vlastních zdrojů členských států z hrubého národního příjmu (HND).</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způsoby monitorování, hodnocení a podávání zpráv</w:t>
      </w:r>
    </w:p>
    <w:p>
      <w:pPr>
        <w:rPr>
          <w:noProof/>
        </w:rPr>
      </w:pPr>
      <w:r>
        <w:rPr>
          <w:noProof/>
        </w:rPr>
        <w:t>Navrhovaná opatření jsou spravována v rámci integrovaného sazebníku Evropské unie (TARIC) a jsou uplatňována celními správami členských států.</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2019/0106 (NLE)</w:t>
      </w:r>
    </w:p>
    <w:p>
      <w:pPr>
        <w:pStyle w:val="Statut"/>
        <w:rPr>
          <w:noProof/>
        </w:rPr>
      </w:pPr>
      <w:r>
        <w:rPr>
          <w:noProof/>
        </w:rPr>
        <w:t>Návrh</w:t>
      </w:r>
    </w:p>
    <w:p>
      <w:pPr>
        <w:pStyle w:val="Typedudocument"/>
        <w:rPr>
          <w:noProof/>
        </w:rPr>
      </w:pPr>
      <w:r>
        <w:rPr>
          <w:noProof/>
        </w:rPr>
        <w:t>NAŘÍZENÍ RADY,</w:t>
      </w:r>
    </w:p>
    <w:p>
      <w:pPr>
        <w:pStyle w:val="Titreobjet"/>
        <w:rPr>
          <w:noProof/>
        </w:rPr>
      </w:pPr>
      <w:r>
        <w:rPr>
          <w:noProof/>
        </w:rPr>
        <w:t>kterým se mění nařízení (EU) č. 1387/2013 o pozastavení všeobecných cel společného celního sazebníku pro určité zemědělské produkty a průmyslové výrobky</w:t>
      </w:r>
    </w:p>
    <w:p>
      <w:pPr>
        <w:pStyle w:val="Institutionquiagit"/>
        <w:rPr>
          <w:noProof/>
        </w:rPr>
      </w:pPr>
      <w:r>
        <w:rPr>
          <w:noProof/>
        </w:rPr>
        <w:t>RADA EVROPSKÉ UNIE,</w:t>
      </w:r>
    </w:p>
    <w:p>
      <w:pPr>
        <w:rPr>
          <w:noProof/>
        </w:rPr>
      </w:pPr>
      <w:r>
        <w:rPr>
          <w:noProof/>
        </w:rPr>
        <w:t>s ohledem na Smlouvu o fungování Evropské unie, a zejména na článek 31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Aby se zajistily dostatečné a nepřerušované dodávky některých zemědělských produktů a průmyslových výrobků, které nejsou v Unii dostupné, a zabránilo narušení trhu s nimi, byla nařízením Rady (EU) č. 1387/2013 pozastavena všeobecná cla společného celního sazebníku na tyto produkty a výrobky</w:t>
      </w:r>
      <w:r>
        <w:rPr>
          <w:rStyle w:val="FootnoteReference"/>
          <w:noProof/>
        </w:rPr>
        <w:footnoteReference w:id="2"/>
      </w:r>
      <w:r>
        <w:rPr>
          <w:noProof/>
        </w:rPr>
        <w:t>. Tyto produkty a výrobky mohou být do Unie dováženy se sníženými nebo nulovými celními sazbami.</w:t>
      </w:r>
    </w:p>
    <w:p>
      <w:pPr>
        <w:pStyle w:val="ManualConsidrant"/>
        <w:rPr>
          <w:noProof/>
        </w:rPr>
      </w:pPr>
      <w:r>
        <w:t>(2)</w:t>
      </w:r>
      <w:r>
        <w:tab/>
      </w:r>
      <w:r>
        <w:rPr>
          <w:noProof/>
        </w:rPr>
        <w:t>Produkce a výroba 97 produktů a výrobků, které v současné době nejsou uvedeny na seznamu v příloze nařízení (EU) č. 1387/2013, je v Unii nedostatečná nebo neexistuje. Proto je v zájmu Unie zcela pozastavit pro uvedené produkty a výrobky všeobecná cla společného celního sazebníku.</w:t>
      </w:r>
    </w:p>
    <w:p>
      <w:pPr>
        <w:pStyle w:val="ManualConsidrant"/>
        <w:rPr>
          <w:noProof/>
        </w:rPr>
      </w:pPr>
      <w:r>
        <w:t>(3)</w:t>
      </w:r>
      <w:r>
        <w:tab/>
      </w:r>
      <w:r>
        <w:rPr>
          <w:noProof/>
        </w:rPr>
        <w:t>S ohledem na technický vývoj produktů a výrobků a ekonomické trendy na trhu je nutno změnit podmínky pozastavení všeobecných cel společného celního sazebníku u 47 produktů a výrobků, které jsou v současné době uvedeny na seznamu v příloze nařízení (EU) č. 1387/2013.</w:t>
      </w:r>
    </w:p>
    <w:p>
      <w:pPr>
        <w:pStyle w:val="ManualConsidrant"/>
        <w:rPr>
          <w:noProof/>
        </w:rPr>
      </w:pPr>
      <w:r>
        <w:t>(4)</w:t>
      </w:r>
      <w:r>
        <w:tab/>
      </w:r>
      <w:r>
        <w:rPr>
          <w:noProof/>
        </w:rPr>
        <w:t>V zájmu Unie již není udržovat pozastavení všeobecných cel společného celního sazebníku u 26 z těchto produktů a výrobků, které jsou v současnosti uvedeny v příloze nařízení (EU) č. 1387/2013. Navíc s cílem podpořit výrobu integrovaných baterií v Unii a v souladu s politickými cíli Evropské unie v této věci</w:t>
      </w:r>
      <w:r>
        <w:rPr>
          <w:rStyle w:val="FootnoteReference"/>
          <w:noProof/>
        </w:rPr>
        <w:footnoteReference w:id="3"/>
      </w:r>
      <w:r>
        <w:rPr>
          <w:noProof/>
        </w:rPr>
        <w:t xml:space="preserve"> by mělo být zrušeno pozastavení cel u dalších 20 produktů a výrobků. Z uvedené přílohy by mělo být vyjmuto dalších 50 pozastavení cel v důsledku provádění dohody ve formě prohlášení o rozšíření obchodu s produkty informačních technologií</w:t>
      </w:r>
      <w:r>
        <w:rPr>
          <w:rStyle w:val="FootnoteReference"/>
          <w:noProof/>
        </w:rPr>
        <w:footnoteReference w:id="4"/>
      </w:r>
      <w:r>
        <w:rPr>
          <w:noProof/>
        </w:rPr>
        <w:t>, která snížila celní sazbu pro dotyčné výrobky na nulu.</w:t>
      </w:r>
    </w:p>
    <w:p>
      <w:pPr>
        <w:pStyle w:val="ManualConsidrant"/>
        <w:rPr>
          <w:noProof/>
        </w:rPr>
      </w:pPr>
      <w:r>
        <w:t>(5)</w:t>
      </w:r>
      <w:r>
        <w:tab/>
      </w:r>
      <w:r>
        <w:rPr>
          <w:noProof/>
        </w:rPr>
        <w:t>Nařízení (EU) č. 1387/2013 by proto mělo být odpovídajícím způsobem změněno.</w:t>
      </w:r>
    </w:p>
    <w:p>
      <w:pPr>
        <w:pStyle w:val="ManualConsidrant"/>
        <w:rPr>
          <w:noProof/>
        </w:rPr>
      </w:pPr>
      <w:r>
        <w:t>(6)</w:t>
      </w:r>
      <w:r>
        <w:tab/>
      </w:r>
      <w:r>
        <w:rPr>
          <w:noProof/>
        </w:rPr>
        <w:t>Aby se zamezilo přerušení uplatňování režimu pozastavení všeobecných cel a dodržely pokyny stanovené ve sdělení Komise o pozastavení všeobecných cel a o autonomních celních kvótách</w:t>
      </w:r>
      <w:r>
        <w:rPr>
          <w:rStyle w:val="FootnoteReference"/>
          <w:noProof/>
        </w:rPr>
        <w:footnoteReference w:id="5"/>
      </w:r>
      <w:r>
        <w:rPr>
          <w:noProof/>
        </w:rPr>
        <w:t xml:space="preserve">, musí se změny se stanovené tímto nařízením </w:t>
      </w:r>
      <w:r>
        <w:rPr>
          <w:noProof/>
        </w:rPr>
        <w:lastRenderedPageBreak/>
        <w:t>týkající se pozastavení cel u dotčených produktů a výrobků použít ode dne 1. července 2019. Toto nařízení by proto mělo vstoupit v platnost co nejdříve,</w:t>
      </w:r>
    </w:p>
    <w:p>
      <w:pPr>
        <w:pStyle w:val="Formuledadoption"/>
        <w:rPr>
          <w:noProof/>
        </w:rPr>
      </w:pPr>
      <w:r>
        <w:rPr>
          <w:noProof/>
        </w:rPr>
        <w:t>PŘIJALA TOTO NAŘÍZENÍ:</w:t>
      </w:r>
    </w:p>
    <w:p>
      <w:pPr>
        <w:pStyle w:val="Titrearticle"/>
        <w:rPr>
          <w:noProof/>
        </w:rPr>
      </w:pPr>
      <w:r>
        <w:rPr>
          <w:noProof/>
        </w:rPr>
        <w:t>Článek 1</w:t>
      </w:r>
    </w:p>
    <w:p>
      <w:pPr>
        <w:rPr>
          <w:noProof/>
        </w:rPr>
      </w:pPr>
      <w:r>
        <w:rPr>
          <w:noProof/>
        </w:rPr>
        <w:t xml:space="preserve">Příloha nařízení (EU) č. 1387/2013 se mění takto: </w:t>
      </w:r>
    </w:p>
    <w:p>
      <w:pPr>
        <w:pStyle w:val="ManualNumPar1"/>
        <w:rPr>
          <w:noProof/>
        </w:rPr>
      </w:pPr>
      <w:r>
        <w:t>1.</w:t>
      </w:r>
      <w:r>
        <w:tab/>
      </w:r>
      <w:r>
        <w:rPr>
          <w:noProof/>
        </w:rPr>
        <w:t>všechny hvězdičky v tabulce a poznámka (*) obsahující text „Nová nebo změněná položka, resp. položka, jejíž platnost byla prodloužena“ se zrušují;</w:t>
      </w:r>
    </w:p>
    <w:p>
      <w:pPr>
        <w:pStyle w:val="ManualNumPar1"/>
        <w:rPr>
          <w:noProof/>
        </w:rPr>
      </w:pPr>
      <w:r>
        <w:t>2.</w:t>
      </w:r>
      <w:r>
        <w:tab/>
      </w:r>
      <w:r>
        <w:rPr>
          <w:noProof/>
        </w:rPr>
        <w:t>v tabulce se zrušují řádky s produkty a výrobky, jejichž kódy KN a TARIC jsou uvedeny v příloze I tohoto nařízení;</w:t>
      </w:r>
    </w:p>
    <w:p>
      <w:pPr>
        <w:pStyle w:val="ManualNumPar1"/>
        <w:rPr>
          <w:noProof/>
        </w:rPr>
      </w:pPr>
      <w:r>
        <w:t>3.</w:t>
      </w:r>
      <w:r>
        <w:tab/>
      </w:r>
      <w:r>
        <w:rPr>
          <w:noProof/>
        </w:rPr>
        <w:t>do tabulky se vkládají řádky pro produkty a výrobky uvedené v příloze II tohoto nařízení podle pořadí kódů KN a TARIC uvedených v prvním a druhém sloupci uvedené tabulky.</w:t>
      </w:r>
    </w:p>
    <w:p>
      <w:pPr>
        <w:pStyle w:val="Titrearticle"/>
        <w:rPr>
          <w:noProof/>
        </w:rPr>
      </w:pPr>
      <w:r>
        <w:rPr>
          <w:noProof/>
        </w:rPr>
        <w:t>Článek 2</w:t>
      </w:r>
    </w:p>
    <w:p>
      <w:pPr>
        <w:rPr>
          <w:noProof/>
        </w:rPr>
      </w:pPr>
      <w:r>
        <w:rPr>
          <w:noProof/>
        </w:rPr>
        <w:t xml:space="preserve">Toto nařízení vstupuje v platnost dnem vyhlášení v </w:t>
      </w:r>
      <w:r>
        <w:rPr>
          <w:i/>
          <w:noProof/>
        </w:rPr>
        <w:t>Úředním věstníku Evropské unie</w:t>
      </w:r>
      <w:r>
        <w:rPr>
          <w:noProof/>
        </w:rPr>
        <w:t xml:space="preserve">. </w:t>
      </w:r>
    </w:p>
    <w:p>
      <w:pPr>
        <w:rPr>
          <w:noProof/>
        </w:rPr>
      </w:pPr>
      <w:r>
        <w:rPr>
          <w:noProof/>
        </w:rPr>
        <w:t>Použije se od 1. července 2019.</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LEGISLATIVNÍ FINANČNÍ VÝKAZ</w:t>
      </w:r>
    </w:p>
    <w:p>
      <w:pPr>
        <w:pStyle w:val="ManualHeading1"/>
        <w:rPr>
          <w:bCs/>
          <w:noProof/>
          <w:szCs w:val="24"/>
        </w:rPr>
      </w:pPr>
      <w:r>
        <w:t>1.</w:t>
      </w:r>
      <w:r>
        <w:tab/>
      </w:r>
      <w:r>
        <w:rPr>
          <w:noProof/>
        </w:rPr>
        <w:t>NÁZEV NÁVRHU:</w:t>
      </w:r>
    </w:p>
    <w:p>
      <w:pPr>
        <w:pStyle w:val="Text1"/>
        <w:rPr>
          <w:noProof/>
        </w:rPr>
      </w:pPr>
      <w:r>
        <w:rPr>
          <w:noProof/>
        </w:rPr>
        <w:t>Nařízení Rady, kterým se mění nařízení (EU) č. 1387/2013 o pozastavení všeobecných cel společného celního sazebníku pro určité zemědělské produkty a průmyslové výrobky</w:t>
      </w:r>
    </w:p>
    <w:p>
      <w:pPr>
        <w:pStyle w:val="ManualHeading1"/>
        <w:rPr>
          <w:noProof/>
          <w:szCs w:val="24"/>
        </w:rPr>
      </w:pPr>
      <w:r>
        <w:t>2.</w:t>
      </w:r>
      <w:r>
        <w:tab/>
      </w:r>
      <w:r>
        <w:rPr>
          <w:noProof/>
        </w:rPr>
        <w:t>ROZPOČTOVÉ POLOŽKY:</w:t>
      </w:r>
    </w:p>
    <w:p>
      <w:pPr>
        <w:pStyle w:val="Text1"/>
        <w:rPr>
          <w:noProof/>
        </w:rPr>
      </w:pPr>
      <w:r>
        <w:rPr>
          <w:noProof/>
        </w:rPr>
        <w:t>Kapitola a článek: kapitola 12, článek 120</w:t>
      </w:r>
    </w:p>
    <w:p>
      <w:pPr>
        <w:pStyle w:val="Text1"/>
        <w:rPr>
          <w:noProof/>
        </w:rPr>
      </w:pPr>
      <w:r>
        <w:rPr>
          <w:noProof/>
        </w:rPr>
        <w:t>Částka zahrnutá do rozpočtu na rok 2019: 21 471 164 786 EUR</w:t>
      </w:r>
    </w:p>
    <w:p>
      <w:pPr>
        <w:pStyle w:val="ManualHeading1"/>
        <w:rPr>
          <w:bCs/>
          <w:noProof/>
          <w:szCs w:val="24"/>
        </w:rPr>
      </w:pPr>
      <w:r>
        <w:t>3.</w:t>
      </w:r>
      <w:r>
        <w:tab/>
      </w:r>
      <w:r>
        <w:rPr>
          <w:noProof/>
        </w:rPr>
        <w:t>FINANČNÍ DOPAD</w:t>
      </w:r>
    </w:p>
    <w:p>
      <w:pPr>
        <w:pStyle w:val="Text1"/>
        <w:rPr>
          <w:noProof/>
        </w:rPr>
      </w:pPr>
      <w:r>
        <w:rPr>
          <w:noProof/>
        </w:rPr>
        <w:sym w:font="Wingdings" w:char="F0A8"/>
      </w:r>
      <w:r>
        <w:rPr>
          <w:noProof/>
        </w:rPr>
        <w:tab/>
        <w:t>Návrh nemá žádné finanční dopady</w:t>
      </w:r>
    </w:p>
    <w:p>
      <w:pPr>
        <w:pStyle w:val="Text1"/>
        <w:rPr>
          <w:noProof/>
        </w:rPr>
      </w:pPr>
      <w:r>
        <w:rPr>
          <w:noProof/>
        </w:rPr>
        <w:t>X Návrh nemá finanční dopady na výdaje, má však finanční dopady na příjmy s následujícím účinkem:</w:t>
      </w:r>
    </w:p>
    <w:p>
      <w:pPr>
        <w:jc w:val="right"/>
        <w:rPr>
          <w:noProof/>
        </w:rPr>
      </w:pPr>
      <w:r>
        <w:rPr>
          <w:noProof/>
        </w:rPr>
        <w:t>(v milionech EUR, zaokrouhleno na jedno desetinné místo</w:t>
      </w:r>
      <w:r>
        <w:rPr>
          <w:rStyle w:val="FootnoteReference"/>
          <w:noProof/>
        </w:rPr>
        <w:footnoteReference w:id="6"/>
      </w:r>
      <w:r>
        <w:rPr>
          <w:noProof/>
        </w:rPr>
        <w:t>)</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2880"/>
        <w:gridCol w:w="2070"/>
        <w:gridCol w:w="2070"/>
      </w:tblGrid>
      <w:tr>
        <w:trPr>
          <w:gridAfter w:val="2"/>
          <w:wAfter w:w="4140" w:type="dxa"/>
          <w:cantSplit/>
        </w:trPr>
        <w:tc>
          <w:tcPr>
            <w:tcW w:w="1322" w:type="dxa"/>
          </w:tcPr>
          <w:p>
            <w:pPr>
              <w:spacing w:before="0" w:after="0"/>
              <w:jc w:val="left"/>
              <w:rPr>
                <w:noProof/>
                <w:snapToGrid w:val="0"/>
                <w:sz w:val="18"/>
              </w:rPr>
            </w:pPr>
          </w:p>
        </w:tc>
        <w:tc>
          <w:tcPr>
            <w:tcW w:w="2880" w:type="dxa"/>
          </w:tcPr>
          <w:p>
            <w:pPr>
              <w:spacing w:before="0" w:after="0"/>
              <w:jc w:val="left"/>
              <w:rPr>
                <w:noProof/>
                <w:snapToGrid w:val="0"/>
                <w:sz w:val="18"/>
              </w:rPr>
            </w:pPr>
          </w:p>
        </w:tc>
      </w:tr>
      <w:tr>
        <w:trPr>
          <w:cantSplit/>
        </w:trPr>
        <w:tc>
          <w:tcPr>
            <w:tcW w:w="1322" w:type="dxa"/>
          </w:tcPr>
          <w:p>
            <w:pPr>
              <w:spacing w:before="0" w:after="0"/>
              <w:jc w:val="left"/>
              <w:rPr>
                <w:noProof/>
                <w:snapToGrid w:val="0"/>
              </w:rPr>
            </w:pPr>
            <w:r>
              <w:rPr>
                <w:noProof/>
                <w:sz w:val="22"/>
              </w:rPr>
              <w:t>Rozpočtová položka</w:t>
            </w:r>
          </w:p>
        </w:tc>
        <w:tc>
          <w:tcPr>
            <w:tcW w:w="2880" w:type="dxa"/>
          </w:tcPr>
          <w:p>
            <w:pPr>
              <w:spacing w:before="0" w:after="0"/>
              <w:jc w:val="center"/>
              <w:rPr>
                <w:noProof/>
                <w:snapToGrid w:val="0"/>
              </w:rPr>
            </w:pPr>
            <w:r>
              <w:rPr>
                <w:noProof/>
                <w:sz w:val="22"/>
              </w:rPr>
              <w:t>Příjmy</w:t>
            </w:r>
            <w:r>
              <w:rPr>
                <w:rStyle w:val="FootnoteReference"/>
                <w:noProof/>
                <w:snapToGrid w:val="0"/>
                <w:sz w:val="22"/>
              </w:rPr>
              <w:footnoteReference w:id="7"/>
            </w:r>
          </w:p>
          <w:p>
            <w:pPr>
              <w:spacing w:before="0" w:after="0"/>
              <w:jc w:val="center"/>
              <w:rPr>
                <w:noProof/>
                <w:snapToGrid w:val="0"/>
              </w:rPr>
            </w:pPr>
          </w:p>
        </w:tc>
        <w:tc>
          <w:tcPr>
            <w:tcW w:w="2070" w:type="dxa"/>
            <w:shd w:val="clear" w:color="auto" w:fill="auto"/>
          </w:tcPr>
          <w:p>
            <w:pPr>
              <w:spacing w:before="0" w:after="0"/>
              <w:jc w:val="center"/>
              <w:rPr>
                <w:noProof/>
                <w:snapToGrid w:val="0"/>
              </w:rPr>
            </w:pPr>
            <w:r>
              <w:rPr>
                <w:noProof/>
                <w:sz w:val="22"/>
              </w:rPr>
              <w:t>Období 6 měsíců ode dne dd/mm/rrrr</w:t>
            </w:r>
          </w:p>
        </w:tc>
        <w:tc>
          <w:tcPr>
            <w:tcW w:w="2070" w:type="dxa"/>
            <w:shd w:val="clear" w:color="auto" w:fill="auto"/>
          </w:tcPr>
          <w:p>
            <w:pPr>
              <w:jc w:val="center"/>
              <w:rPr>
                <w:noProof/>
              </w:rPr>
            </w:pPr>
            <w:r>
              <w:rPr>
                <w:noProof/>
              </w:rPr>
              <w:t>[Rok: druhá polovina roku 2019]</w:t>
            </w:r>
          </w:p>
          <w:p>
            <w:pPr>
              <w:spacing w:before="0" w:after="0"/>
              <w:jc w:val="center"/>
              <w:rPr>
                <w:noProof/>
                <w:snapToGrid w:val="0"/>
              </w:rPr>
            </w:pPr>
          </w:p>
        </w:tc>
      </w:tr>
      <w:tr>
        <w:trPr>
          <w:cantSplit/>
        </w:trPr>
        <w:tc>
          <w:tcPr>
            <w:tcW w:w="1322" w:type="dxa"/>
            <w:shd w:val="clear" w:color="auto" w:fill="auto"/>
          </w:tcPr>
          <w:p>
            <w:pPr>
              <w:spacing w:before="0" w:after="0"/>
              <w:jc w:val="left"/>
              <w:rPr>
                <w:noProof/>
              </w:rPr>
            </w:pPr>
            <w:r>
              <w:rPr>
                <w:noProof/>
                <w:sz w:val="22"/>
              </w:rPr>
              <w:t xml:space="preserve">Článek 120 </w:t>
            </w:r>
          </w:p>
          <w:p>
            <w:pPr>
              <w:spacing w:before="0" w:after="0"/>
              <w:jc w:val="left"/>
              <w:rPr>
                <w:noProof/>
                <w:snapToGrid w:val="0"/>
              </w:rPr>
            </w:pPr>
          </w:p>
        </w:tc>
        <w:tc>
          <w:tcPr>
            <w:tcW w:w="2880" w:type="dxa"/>
          </w:tcPr>
          <w:p>
            <w:pPr>
              <w:spacing w:before="0" w:after="0"/>
              <w:jc w:val="left"/>
              <w:rPr>
                <w:i/>
                <w:noProof/>
                <w:snapToGrid w:val="0"/>
              </w:rPr>
            </w:pPr>
            <w:r>
              <w:rPr>
                <w:i/>
                <w:noProof/>
                <w:sz w:val="22"/>
              </w:rPr>
              <w:t>Dopad na vlastní zdroje</w:t>
            </w:r>
          </w:p>
        </w:tc>
        <w:tc>
          <w:tcPr>
            <w:tcW w:w="2070" w:type="dxa"/>
            <w:shd w:val="clear" w:color="auto" w:fill="auto"/>
          </w:tcPr>
          <w:p>
            <w:pPr>
              <w:spacing w:before="0" w:after="0"/>
              <w:jc w:val="left"/>
              <w:rPr>
                <w:noProof/>
                <w:snapToGrid w:val="0"/>
              </w:rPr>
            </w:pPr>
            <w:r>
              <w:rPr>
                <w:noProof/>
                <w:snapToGrid w:val="0"/>
                <w:sz w:val="22"/>
              </w:rPr>
              <w:t xml:space="preserve">      1. 7. 2019</w:t>
            </w:r>
          </w:p>
        </w:tc>
        <w:tc>
          <w:tcPr>
            <w:tcW w:w="2070" w:type="dxa"/>
            <w:shd w:val="clear" w:color="auto" w:fill="auto"/>
          </w:tcPr>
          <w:p>
            <w:pPr>
              <w:spacing w:before="0" w:after="0"/>
              <w:jc w:val="left"/>
              <w:rPr>
                <w:noProof/>
                <w:snapToGrid w:val="0"/>
              </w:rPr>
            </w:pPr>
            <w:r>
              <w:rPr>
                <w:noProof/>
                <w:snapToGrid w:val="0"/>
                <w:sz w:val="22"/>
              </w:rPr>
              <w:t xml:space="preserve">           –11,1</w:t>
            </w:r>
          </w:p>
        </w:tc>
      </w:tr>
    </w:tbl>
    <w:p>
      <w:pPr>
        <w:rPr>
          <w:b/>
          <w:i/>
          <w:noProof/>
          <w:snapToGrid w:val="0"/>
        </w:rPr>
      </w:pP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
        <w:gridCol w:w="1321"/>
        <w:gridCol w:w="823"/>
        <w:gridCol w:w="2144"/>
        <w:gridCol w:w="4106"/>
      </w:tblGrid>
      <w:tr>
        <w:trPr>
          <w:gridBefore w:val="1"/>
          <w:wBefore w:w="6" w:type="dxa"/>
          <w:cantSplit/>
        </w:trPr>
        <w:tc>
          <w:tcPr>
            <w:tcW w:w="8394"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Stav po opatření</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[2019 až 2023]</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rPr>
                <w:noProof/>
                <w:szCs w:val="24"/>
              </w:rPr>
            </w:pPr>
            <w:r>
              <w:rPr>
                <w:noProof/>
                <w:sz w:val="22"/>
              </w:rPr>
              <w:t>Článek 120</w:t>
            </w: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–22,2/rok</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06" w:type="dxa"/>
        </w:trPr>
        <w:tc>
          <w:tcPr>
            <w:tcW w:w="21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r>
    </w:tbl>
    <w:p>
      <w:pPr>
        <w:pStyle w:val="Text1"/>
        <w:rPr>
          <w:noProof/>
        </w:rPr>
      </w:pPr>
      <w:r>
        <w:rPr>
          <w:noProof/>
        </w:rPr>
        <w:t>Příloha II obsahuje 97 nových produktů či výrobků. Nevybrané clo odpovídající těmto pozastavením, jež bylo vypočteno na základě prognóz žádajících členských států na období 2019 až 2023, dosahuje výše 28,1 milionu EUR/rok.</w:t>
      </w:r>
    </w:p>
    <w:p>
      <w:pPr>
        <w:pStyle w:val="Text1"/>
        <w:rPr>
          <w:noProof/>
        </w:rPr>
      </w:pPr>
      <w:r>
        <w:rPr>
          <w:noProof/>
        </w:rPr>
        <w:t>Na základě stávajících statistických údajů za předchozí roky se však zdá, že tato částka by měla být navýšena pomocí průměrového koeficientu odhadovaného na 1,8, aby se přihlédlo k dovozu do dalších členských států využívajících stejných pozastavení. Nevybrané clo tedy představuje přibližně 50,6 milionu EUR ročně.</w:t>
      </w:r>
    </w:p>
    <w:p>
      <w:pPr>
        <w:pStyle w:val="Text1"/>
        <w:rPr>
          <w:noProof/>
        </w:rPr>
      </w:pPr>
      <w:r>
        <w:rPr>
          <w:noProof/>
        </w:rPr>
        <w:t>Z této přílohy bylo vyjmuto 26 produktů a výrobků v důsledku opětného zavedení cel. To podle odhadu na základě statistiky z roku 2018 představuje zvýšení výběru cel o 22,8 milionu EUR.</w:t>
      </w:r>
    </w:p>
    <w:p>
      <w:pPr>
        <w:pStyle w:val="Text1"/>
        <w:rPr>
          <w:noProof/>
        </w:rPr>
      </w:pPr>
      <w:r>
        <w:rPr>
          <w:noProof/>
        </w:rPr>
        <w:t>Na základě výše uvedeného se dopad na ztrátu příjmů pro rozpočet EU vyplývající z tohoto nařízení odhaduje na 50,6 – 22,8 = 27,8 milionu EUR (hrubá výše, včetně nákladů na výběr cla) x 0,8 = 22,2 milionu EUR ročně na období od 1. července 2019 do 31. prosince 2023.</w:t>
      </w:r>
    </w:p>
    <w:p>
      <w:pPr>
        <w:pStyle w:val="ManualHeading1"/>
        <w:rPr>
          <w:bCs/>
          <w:noProof/>
          <w:szCs w:val="24"/>
        </w:rPr>
      </w:pPr>
      <w:r>
        <w:t>4.</w:t>
      </w:r>
      <w:r>
        <w:tab/>
      </w:r>
      <w:r>
        <w:rPr>
          <w:noProof/>
        </w:rPr>
        <w:t>OPATŘENÍ PROTI PODVODŮM</w:t>
      </w:r>
    </w:p>
    <w:p>
      <w:pPr>
        <w:pStyle w:val="Text1"/>
        <w:rPr>
          <w:noProof/>
        </w:rPr>
      </w:pPr>
      <w:r>
        <w:rPr>
          <w:noProof/>
        </w:rPr>
        <w:t>U některých produktů a výrobků, na něž se toto nařízení Rady vztahuje, budou v souladu s článkem 254 nařízení Evropského parlamentu a Rady (EU) č. 952/2013 ze dne 9. října 2013, kterým se stanoví celní kodex Unie, prováděny kontroly konečného užití.</w:t>
      </w:r>
    </w:p>
    <w:p>
      <w:pPr>
        <w:pStyle w:val="ManualHeading1"/>
        <w:rPr>
          <w:noProof/>
          <w:kern w:val="32"/>
          <w:szCs w:val="24"/>
        </w:rPr>
      </w:pPr>
      <w:r>
        <w:t>5.</w:t>
      </w:r>
      <w:r>
        <w:tab/>
      </w:r>
      <w:r>
        <w:rPr>
          <w:noProof/>
        </w:rPr>
        <w:t>DALŠÍ POZNÁMKY</w:t>
      </w:r>
    </w:p>
    <w:p>
      <w:pPr>
        <w:pStyle w:val="Text1"/>
        <w:rPr>
          <w:noProof/>
        </w:rPr>
      </w:pPr>
      <w:r>
        <w:rPr>
          <w:noProof/>
        </w:rPr>
        <w:t>Ztráta příjmů z tradičních vlastních zdrojů bude nahrazena příspěvky členských států vycházejícími z HND.</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Úř. věst. C 363, 13.12.2011, s. 6.</w:t>
      </w:r>
    </w:p>
  </w:footnote>
  <w:footnote w:id="2">
    <w:p>
      <w:pPr>
        <w:pStyle w:val="FootnoteText"/>
        <w:rPr>
          <w:lang w:val="pt-PT"/>
        </w:rPr>
      </w:pPr>
      <w:r>
        <w:rPr>
          <w:rStyle w:val="FootnoteReference"/>
        </w:rPr>
        <w:footnoteRef/>
      </w:r>
      <w:r>
        <w:tab/>
        <w:t xml:space="preserve">Nařízení Rady (EU) č. </w:t>
      </w:r>
      <w:r>
        <w:rPr>
          <w:rStyle w:val="highlight"/>
        </w:rPr>
        <w:t>1387/2013</w:t>
      </w:r>
      <w:r>
        <w:t xml:space="preserve"> ze dne 17. prosince 2013 o pozastavení všeobecných cel společného celního sazebníku pro určité zemědělské produkty a průmyslové výrobky a o zrušení nařízení (EU) č. 1344/2011 (Úř. věst. </w:t>
      </w:r>
      <w:r>
        <w:rPr>
          <w:lang w:val="pt-PT"/>
        </w:rPr>
        <w:t>L 354, 28.12.2013, s. 201).</w:t>
      </w:r>
    </w:p>
  </w:footnote>
  <w:footnote w:id="3">
    <w:p>
      <w:pPr>
        <w:pStyle w:val="FootnoteText"/>
        <w:rPr>
          <w:lang w:val="pt-PT"/>
        </w:rPr>
      </w:pPr>
      <w:r>
        <w:rPr>
          <w:rStyle w:val="FootnoteReference"/>
        </w:rPr>
        <w:footnoteRef/>
      </w:r>
      <w:r>
        <w:rPr>
          <w:lang w:val="pt-PT"/>
        </w:rPr>
        <w:tab/>
        <w:t>COM(2018) 293 final.</w:t>
      </w:r>
    </w:p>
  </w:footnote>
  <w:footnote w:id="4">
    <w:p>
      <w:pPr>
        <w:pStyle w:val="FootnoteText"/>
        <w:rPr>
          <w:lang w:val="pt-PT"/>
        </w:rPr>
      </w:pPr>
      <w:r>
        <w:rPr>
          <w:rStyle w:val="FootnoteReference"/>
        </w:rPr>
        <w:footnoteRef/>
      </w:r>
      <w:r>
        <w:rPr>
          <w:lang w:val="pt-PT"/>
        </w:rPr>
        <w:tab/>
      </w:r>
      <w:hyperlink r:id="rId1">
        <w:r>
          <w:rPr>
            <w:rStyle w:val="Hyperlink"/>
            <w:color w:val="auto"/>
            <w:u w:val="none"/>
            <w:shd w:val="clear" w:color="auto" w:fill="FFFFFF"/>
            <w:lang w:val="pt-PT"/>
          </w:rPr>
          <w:t>Úř. věst. L 161, 18.6.2016, s. 4.</w:t>
        </w:r>
      </w:hyperlink>
    </w:p>
  </w:footnote>
  <w:footnote w:id="5">
    <w:p>
      <w:pPr>
        <w:pStyle w:val="FootnoteText"/>
        <w:rPr>
          <w:lang w:val="pt-PT"/>
        </w:rPr>
      </w:pPr>
      <w:r>
        <w:rPr>
          <w:rStyle w:val="FootnoteReference"/>
        </w:rPr>
        <w:footnoteRef/>
      </w:r>
      <w:r>
        <w:rPr>
          <w:lang w:val="pt-PT"/>
        </w:rPr>
        <w:tab/>
        <w:t>Úř. věst. C 363, 13.12.2011, s. 6.</w:t>
      </w:r>
    </w:p>
  </w:footnote>
  <w:footnote w:id="6">
    <w:p>
      <w:pPr>
        <w:pStyle w:val="FootnoteText"/>
        <w:rPr>
          <w:lang w:val="pt-PT"/>
        </w:rPr>
      </w:pPr>
      <w:r>
        <w:rPr>
          <w:rStyle w:val="FootnoteReference"/>
        </w:rPr>
        <w:footnoteRef/>
      </w:r>
      <w:r>
        <w:rPr>
          <w:lang w:val="pt-PT"/>
        </w:rPr>
        <w:tab/>
        <w:t>Částky pro každý rok musí být odhadnuty s použitím vzorce uvedeného v oddíle 5 a v poznámce pod čarou musí být uvedeno např. „orientační částka na základě dohodnutého vzorce“. U prvního roku se roční částka vyplatí obvyklým způsobem bez snížení či poměrného snížení.</w:t>
      </w:r>
    </w:p>
  </w:footnote>
  <w:footnote w:id="7">
    <w:p>
      <w:pPr>
        <w:pStyle w:val="FootnoteText"/>
        <w:rPr>
          <w:lang w:val="pt-PT"/>
        </w:rPr>
      </w:pPr>
      <w:r>
        <w:rPr>
          <w:rStyle w:val="FootnoteReference"/>
        </w:rPr>
        <w:footnoteRef/>
      </w:r>
      <w:r>
        <w:rPr>
          <w:lang w:val="pt-PT"/>
        </w:rPr>
        <w:tab/>
        <w:t>Pokud jde o tradiční vlastní zdroje (zemědělské odvody, cla), je třeba uvést čisté částky, tj. hrubé částky po odečtení 20 % jako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059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D24B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52D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65F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8ED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24"/>
    <w:lvlOverride w:ilvl="0">
      <w:startOverride w:val="1"/>
    </w:lvlOverride>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ORN Marieluise (TAXUD)">
    <w15:presenceInfo w15:providerId="None" w15:userId="HERBORN Marieluis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4 18:09: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1B2EBC4-EB22-4842-94DC-0CDDB031230D"/>
    <w:docVar w:name="LW_COVERPAGE_TYPE" w:val="1"/>
    <w:docVar w:name="LW_CROSSREFERENCE" w:val="&lt;UNUSED&gt;"/>
    <w:docVar w:name="LW_DocType" w:val="COM"/>
    <w:docVar w:name="LW_EMISSION" w:val="16.5.2019"/>
    <w:docVar w:name="LW_EMISSION_ISODATE" w:val="2019-05-16"/>
    <w:docVar w:name="LW_EMISSION_LOCATION" w:val="BRX"/>
    <w:docVar w:name="LW_EMISSION_PREFIX" w:val="V Bruselu dne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106"/>
    <w:docVar w:name="LW_REF.II.NEW.CP_YEAR" w:val="2019"/>
    <w:docVar w:name="LW_REF.INST.NEW" w:val="COM"/>
    <w:docVar w:name="LW_REF.INST.NEW_ADOPTED" w:val="final"/>
    <w:docVar w:name="LW_REF.INST.NEW_TEXT" w:val="(2019)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ým se m\u283?ní na\u345?ízení (EU) \u269?. 1387/2013 o pozastavení v\u353?eobecných cel spole\u269?ného celního sazebníku pro ur\u269?ité zem\u283?d\u283?lské produkty a pr\u367?myslové výrobky"/>
    <w:docVar w:name="LW_TYPE.DOC.CP" w:val="NA\u344?ÍZEN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610">
      <w:bodyDiv w:val="1"/>
      <w:marLeft w:val="0"/>
      <w:marRight w:val="0"/>
      <w:marTop w:val="0"/>
      <w:marBottom w:val="0"/>
      <w:divBdr>
        <w:top w:val="none" w:sz="0" w:space="0" w:color="auto"/>
        <w:left w:val="none" w:sz="0" w:space="0" w:color="auto"/>
        <w:bottom w:val="none" w:sz="0" w:space="0" w:color="auto"/>
        <w:right w:val="none" w:sz="0" w:space="0" w:color="auto"/>
      </w:divBdr>
      <w:divsChild>
        <w:div w:id="870608553">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sChild>
                <w:div w:id="348458442">
                  <w:marLeft w:val="0"/>
                  <w:marRight w:val="0"/>
                  <w:marTop w:val="0"/>
                  <w:marBottom w:val="0"/>
                  <w:divBdr>
                    <w:top w:val="none" w:sz="0" w:space="0" w:color="auto"/>
                    <w:left w:val="none" w:sz="0" w:space="0" w:color="auto"/>
                    <w:bottom w:val="none" w:sz="0" w:space="0" w:color="auto"/>
                    <w:right w:val="none" w:sz="0" w:space="0" w:color="auto"/>
                  </w:divBdr>
                  <w:divsChild>
                    <w:div w:id="1439835553">
                      <w:marLeft w:val="1"/>
                      <w:marRight w:val="1"/>
                      <w:marTop w:val="0"/>
                      <w:marBottom w:val="0"/>
                      <w:divBdr>
                        <w:top w:val="none" w:sz="0" w:space="0" w:color="auto"/>
                        <w:left w:val="none" w:sz="0" w:space="0" w:color="auto"/>
                        <w:bottom w:val="none" w:sz="0" w:space="0" w:color="auto"/>
                        <w:right w:val="none" w:sz="0" w:space="0" w:color="auto"/>
                      </w:divBdr>
                      <w:divsChild>
                        <w:div w:id="1596787558">
                          <w:marLeft w:val="0"/>
                          <w:marRight w:val="0"/>
                          <w:marTop w:val="0"/>
                          <w:marBottom w:val="0"/>
                          <w:divBdr>
                            <w:top w:val="none" w:sz="0" w:space="0" w:color="auto"/>
                            <w:left w:val="none" w:sz="0" w:space="0" w:color="auto"/>
                            <w:bottom w:val="none" w:sz="0" w:space="0" w:color="auto"/>
                            <w:right w:val="none" w:sz="0" w:space="0" w:color="auto"/>
                          </w:divBdr>
                          <w:divsChild>
                            <w:div w:id="1005090943">
                              <w:marLeft w:val="0"/>
                              <w:marRight w:val="0"/>
                              <w:marTop w:val="0"/>
                              <w:marBottom w:val="360"/>
                              <w:divBdr>
                                <w:top w:val="none" w:sz="0" w:space="0" w:color="auto"/>
                                <w:left w:val="none" w:sz="0" w:space="0" w:color="auto"/>
                                <w:bottom w:val="none" w:sz="0" w:space="0" w:color="auto"/>
                                <w:right w:val="none" w:sz="0" w:space="0" w:color="auto"/>
                              </w:divBdr>
                              <w:divsChild>
                                <w:div w:id="956060776">
                                  <w:marLeft w:val="0"/>
                                  <w:marRight w:val="0"/>
                                  <w:marTop w:val="0"/>
                                  <w:marBottom w:val="0"/>
                                  <w:divBdr>
                                    <w:top w:val="none" w:sz="0" w:space="0" w:color="auto"/>
                                    <w:left w:val="none" w:sz="0" w:space="0" w:color="auto"/>
                                    <w:bottom w:val="none" w:sz="0" w:space="0" w:color="auto"/>
                                    <w:right w:val="none" w:sz="0" w:space="0" w:color="auto"/>
                                  </w:divBdr>
                                  <w:divsChild>
                                    <w:div w:id="992880060">
                                      <w:marLeft w:val="0"/>
                                      <w:marRight w:val="0"/>
                                      <w:marTop w:val="0"/>
                                      <w:marBottom w:val="0"/>
                                      <w:divBdr>
                                        <w:top w:val="none" w:sz="0" w:space="0" w:color="auto"/>
                                        <w:left w:val="none" w:sz="0" w:space="0" w:color="auto"/>
                                        <w:bottom w:val="none" w:sz="0" w:space="0" w:color="auto"/>
                                        <w:right w:val="none" w:sz="0" w:space="0" w:color="auto"/>
                                      </w:divBdr>
                                      <w:divsChild>
                                        <w:div w:id="1032998542">
                                          <w:marLeft w:val="0"/>
                                          <w:marRight w:val="0"/>
                                          <w:marTop w:val="0"/>
                                          <w:marBottom w:val="0"/>
                                          <w:divBdr>
                                            <w:top w:val="none" w:sz="0" w:space="0" w:color="auto"/>
                                            <w:left w:val="none" w:sz="0" w:space="0" w:color="auto"/>
                                            <w:bottom w:val="none" w:sz="0" w:space="0" w:color="auto"/>
                                            <w:right w:val="none" w:sz="0" w:space="0" w:color="auto"/>
                                          </w:divBdr>
                                          <w:divsChild>
                                            <w:div w:id="567107782">
                                              <w:marLeft w:val="0"/>
                                              <w:marRight w:val="0"/>
                                              <w:marTop w:val="0"/>
                                              <w:marBottom w:val="0"/>
                                              <w:divBdr>
                                                <w:top w:val="none" w:sz="0" w:space="0" w:color="auto"/>
                                                <w:left w:val="none" w:sz="0" w:space="0" w:color="auto"/>
                                                <w:bottom w:val="none" w:sz="0" w:space="0" w:color="auto"/>
                                                <w:right w:val="none" w:sz="0" w:space="0" w:color="auto"/>
                                              </w:divBdr>
                                              <w:divsChild>
                                                <w:div w:id="65037580">
                                                  <w:marLeft w:val="0"/>
                                                  <w:marRight w:val="0"/>
                                                  <w:marTop w:val="0"/>
                                                  <w:marBottom w:val="0"/>
                                                  <w:divBdr>
                                                    <w:top w:val="none" w:sz="0" w:space="0" w:color="auto"/>
                                                    <w:left w:val="none" w:sz="0" w:space="0" w:color="auto"/>
                                                    <w:bottom w:val="none" w:sz="0" w:space="0" w:color="auto"/>
                                                    <w:right w:val="none" w:sz="0" w:space="0" w:color="auto"/>
                                                  </w:divBdr>
                                                  <w:divsChild>
                                                    <w:div w:id="616373303">
                                                      <w:marLeft w:val="0"/>
                                                      <w:marRight w:val="0"/>
                                                      <w:marTop w:val="0"/>
                                                      <w:marBottom w:val="0"/>
                                                      <w:divBdr>
                                                        <w:top w:val="none" w:sz="0" w:space="0" w:color="auto"/>
                                                        <w:left w:val="none" w:sz="0" w:space="0" w:color="auto"/>
                                                        <w:bottom w:val="none" w:sz="0" w:space="0" w:color="auto"/>
                                                        <w:right w:val="none" w:sz="0" w:space="0" w:color="auto"/>
                                                      </w:divBdr>
                                                      <w:divsChild>
                                                        <w:div w:id="1683358307">
                                                          <w:marLeft w:val="0"/>
                                                          <w:marRight w:val="0"/>
                                                          <w:marTop w:val="0"/>
                                                          <w:marBottom w:val="0"/>
                                                          <w:divBdr>
                                                            <w:top w:val="none" w:sz="0" w:space="0" w:color="auto"/>
                                                            <w:left w:val="none" w:sz="0" w:space="0" w:color="auto"/>
                                                            <w:bottom w:val="none" w:sz="0" w:space="0" w:color="auto"/>
                                                            <w:right w:val="none" w:sz="0" w:space="0" w:color="auto"/>
                                                          </w:divBdr>
                                                          <w:divsChild>
                                                            <w:div w:id="1570731546">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40443003">
      <w:bodyDiv w:val="1"/>
      <w:marLeft w:val="0"/>
      <w:marRight w:val="0"/>
      <w:marTop w:val="0"/>
      <w:marBottom w:val="0"/>
      <w:divBdr>
        <w:top w:val="none" w:sz="0" w:space="0" w:color="auto"/>
        <w:left w:val="none" w:sz="0" w:space="0" w:color="auto"/>
        <w:bottom w:val="none" w:sz="0" w:space="0" w:color="auto"/>
        <w:right w:val="none" w:sz="0" w:space="0" w:color="auto"/>
      </w:divBdr>
      <w:divsChild>
        <w:div w:id="123617481">
          <w:marLeft w:val="0"/>
          <w:marRight w:val="0"/>
          <w:marTop w:val="0"/>
          <w:marBottom w:val="0"/>
          <w:divBdr>
            <w:top w:val="none" w:sz="0" w:space="0" w:color="auto"/>
            <w:left w:val="none" w:sz="0" w:space="0" w:color="auto"/>
            <w:bottom w:val="none" w:sz="0" w:space="0" w:color="auto"/>
            <w:right w:val="none" w:sz="0" w:space="0" w:color="auto"/>
          </w:divBdr>
          <w:divsChild>
            <w:div w:id="1642466502">
              <w:marLeft w:val="0"/>
              <w:marRight w:val="0"/>
              <w:marTop w:val="0"/>
              <w:marBottom w:val="0"/>
              <w:divBdr>
                <w:top w:val="none" w:sz="0" w:space="0" w:color="auto"/>
                <w:left w:val="none" w:sz="0" w:space="0" w:color="auto"/>
                <w:bottom w:val="none" w:sz="0" w:space="0" w:color="auto"/>
                <w:right w:val="none" w:sz="0" w:space="0" w:color="auto"/>
              </w:divBdr>
              <w:divsChild>
                <w:div w:id="207497411">
                  <w:marLeft w:val="0"/>
                  <w:marRight w:val="0"/>
                  <w:marTop w:val="0"/>
                  <w:marBottom w:val="0"/>
                  <w:divBdr>
                    <w:top w:val="none" w:sz="0" w:space="0" w:color="auto"/>
                    <w:left w:val="none" w:sz="0" w:space="0" w:color="auto"/>
                    <w:bottom w:val="none" w:sz="0" w:space="0" w:color="auto"/>
                    <w:right w:val="none" w:sz="0" w:space="0" w:color="auto"/>
                  </w:divBdr>
                  <w:divsChild>
                    <w:div w:id="1970740336">
                      <w:marLeft w:val="1"/>
                      <w:marRight w:val="1"/>
                      <w:marTop w:val="0"/>
                      <w:marBottom w:val="0"/>
                      <w:divBdr>
                        <w:top w:val="none" w:sz="0" w:space="0" w:color="auto"/>
                        <w:left w:val="none" w:sz="0" w:space="0" w:color="auto"/>
                        <w:bottom w:val="none" w:sz="0" w:space="0" w:color="auto"/>
                        <w:right w:val="none" w:sz="0" w:space="0" w:color="auto"/>
                      </w:divBdr>
                      <w:divsChild>
                        <w:div w:id="1484588182">
                          <w:marLeft w:val="0"/>
                          <w:marRight w:val="0"/>
                          <w:marTop w:val="0"/>
                          <w:marBottom w:val="0"/>
                          <w:divBdr>
                            <w:top w:val="none" w:sz="0" w:space="0" w:color="auto"/>
                            <w:left w:val="none" w:sz="0" w:space="0" w:color="auto"/>
                            <w:bottom w:val="none" w:sz="0" w:space="0" w:color="auto"/>
                            <w:right w:val="none" w:sz="0" w:space="0" w:color="auto"/>
                          </w:divBdr>
                          <w:divsChild>
                            <w:div w:id="1671788007">
                              <w:marLeft w:val="0"/>
                              <w:marRight w:val="0"/>
                              <w:marTop w:val="0"/>
                              <w:marBottom w:val="360"/>
                              <w:divBdr>
                                <w:top w:val="none" w:sz="0" w:space="0" w:color="auto"/>
                                <w:left w:val="none" w:sz="0" w:space="0" w:color="auto"/>
                                <w:bottom w:val="none" w:sz="0" w:space="0" w:color="auto"/>
                                <w:right w:val="none" w:sz="0" w:space="0" w:color="auto"/>
                              </w:divBdr>
                              <w:divsChild>
                                <w:div w:id="1934238648">
                                  <w:marLeft w:val="0"/>
                                  <w:marRight w:val="0"/>
                                  <w:marTop w:val="0"/>
                                  <w:marBottom w:val="0"/>
                                  <w:divBdr>
                                    <w:top w:val="none" w:sz="0" w:space="0" w:color="auto"/>
                                    <w:left w:val="none" w:sz="0" w:space="0" w:color="auto"/>
                                    <w:bottom w:val="none" w:sz="0" w:space="0" w:color="auto"/>
                                    <w:right w:val="none" w:sz="0" w:space="0" w:color="auto"/>
                                  </w:divBdr>
                                  <w:divsChild>
                                    <w:div w:id="840438064">
                                      <w:marLeft w:val="0"/>
                                      <w:marRight w:val="0"/>
                                      <w:marTop w:val="0"/>
                                      <w:marBottom w:val="0"/>
                                      <w:divBdr>
                                        <w:top w:val="none" w:sz="0" w:space="0" w:color="auto"/>
                                        <w:left w:val="none" w:sz="0" w:space="0" w:color="auto"/>
                                        <w:bottom w:val="none" w:sz="0" w:space="0" w:color="auto"/>
                                        <w:right w:val="none" w:sz="0" w:space="0" w:color="auto"/>
                                      </w:divBdr>
                                      <w:divsChild>
                                        <w:div w:id="279192780">
                                          <w:marLeft w:val="0"/>
                                          <w:marRight w:val="0"/>
                                          <w:marTop w:val="0"/>
                                          <w:marBottom w:val="0"/>
                                          <w:divBdr>
                                            <w:top w:val="none" w:sz="0" w:space="0" w:color="auto"/>
                                            <w:left w:val="none" w:sz="0" w:space="0" w:color="auto"/>
                                            <w:bottom w:val="none" w:sz="0" w:space="0" w:color="auto"/>
                                            <w:right w:val="none" w:sz="0" w:space="0" w:color="auto"/>
                                          </w:divBdr>
                                          <w:divsChild>
                                            <w:div w:id="951741341">
                                              <w:marLeft w:val="0"/>
                                              <w:marRight w:val="0"/>
                                              <w:marTop w:val="0"/>
                                              <w:marBottom w:val="0"/>
                                              <w:divBdr>
                                                <w:top w:val="none" w:sz="0" w:space="0" w:color="auto"/>
                                                <w:left w:val="none" w:sz="0" w:space="0" w:color="auto"/>
                                                <w:bottom w:val="none" w:sz="0" w:space="0" w:color="auto"/>
                                                <w:right w:val="none" w:sz="0" w:space="0" w:color="auto"/>
                                              </w:divBdr>
                                              <w:divsChild>
                                                <w:div w:id="1320186085">
                                                  <w:marLeft w:val="0"/>
                                                  <w:marRight w:val="0"/>
                                                  <w:marTop w:val="0"/>
                                                  <w:marBottom w:val="0"/>
                                                  <w:divBdr>
                                                    <w:top w:val="none" w:sz="0" w:space="0" w:color="auto"/>
                                                    <w:left w:val="none" w:sz="0" w:space="0" w:color="auto"/>
                                                    <w:bottom w:val="none" w:sz="0" w:space="0" w:color="auto"/>
                                                    <w:right w:val="none" w:sz="0" w:space="0" w:color="auto"/>
                                                  </w:divBdr>
                                                  <w:divsChild>
                                                    <w:div w:id="292829287">
                                                      <w:marLeft w:val="0"/>
                                                      <w:marRight w:val="0"/>
                                                      <w:marTop w:val="0"/>
                                                      <w:marBottom w:val="0"/>
                                                      <w:divBdr>
                                                        <w:top w:val="none" w:sz="0" w:space="0" w:color="auto"/>
                                                        <w:left w:val="none" w:sz="0" w:space="0" w:color="auto"/>
                                                        <w:bottom w:val="none" w:sz="0" w:space="0" w:color="auto"/>
                                                        <w:right w:val="none" w:sz="0" w:space="0" w:color="auto"/>
                                                      </w:divBdr>
                                                      <w:divsChild>
                                                        <w:div w:id="1982688315">
                                                          <w:marLeft w:val="0"/>
                                                          <w:marRight w:val="0"/>
                                                          <w:marTop w:val="0"/>
                                                          <w:marBottom w:val="0"/>
                                                          <w:divBdr>
                                                            <w:top w:val="none" w:sz="0" w:space="0" w:color="auto"/>
                                                            <w:left w:val="none" w:sz="0" w:space="0" w:color="auto"/>
                                                            <w:bottom w:val="none" w:sz="0" w:space="0" w:color="auto"/>
                                                            <w:right w:val="none" w:sz="0" w:space="0" w:color="auto"/>
                                                          </w:divBdr>
                                                        </w:div>
                                                        <w:div w:id="757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012844">
      <w:bodyDiv w:val="1"/>
      <w:marLeft w:val="0"/>
      <w:marRight w:val="0"/>
      <w:marTop w:val="0"/>
      <w:marBottom w:val="0"/>
      <w:divBdr>
        <w:top w:val="none" w:sz="0" w:space="0" w:color="auto"/>
        <w:left w:val="none" w:sz="0" w:space="0" w:color="auto"/>
        <w:bottom w:val="none" w:sz="0" w:space="0" w:color="auto"/>
        <w:right w:val="none" w:sz="0" w:space="0" w:color="auto"/>
      </w:divBdr>
    </w:div>
    <w:div w:id="4549111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15">
          <w:marLeft w:val="0"/>
          <w:marRight w:val="0"/>
          <w:marTop w:val="0"/>
          <w:marBottom w:val="0"/>
          <w:divBdr>
            <w:top w:val="none" w:sz="0" w:space="0" w:color="auto"/>
            <w:left w:val="none" w:sz="0" w:space="0" w:color="auto"/>
            <w:bottom w:val="none" w:sz="0" w:space="0" w:color="auto"/>
            <w:right w:val="none" w:sz="0" w:space="0" w:color="auto"/>
          </w:divBdr>
          <w:divsChild>
            <w:div w:id="541328176">
              <w:marLeft w:val="0"/>
              <w:marRight w:val="0"/>
              <w:marTop w:val="0"/>
              <w:marBottom w:val="0"/>
              <w:divBdr>
                <w:top w:val="none" w:sz="0" w:space="0" w:color="auto"/>
                <w:left w:val="none" w:sz="0" w:space="0" w:color="auto"/>
                <w:bottom w:val="none" w:sz="0" w:space="0" w:color="auto"/>
                <w:right w:val="none" w:sz="0" w:space="0" w:color="auto"/>
              </w:divBdr>
              <w:divsChild>
                <w:div w:id="588656507">
                  <w:marLeft w:val="0"/>
                  <w:marRight w:val="0"/>
                  <w:marTop w:val="0"/>
                  <w:marBottom w:val="0"/>
                  <w:divBdr>
                    <w:top w:val="none" w:sz="0" w:space="0" w:color="auto"/>
                    <w:left w:val="none" w:sz="0" w:space="0" w:color="auto"/>
                    <w:bottom w:val="none" w:sz="0" w:space="0" w:color="auto"/>
                    <w:right w:val="none" w:sz="0" w:space="0" w:color="auto"/>
                  </w:divBdr>
                  <w:divsChild>
                    <w:div w:id="290136567">
                      <w:marLeft w:val="1"/>
                      <w:marRight w:val="1"/>
                      <w:marTop w:val="0"/>
                      <w:marBottom w:val="0"/>
                      <w:divBdr>
                        <w:top w:val="none" w:sz="0" w:space="0" w:color="auto"/>
                        <w:left w:val="none" w:sz="0" w:space="0" w:color="auto"/>
                        <w:bottom w:val="none" w:sz="0" w:space="0" w:color="auto"/>
                        <w:right w:val="none" w:sz="0" w:space="0" w:color="auto"/>
                      </w:divBdr>
                      <w:divsChild>
                        <w:div w:id="1376393091">
                          <w:marLeft w:val="0"/>
                          <w:marRight w:val="0"/>
                          <w:marTop w:val="0"/>
                          <w:marBottom w:val="0"/>
                          <w:divBdr>
                            <w:top w:val="none" w:sz="0" w:space="0" w:color="auto"/>
                            <w:left w:val="none" w:sz="0" w:space="0" w:color="auto"/>
                            <w:bottom w:val="none" w:sz="0" w:space="0" w:color="auto"/>
                            <w:right w:val="none" w:sz="0" w:space="0" w:color="auto"/>
                          </w:divBdr>
                          <w:divsChild>
                            <w:div w:id="208995554">
                              <w:marLeft w:val="0"/>
                              <w:marRight w:val="0"/>
                              <w:marTop w:val="0"/>
                              <w:marBottom w:val="360"/>
                              <w:divBdr>
                                <w:top w:val="none" w:sz="0" w:space="0" w:color="auto"/>
                                <w:left w:val="none" w:sz="0" w:space="0" w:color="auto"/>
                                <w:bottom w:val="none" w:sz="0" w:space="0" w:color="auto"/>
                                <w:right w:val="none" w:sz="0" w:space="0" w:color="auto"/>
                              </w:divBdr>
                              <w:divsChild>
                                <w:div w:id="1794209277">
                                  <w:marLeft w:val="0"/>
                                  <w:marRight w:val="0"/>
                                  <w:marTop w:val="0"/>
                                  <w:marBottom w:val="0"/>
                                  <w:divBdr>
                                    <w:top w:val="none" w:sz="0" w:space="0" w:color="auto"/>
                                    <w:left w:val="none" w:sz="0" w:space="0" w:color="auto"/>
                                    <w:bottom w:val="none" w:sz="0" w:space="0" w:color="auto"/>
                                    <w:right w:val="none" w:sz="0" w:space="0" w:color="auto"/>
                                  </w:divBdr>
                                  <w:divsChild>
                                    <w:div w:id="1839879867">
                                      <w:marLeft w:val="0"/>
                                      <w:marRight w:val="0"/>
                                      <w:marTop w:val="0"/>
                                      <w:marBottom w:val="0"/>
                                      <w:divBdr>
                                        <w:top w:val="none" w:sz="0" w:space="0" w:color="auto"/>
                                        <w:left w:val="none" w:sz="0" w:space="0" w:color="auto"/>
                                        <w:bottom w:val="none" w:sz="0" w:space="0" w:color="auto"/>
                                        <w:right w:val="none" w:sz="0" w:space="0" w:color="auto"/>
                                      </w:divBdr>
                                      <w:divsChild>
                                        <w:div w:id="1242986911">
                                          <w:marLeft w:val="0"/>
                                          <w:marRight w:val="0"/>
                                          <w:marTop w:val="0"/>
                                          <w:marBottom w:val="0"/>
                                          <w:divBdr>
                                            <w:top w:val="none" w:sz="0" w:space="0" w:color="auto"/>
                                            <w:left w:val="none" w:sz="0" w:space="0" w:color="auto"/>
                                            <w:bottom w:val="none" w:sz="0" w:space="0" w:color="auto"/>
                                            <w:right w:val="none" w:sz="0" w:space="0" w:color="auto"/>
                                          </w:divBdr>
                                          <w:divsChild>
                                            <w:div w:id="1938635632">
                                              <w:marLeft w:val="0"/>
                                              <w:marRight w:val="0"/>
                                              <w:marTop w:val="0"/>
                                              <w:marBottom w:val="0"/>
                                              <w:divBdr>
                                                <w:top w:val="none" w:sz="0" w:space="0" w:color="auto"/>
                                                <w:left w:val="none" w:sz="0" w:space="0" w:color="auto"/>
                                                <w:bottom w:val="none" w:sz="0" w:space="0" w:color="auto"/>
                                                <w:right w:val="none" w:sz="0" w:space="0" w:color="auto"/>
                                              </w:divBdr>
                                              <w:divsChild>
                                                <w:div w:id="125902049">
                                                  <w:marLeft w:val="0"/>
                                                  <w:marRight w:val="0"/>
                                                  <w:marTop w:val="0"/>
                                                  <w:marBottom w:val="0"/>
                                                  <w:divBdr>
                                                    <w:top w:val="none" w:sz="0" w:space="0" w:color="auto"/>
                                                    <w:left w:val="none" w:sz="0" w:space="0" w:color="auto"/>
                                                    <w:bottom w:val="none" w:sz="0" w:space="0" w:color="auto"/>
                                                    <w:right w:val="none" w:sz="0" w:space="0" w:color="auto"/>
                                                  </w:divBdr>
                                                  <w:divsChild>
                                                    <w:div w:id="2111121257">
                                                      <w:marLeft w:val="0"/>
                                                      <w:marRight w:val="0"/>
                                                      <w:marTop w:val="0"/>
                                                      <w:marBottom w:val="0"/>
                                                      <w:divBdr>
                                                        <w:top w:val="none" w:sz="0" w:space="0" w:color="auto"/>
                                                        <w:left w:val="none" w:sz="0" w:space="0" w:color="auto"/>
                                                        <w:bottom w:val="none" w:sz="0" w:space="0" w:color="auto"/>
                                                        <w:right w:val="none" w:sz="0" w:space="0" w:color="auto"/>
                                                      </w:divBdr>
                                                      <w:divsChild>
                                                        <w:div w:id="162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665751">
      <w:bodyDiv w:val="1"/>
      <w:marLeft w:val="0"/>
      <w:marRight w:val="0"/>
      <w:marTop w:val="0"/>
      <w:marBottom w:val="0"/>
      <w:divBdr>
        <w:top w:val="none" w:sz="0" w:space="0" w:color="auto"/>
        <w:left w:val="none" w:sz="0" w:space="0" w:color="auto"/>
        <w:bottom w:val="none" w:sz="0" w:space="0" w:color="auto"/>
        <w:right w:val="none" w:sz="0" w:space="0" w:color="auto"/>
      </w:divBdr>
    </w:div>
    <w:div w:id="969091523">
      <w:bodyDiv w:val="1"/>
      <w:marLeft w:val="0"/>
      <w:marRight w:val="0"/>
      <w:marTop w:val="0"/>
      <w:marBottom w:val="0"/>
      <w:divBdr>
        <w:top w:val="none" w:sz="0" w:space="0" w:color="auto"/>
        <w:left w:val="none" w:sz="0" w:space="0" w:color="auto"/>
        <w:bottom w:val="none" w:sz="0" w:space="0" w:color="auto"/>
        <w:right w:val="none" w:sz="0" w:space="0" w:color="auto"/>
      </w:divBdr>
      <w:divsChild>
        <w:div w:id="168251472">
          <w:marLeft w:val="0"/>
          <w:marRight w:val="0"/>
          <w:marTop w:val="0"/>
          <w:marBottom w:val="0"/>
          <w:divBdr>
            <w:top w:val="none" w:sz="0" w:space="0" w:color="auto"/>
            <w:left w:val="none" w:sz="0" w:space="0" w:color="auto"/>
            <w:bottom w:val="none" w:sz="0" w:space="0" w:color="auto"/>
            <w:right w:val="none" w:sz="0" w:space="0" w:color="auto"/>
          </w:divBdr>
          <w:divsChild>
            <w:div w:id="1723669543">
              <w:marLeft w:val="0"/>
              <w:marRight w:val="0"/>
              <w:marTop w:val="0"/>
              <w:marBottom w:val="0"/>
              <w:divBdr>
                <w:top w:val="none" w:sz="0" w:space="0" w:color="auto"/>
                <w:left w:val="none" w:sz="0" w:space="0" w:color="auto"/>
                <w:bottom w:val="none" w:sz="0" w:space="0" w:color="auto"/>
                <w:right w:val="none" w:sz="0" w:space="0" w:color="auto"/>
              </w:divBdr>
              <w:divsChild>
                <w:div w:id="1787581652">
                  <w:marLeft w:val="0"/>
                  <w:marRight w:val="0"/>
                  <w:marTop w:val="0"/>
                  <w:marBottom w:val="0"/>
                  <w:divBdr>
                    <w:top w:val="none" w:sz="0" w:space="0" w:color="auto"/>
                    <w:left w:val="none" w:sz="0" w:space="0" w:color="auto"/>
                    <w:bottom w:val="none" w:sz="0" w:space="0" w:color="auto"/>
                    <w:right w:val="none" w:sz="0" w:space="0" w:color="auto"/>
                  </w:divBdr>
                  <w:divsChild>
                    <w:div w:id="1250848091">
                      <w:marLeft w:val="1"/>
                      <w:marRight w:val="1"/>
                      <w:marTop w:val="0"/>
                      <w:marBottom w:val="0"/>
                      <w:divBdr>
                        <w:top w:val="none" w:sz="0" w:space="0" w:color="auto"/>
                        <w:left w:val="none" w:sz="0" w:space="0" w:color="auto"/>
                        <w:bottom w:val="none" w:sz="0" w:space="0" w:color="auto"/>
                        <w:right w:val="none" w:sz="0" w:space="0" w:color="auto"/>
                      </w:divBdr>
                      <w:divsChild>
                        <w:div w:id="606159388">
                          <w:marLeft w:val="0"/>
                          <w:marRight w:val="0"/>
                          <w:marTop w:val="0"/>
                          <w:marBottom w:val="0"/>
                          <w:divBdr>
                            <w:top w:val="none" w:sz="0" w:space="0" w:color="auto"/>
                            <w:left w:val="none" w:sz="0" w:space="0" w:color="auto"/>
                            <w:bottom w:val="none" w:sz="0" w:space="0" w:color="auto"/>
                            <w:right w:val="none" w:sz="0" w:space="0" w:color="auto"/>
                          </w:divBdr>
                          <w:divsChild>
                            <w:div w:id="2077899324">
                              <w:marLeft w:val="0"/>
                              <w:marRight w:val="0"/>
                              <w:marTop w:val="0"/>
                              <w:marBottom w:val="360"/>
                              <w:divBdr>
                                <w:top w:val="none" w:sz="0" w:space="0" w:color="auto"/>
                                <w:left w:val="none" w:sz="0" w:space="0" w:color="auto"/>
                                <w:bottom w:val="none" w:sz="0" w:space="0" w:color="auto"/>
                                <w:right w:val="none" w:sz="0" w:space="0" w:color="auto"/>
                              </w:divBdr>
                              <w:divsChild>
                                <w:div w:id="440538560">
                                  <w:marLeft w:val="0"/>
                                  <w:marRight w:val="0"/>
                                  <w:marTop w:val="0"/>
                                  <w:marBottom w:val="0"/>
                                  <w:divBdr>
                                    <w:top w:val="none" w:sz="0" w:space="0" w:color="auto"/>
                                    <w:left w:val="none" w:sz="0" w:space="0" w:color="auto"/>
                                    <w:bottom w:val="none" w:sz="0" w:space="0" w:color="auto"/>
                                    <w:right w:val="none" w:sz="0" w:space="0" w:color="auto"/>
                                  </w:divBdr>
                                  <w:divsChild>
                                    <w:div w:id="739254575">
                                      <w:marLeft w:val="0"/>
                                      <w:marRight w:val="0"/>
                                      <w:marTop w:val="0"/>
                                      <w:marBottom w:val="0"/>
                                      <w:divBdr>
                                        <w:top w:val="none" w:sz="0" w:space="0" w:color="auto"/>
                                        <w:left w:val="none" w:sz="0" w:space="0" w:color="auto"/>
                                        <w:bottom w:val="none" w:sz="0" w:space="0" w:color="auto"/>
                                        <w:right w:val="none" w:sz="0" w:space="0" w:color="auto"/>
                                      </w:divBdr>
                                      <w:divsChild>
                                        <w:div w:id="394551911">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310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8975">
      <w:bodyDiv w:val="1"/>
      <w:marLeft w:val="0"/>
      <w:marRight w:val="0"/>
      <w:marTop w:val="0"/>
      <w:marBottom w:val="0"/>
      <w:divBdr>
        <w:top w:val="none" w:sz="0" w:space="0" w:color="auto"/>
        <w:left w:val="none" w:sz="0" w:space="0" w:color="auto"/>
        <w:bottom w:val="none" w:sz="0" w:space="0" w:color="auto"/>
        <w:right w:val="none" w:sz="0" w:space="0" w:color="auto"/>
      </w:divBdr>
      <w:divsChild>
        <w:div w:id="254285967">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sChild>
                <w:div w:id="1609387115">
                  <w:marLeft w:val="0"/>
                  <w:marRight w:val="0"/>
                  <w:marTop w:val="0"/>
                  <w:marBottom w:val="0"/>
                  <w:divBdr>
                    <w:top w:val="none" w:sz="0" w:space="0" w:color="auto"/>
                    <w:left w:val="none" w:sz="0" w:space="0" w:color="auto"/>
                    <w:bottom w:val="none" w:sz="0" w:space="0" w:color="auto"/>
                    <w:right w:val="none" w:sz="0" w:space="0" w:color="auto"/>
                  </w:divBdr>
                  <w:divsChild>
                    <w:div w:id="171997608">
                      <w:marLeft w:val="1"/>
                      <w:marRight w:val="1"/>
                      <w:marTop w:val="0"/>
                      <w:marBottom w:val="0"/>
                      <w:divBdr>
                        <w:top w:val="none" w:sz="0" w:space="0" w:color="auto"/>
                        <w:left w:val="none" w:sz="0" w:space="0" w:color="auto"/>
                        <w:bottom w:val="none" w:sz="0" w:space="0" w:color="auto"/>
                        <w:right w:val="none" w:sz="0" w:space="0" w:color="auto"/>
                      </w:divBdr>
                      <w:divsChild>
                        <w:div w:id="1060447748">
                          <w:marLeft w:val="0"/>
                          <w:marRight w:val="0"/>
                          <w:marTop w:val="0"/>
                          <w:marBottom w:val="0"/>
                          <w:divBdr>
                            <w:top w:val="none" w:sz="0" w:space="0" w:color="auto"/>
                            <w:left w:val="none" w:sz="0" w:space="0" w:color="auto"/>
                            <w:bottom w:val="none" w:sz="0" w:space="0" w:color="auto"/>
                            <w:right w:val="none" w:sz="0" w:space="0" w:color="auto"/>
                          </w:divBdr>
                          <w:divsChild>
                            <w:div w:id="744298422">
                              <w:marLeft w:val="0"/>
                              <w:marRight w:val="0"/>
                              <w:marTop w:val="0"/>
                              <w:marBottom w:val="360"/>
                              <w:divBdr>
                                <w:top w:val="none" w:sz="0" w:space="0" w:color="auto"/>
                                <w:left w:val="none" w:sz="0" w:space="0" w:color="auto"/>
                                <w:bottom w:val="none" w:sz="0" w:space="0" w:color="auto"/>
                                <w:right w:val="none" w:sz="0" w:space="0" w:color="auto"/>
                              </w:divBdr>
                              <w:divsChild>
                                <w:div w:id="1258366132">
                                  <w:marLeft w:val="0"/>
                                  <w:marRight w:val="0"/>
                                  <w:marTop w:val="0"/>
                                  <w:marBottom w:val="0"/>
                                  <w:divBdr>
                                    <w:top w:val="none" w:sz="0" w:space="0" w:color="auto"/>
                                    <w:left w:val="none" w:sz="0" w:space="0" w:color="auto"/>
                                    <w:bottom w:val="none" w:sz="0" w:space="0" w:color="auto"/>
                                    <w:right w:val="none" w:sz="0" w:space="0" w:color="auto"/>
                                  </w:divBdr>
                                  <w:divsChild>
                                    <w:div w:id="1764496030">
                                      <w:marLeft w:val="0"/>
                                      <w:marRight w:val="0"/>
                                      <w:marTop w:val="0"/>
                                      <w:marBottom w:val="0"/>
                                      <w:divBdr>
                                        <w:top w:val="none" w:sz="0" w:space="0" w:color="auto"/>
                                        <w:left w:val="none" w:sz="0" w:space="0" w:color="auto"/>
                                        <w:bottom w:val="none" w:sz="0" w:space="0" w:color="auto"/>
                                        <w:right w:val="none" w:sz="0" w:space="0" w:color="auto"/>
                                      </w:divBdr>
                                      <w:divsChild>
                                        <w:div w:id="545410360">
                                          <w:marLeft w:val="0"/>
                                          <w:marRight w:val="0"/>
                                          <w:marTop w:val="0"/>
                                          <w:marBottom w:val="0"/>
                                          <w:divBdr>
                                            <w:top w:val="none" w:sz="0" w:space="0" w:color="auto"/>
                                            <w:left w:val="none" w:sz="0" w:space="0" w:color="auto"/>
                                            <w:bottom w:val="none" w:sz="0" w:space="0" w:color="auto"/>
                                            <w:right w:val="none" w:sz="0" w:space="0" w:color="auto"/>
                                          </w:divBdr>
                                          <w:divsChild>
                                            <w:div w:id="323552574">
                                              <w:marLeft w:val="0"/>
                                              <w:marRight w:val="0"/>
                                              <w:marTop w:val="0"/>
                                              <w:marBottom w:val="0"/>
                                              <w:divBdr>
                                                <w:top w:val="none" w:sz="0" w:space="0" w:color="auto"/>
                                                <w:left w:val="none" w:sz="0" w:space="0" w:color="auto"/>
                                                <w:bottom w:val="none" w:sz="0" w:space="0" w:color="auto"/>
                                                <w:right w:val="none" w:sz="0" w:space="0" w:color="auto"/>
                                              </w:divBdr>
                                              <w:divsChild>
                                                <w:div w:id="1083189108">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sChild>
                                                        <w:div w:id="7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730939">
      <w:bodyDiv w:val="1"/>
      <w:marLeft w:val="0"/>
      <w:marRight w:val="0"/>
      <w:marTop w:val="0"/>
      <w:marBottom w:val="0"/>
      <w:divBdr>
        <w:top w:val="none" w:sz="0" w:space="0" w:color="auto"/>
        <w:left w:val="none" w:sz="0" w:space="0" w:color="auto"/>
        <w:bottom w:val="none" w:sz="0" w:space="0" w:color="auto"/>
        <w:right w:val="none" w:sz="0" w:space="0" w:color="auto"/>
      </w:divBdr>
    </w:div>
    <w:div w:id="1131217148">
      <w:bodyDiv w:val="1"/>
      <w:marLeft w:val="0"/>
      <w:marRight w:val="0"/>
      <w:marTop w:val="0"/>
      <w:marBottom w:val="0"/>
      <w:divBdr>
        <w:top w:val="none" w:sz="0" w:space="0" w:color="auto"/>
        <w:left w:val="none" w:sz="0" w:space="0" w:color="auto"/>
        <w:bottom w:val="none" w:sz="0" w:space="0" w:color="auto"/>
        <w:right w:val="none" w:sz="0" w:space="0" w:color="auto"/>
      </w:divBdr>
      <w:divsChild>
        <w:div w:id="1907296558">
          <w:marLeft w:val="0"/>
          <w:marRight w:val="0"/>
          <w:marTop w:val="0"/>
          <w:marBottom w:val="0"/>
          <w:divBdr>
            <w:top w:val="none" w:sz="0" w:space="0" w:color="auto"/>
            <w:left w:val="none" w:sz="0" w:space="0" w:color="auto"/>
            <w:bottom w:val="none" w:sz="0" w:space="0" w:color="auto"/>
            <w:right w:val="none" w:sz="0" w:space="0" w:color="auto"/>
          </w:divBdr>
          <w:divsChild>
            <w:div w:id="1762604526">
              <w:marLeft w:val="0"/>
              <w:marRight w:val="0"/>
              <w:marTop w:val="0"/>
              <w:marBottom w:val="0"/>
              <w:divBdr>
                <w:top w:val="none" w:sz="0" w:space="0" w:color="auto"/>
                <w:left w:val="none" w:sz="0" w:space="0" w:color="auto"/>
                <w:bottom w:val="none" w:sz="0" w:space="0" w:color="auto"/>
                <w:right w:val="none" w:sz="0" w:space="0" w:color="auto"/>
              </w:divBdr>
              <w:divsChild>
                <w:div w:id="1087845476">
                  <w:marLeft w:val="0"/>
                  <w:marRight w:val="0"/>
                  <w:marTop w:val="0"/>
                  <w:marBottom w:val="0"/>
                  <w:divBdr>
                    <w:top w:val="none" w:sz="0" w:space="0" w:color="auto"/>
                    <w:left w:val="none" w:sz="0" w:space="0" w:color="auto"/>
                    <w:bottom w:val="none" w:sz="0" w:space="0" w:color="auto"/>
                    <w:right w:val="none" w:sz="0" w:space="0" w:color="auto"/>
                  </w:divBdr>
                  <w:divsChild>
                    <w:div w:id="503516936">
                      <w:marLeft w:val="1"/>
                      <w:marRight w:val="1"/>
                      <w:marTop w:val="0"/>
                      <w:marBottom w:val="0"/>
                      <w:divBdr>
                        <w:top w:val="none" w:sz="0" w:space="0" w:color="auto"/>
                        <w:left w:val="none" w:sz="0" w:space="0" w:color="auto"/>
                        <w:bottom w:val="none" w:sz="0" w:space="0" w:color="auto"/>
                        <w:right w:val="none" w:sz="0" w:space="0" w:color="auto"/>
                      </w:divBdr>
                      <w:divsChild>
                        <w:div w:id="832333528">
                          <w:marLeft w:val="0"/>
                          <w:marRight w:val="0"/>
                          <w:marTop w:val="0"/>
                          <w:marBottom w:val="0"/>
                          <w:divBdr>
                            <w:top w:val="none" w:sz="0" w:space="0" w:color="auto"/>
                            <w:left w:val="none" w:sz="0" w:space="0" w:color="auto"/>
                            <w:bottom w:val="none" w:sz="0" w:space="0" w:color="auto"/>
                            <w:right w:val="none" w:sz="0" w:space="0" w:color="auto"/>
                          </w:divBdr>
                          <w:divsChild>
                            <w:div w:id="1070156503">
                              <w:marLeft w:val="0"/>
                              <w:marRight w:val="0"/>
                              <w:marTop w:val="0"/>
                              <w:marBottom w:val="360"/>
                              <w:divBdr>
                                <w:top w:val="none" w:sz="0" w:space="0" w:color="auto"/>
                                <w:left w:val="none" w:sz="0" w:space="0" w:color="auto"/>
                                <w:bottom w:val="none" w:sz="0" w:space="0" w:color="auto"/>
                                <w:right w:val="none" w:sz="0" w:space="0" w:color="auto"/>
                              </w:divBdr>
                              <w:divsChild>
                                <w:div w:id="372073370">
                                  <w:marLeft w:val="0"/>
                                  <w:marRight w:val="0"/>
                                  <w:marTop w:val="0"/>
                                  <w:marBottom w:val="0"/>
                                  <w:divBdr>
                                    <w:top w:val="none" w:sz="0" w:space="0" w:color="auto"/>
                                    <w:left w:val="none" w:sz="0" w:space="0" w:color="auto"/>
                                    <w:bottom w:val="none" w:sz="0" w:space="0" w:color="auto"/>
                                    <w:right w:val="none" w:sz="0" w:space="0" w:color="auto"/>
                                  </w:divBdr>
                                  <w:divsChild>
                                    <w:div w:id="114369295">
                                      <w:marLeft w:val="0"/>
                                      <w:marRight w:val="0"/>
                                      <w:marTop w:val="0"/>
                                      <w:marBottom w:val="0"/>
                                      <w:divBdr>
                                        <w:top w:val="none" w:sz="0" w:space="0" w:color="auto"/>
                                        <w:left w:val="none" w:sz="0" w:space="0" w:color="auto"/>
                                        <w:bottom w:val="none" w:sz="0" w:space="0" w:color="auto"/>
                                        <w:right w:val="none" w:sz="0" w:space="0" w:color="auto"/>
                                      </w:divBdr>
                                      <w:divsChild>
                                        <w:div w:id="933124376">
                                          <w:marLeft w:val="0"/>
                                          <w:marRight w:val="0"/>
                                          <w:marTop w:val="0"/>
                                          <w:marBottom w:val="0"/>
                                          <w:divBdr>
                                            <w:top w:val="none" w:sz="0" w:space="0" w:color="auto"/>
                                            <w:left w:val="none" w:sz="0" w:space="0" w:color="auto"/>
                                            <w:bottom w:val="none" w:sz="0" w:space="0" w:color="auto"/>
                                            <w:right w:val="none" w:sz="0" w:space="0" w:color="auto"/>
                                          </w:divBdr>
                                          <w:divsChild>
                                            <w:div w:id="385877351">
                                              <w:marLeft w:val="0"/>
                                              <w:marRight w:val="0"/>
                                              <w:marTop w:val="0"/>
                                              <w:marBottom w:val="0"/>
                                              <w:divBdr>
                                                <w:top w:val="none" w:sz="0" w:space="0" w:color="auto"/>
                                                <w:left w:val="none" w:sz="0" w:space="0" w:color="auto"/>
                                                <w:bottom w:val="none" w:sz="0" w:space="0" w:color="auto"/>
                                                <w:right w:val="none" w:sz="0" w:space="0" w:color="auto"/>
                                              </w:divBdr>
                                              <w:divsChild>
                                                <w:div w:id="1780100480">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4229">
      <w:bodyDiv w:val="1"/>
      <w:marLeft w:val="0"/>
      <w:marRight w:val="0"/>
      <w:marTop w:val="0"/>
      <w:marBottom w:val="0"/>
      <w:divBdr>
        <w:top w:val="none" w:sz="0" w:space="0" w:color="auto"/>
        <w:left w:val="none" w:sz="0" w:space="0" w:color="auto"/>
        <w:bottom w:val="none" w:sz="0" w:space="0" w:color="auto"/>
        <w:right w:val="none" w:sz="0" w:space="0" w:color="auto"/>
      </w:divBdr>
      <w:divsChild>
        <w:div w:id="1815953444">
          <w:marLeft w:val="0"/>
          <w:marRight w:val="0"/>
          <w:marTop w:val="0"/>
          <w:marBottom w:val="0"/>
          <w:divBdr>
            <w:top w:val="none" w:sz="0" w:space="0" w:color="auto"/>
            <w:left w:val="none" w:sz="0" w:space="0" w:color="auto"/>
            <w:bottom w:val="none" w:sz="0" w:space="0" w:color="auto"/>
            <w:right w:val="none" w:sz="0" w:space="0" w:color="auto"/>
          </w:divBdr>
          <w:divsChild>
            <w:div w:id="393628660">
              <w:marLeft w:val="0"/>
              <w:marRight w:val="0"/>
              <w:marTop w:val="0"/>
              <w:marBottom w:val="0"/>
              <w:divBdr>
                <w:top w:val="none" w:sz="0" w:space="0" w:color="auto"/>
                <w:left w:val="none" w:sz="0" w:space="0" w:color="auto"/>
                <w:bottom w:val="none" w:sz="0" w:space="0" w:color="auto"/>
                <w:right w:val="none" w:sz="0" w:space="0" w:color="auto"/>
              </w:divBdr>
              <w:divsChild>
                <w:div w:id="790367907">
                  <w:marLeft w:val="0"/>
                  <w:marRight w:val="0"/>
                  <w:marTop w:val="0"/>
                  <w:marBottom w:val="0"/>
                  <w:divBdr>
                    <w:top w:val="none" w:sz="0" w:space="0" w:color="auto"/>
                    <w:left w:val="none" w:sz="0" w:space="0" w:color="auto"/>
                    <w:bottom w:val="none" w:sz="0" w:space="0" w:color="auto"/>
                    <w:right w:val="none" w:sz="0" w:space="0" w:color="auto"/>
                  </w:divBdr>
                  <w:divsChild>
                    <w:div w:id="2028746587">
                      <w:marLeft w:val="1"/>
                      <w:marRight w:val="1"/>
                      <w:marTop w:val="0"/>
                      <w:marBottom w:val="0"/>
                      <w:divBdr>
                        <w:top w:val="none" w:sz="0" w:space="0" w:color="auto"/>
                        <w:left w:val="none" w:sz="0" w:space="0" w:color="auto"/>
                        <w:bottom w:val="none" w:sz="0" w:space="0" w:color="auto"/>
                        <w:right w:val="none" w:sz="0" w:space="0" w:color="auto"/>
                      </w:divBdr>
                      <w:divsChild>
                        <w:div w:id="1943026622">
                          <w:marLeft w:val="0"/>
                          <w:marRight w:val="0"/>
                          <w:marTop w:val="0"/>
                          <w:marBottom w:val="0"/>
                          <w:divBdr>
                            <w:top w:val="none" w:sz="0" w:space="0" w:color="auto"/>
                            <w:left w:val="none" w:sz="0" w:space="0" w:color="auto"/>
                            <w:bottom w:val="none" w:sz="0" w:space="0" w:color="auto"/>
                            <w:right w:val="none" w:sz="0" w:space="0" w:color="auto"/>
                          </w:divBdr>
                          <w:divsChild>
                            <w:div w:id="1064567548">
                              <w:marLeft w:val="0"/>
                              <w:marRight w:val="0"/>
                              <w:marTop w:val="0"/>
                              <w:marBottom w:val="360"/>
                              <w:divBdr>
                                <w:top w:val="none" w:sz="0" w:space="0" w:color="auto"/>
                                <w:left w:val="none" w:sz="0" w:space="0" w:color="auto"/>
                                <w:bottom w:val="none" w:sz="0" w:space="0" w:color="auto"/>
                                <w:right w:val="none" w:sz="0" w:space="0" w:color="auto"/>
                              </w:divBdr>
                              <w:divsChild>
                                <w:div w:id="157156434">
                                  <w:marLeft w:val="0"/>
                                  <w:marRight w:val="0"/>
                                  <w:marTop w:val="0"/>
                                  <w:marBottom w:val="0"/>
                                  <w:divBdr>
                                    <w:top w:val="none" w:sz="0" w:space="0" w:color="auto"/>
                                    <w:left w:val="none" w:sz="0" w:space="0" w:color="auto"/>
                                    <w:bottom w:val="none" w:sz="0" w:space="0" w:color="auto"/>
                                    <w:right w:val="none" w:sz="0" w:space="0" w:color="auto"/>
                                  </w:divBdr>
                                  <w:divsChild>
                                    <w:div w:id="435444672">
                                      <w:marLeft w:val="0"/>
                                      <w:marRight w:val="0"/>
                                      <w:marTop w:val="0"/>
                                      <w:marBottom w:val="0"/>
                                      <w:divBdr>
                                        <w:top w:val="none" w:sz="0" w:space="0" w:color="auto"/>
                                        <w:left w:val="none" w:sz="0" w:space="0" w:color="auto"/>
                                        <w:bottom w:val="none" w:sz="0" w:space="0" w:color="auto"/>
                                        <w:right w:val="none" w:sz="0" w:space="0" w:color="auto"/>
                                      </w:divBdr>
                                      <w:divsChild>
                                        <w:div w:id="795222139">
                                          <w:marLeft w:val="0"/>
                                          <w:marRight w:val="0"/>
                                          <w:marTop w:val="0"/>
                                          <w:marBottom w:val="0"/>
                                          <w:divBdr>
                                            <w:top w:val="none" w:sz="0" w:space="0" w:color="auto"/>
                                            <w:left w:val="none" w:sz="0" w:space="0" w:color="auto"/>
                                            <w:bottom w:val="none" w:sz="0" w:space="0" w:color="auto"/>
                                            <w:right w:val="none" w:sz="0" w:space="0" w:color="auto"/>
                                          </w:divBdr>
                                          <w:divsChild>
                                            <w:div w:id="1972976895">
                                              <w:marLeft w:val="0"/>
                                              <w:marRight w:val="0"/>
                                              <w:marTop w:val="0"/>
                                              <w:marBottom w:val="0"/>
                                              <w:divBdr>
                                                <w:top w:val="none" w:sz="0" w:space="0" w:color="auto"/>
                                                <w:left w:val="none" w:sz="0" w:space="0" w:color="auto"/>
                                                <w:bottom w:val="none" w:sz="0" w:space="0" w:color="auto"/>
                                                <w:right w:val="none" w:sz="0" w:space="0" w:color="auto"/>
                                              </w:divBdr>
                                              <w:divsChild>
                                                <w:div w:id="611674012">
                                                  <w:marLeft w:val="0"/>
                                                  <w:marRight w:val="0"/>
                                                  <w:marTop w:val="0"/>
                                                  <w:marBottom w:val="0"/>
                                                  <w:divBdr>
                                                    <w:top w:val="none" w:sz="0" w:space="0" w:color="auto"/>
                                                    <w:left w:val="none" w:sz="0" w:space="0" w:color="auto"/>
                                                    <w:bottom w:val="none" w:sz="0" w:space="0" w:color="auto"/>
                                                    <w:right w:val="none" w:sz="0" w:space="0" w:color="auto"/>
                                                  </w:divBdr>
                                                  <w:divsChild>
                                                    <w:div w:id="1592591127">
                                                      <w:marLeft w:val="0"/>
                                                      <w:marRight w:val="0"/>
                                                      <w:marTop w:val="0"/>
                                                      <w:marBottom w:val="0"/>
                                                      <w:divBdr>
                                                        <w:top w:val="none" w:sz="0" w:space="0" w:color="auto"/>
                                                        <w:left w:val="none" w:sz="0" w:space="0" w:color="auto"/>
                                                        <w:bottom w:val="none" w:sz="0" w:space="0" w:color="auto"/>
                                                        <w:right w:val="none" w:sz="0" w:space="0" w:color="auto"/>
                                                      </w:divBdr>
                                                      <w:divsChild>
                                                        <w:div w:id="49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03430">
      <w:bodyDiv w:val="1"/>
      <w:marLeft w:val="0"/>
      <w:marRight w:val="0"/>
      <w:marTop w:val="0"/>
      <w:marBottom w:val="0"/>
      <w:divBdr>
        <w:top w:val="none" w:sz="0" w:space="0" w:color="auto"/>
        <w:left w:val="none" w:sz="0" w:space="0" w:color="auto"/>
        <w:bottom w:val="none" w:sz="0" w:space="0" w:color="auto"/>
        <w:right w:val="none" w:sz="0" w:space="0" w:color="auto"/>
      </w:divBdr>
    </w:div>
    <w:div w:id="1506019174">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0">
          <w:marLeft w:val="0"/>
          <w:marRight w:val="0"/>
          <w:marTop w:val="0"/>
          <w:marBottom w:val="0"/>
          <w:divBdr>
            <w:top w:val="none" w:sz="0" w:space="0" w:color="auto"/>
            <w:left w:val="none" w:sz="0" w:space="0" w:color="auto"/>
            <w:bottom w:val="none" w:sz="0" w:space="0" w:color="auto"/>
            <w:right w:val="none" w:sz="0" w:space="0" w:color="auto"/>
          </w:divBdr>
          <w:divsChild>
            <w:div w:id="1114133176">
              <w:marLeft w:val="0"/>
              <w:marRight w:val="0"/>
              <w:marTop w:val="0"/>
              <w:marBottom w:val="0"/>
              <w:divBdr>
                <w:top w:val="none" w:sz="0" w:space="0" w:color="auto"/>
                <w:left w:val="none" w:sz="0" w:space="0" w:color="auto"/>
                <w:bottom w:val="none" w:sz="0" w:space="0" w:color="auto"/>
                <w:right w:val="none" w:sz="0" w:space="0" w:color="auto"/>
              </w:divBdr>
              <w:divsChild>
                <w:div w:id="300577785">
                  <w:marLeft w:val="0"/>
                  <w:marRight w:val="0"/>
                  <w:marTop w:val="0"/>
                  <w:marBottom w:val="0"/>
                  <w:divBdr>
                    <w:top w:val="none" w:sz="0" w:space="0" w:color="auto"/>
                    <w:left w:val="none" w:sz="0" w:space="0" w:color="auto"/>
                    <w:bottom w:val="none" w:sz="0" w:space="0" w:color="auto"/>
                    <w:right w:val="none" w:sz="0" w:space="0" w:color="auto"/>
                  </w:divBdr>
                  <w:divsChild>
                    <w:div w:id="1280407581">
                      <w:marLeft w:val="1"/>
                      <w:marRight w:val="1"/>
                      <w:marTop w:val="0"/>
                      <w:marBottom w:val="0"/>
                      <w:divBdr>
                        <w:top w:val="none" w:sz="0" w:space="0" w:color="auto"/>
                        <w:left w:val="none" w:sz="0" w:space="0" w:color="auto"/>
                        <w:bottom w:val="none" w:sz="0" w:space="0" w:color="auto"/>
                        <w:right w:val="none" w:sz="0" w:space="0" w:color="auto"/>
                      </w:divBdr>
                      <w:divsChild>
                        <w:div w:id="207761447">
                          <w:marLeft w:val="0"/>
                          <w:marRight w:val="0"/>
                          <w:marTop w:val="0"/>
                          <w:marBottom w:val="0"/>
                          <w:divBdr>
                            <w:top w:val="none" w:sz="0" w:space="0" w:color="auto"/>
                            <w:left w:val="none" w:sz="0" w:space="0" w:color="auto"/>
                            <w:bottom w:val="none" w:sz="0" w:space="0" w:color="auto"/>
                            <w:right w:val="none" w:sz="0" w:space="0" w:color="auto"/>
                          </w:divBdr>
                          <w:divsChild>
                            <w:div w:id="835345138">
                              <w:marLeft w:val="0"/>
                              <w:marRight w:val="0"/>
                              <w:marTop w:val="0"/>
                              <w:marBottom w:val="360"/>
                              <w:divBdr>
                                <w:top w:val="none" w:sz="0" w:space="0" w:color="auto"/>
                                <w:left w:val="none" w:sz="0" w:space="0" w:color="auto"/>
                                <w:bottom w:val="none" w:sz="0" w:space="0" w:color="auto"/>
                                <w:right w:val="none" w:sz="0" w:space="0" w:color="auto"/>
                              </w:divBdr>
                              <w:divsChild>
                                <w:div w:id="1452892388">
                                  <w:marLeft w:val="0"/>
                                  <w:marRight w:val="0"/>
                                  <w:marTop w:val="0"/>
                                  <w:marBottom w:val="0"/>
                                  <w:divBdr>
                                    <w:top w:val="none" w:sz="0" w:space="0" w:color="auto"/>
                                    <w:left w:val="none" w:sz="0" w:space="0" w:color="auto"/>
                                    <w:bottom w:val="none" w:sz="0" w:space="0" w:color="auto"/>
                                    <w:right w:val="none" w:sz="0" w:space="0" w:color="auto"/>
                                  </w:divBdr>
                                  <w:divsChild>
                                    <w:div w:id="1229880104">
                                      <w:marLeft w:val="0"/>
                                      <w:marRight w:val="0"/>
                                      <w:marTop w:val="0"/>
                                      <w:marBottom w:val="0"/>
                                      <w:divBdr>
                                        <w:top w:val="none" w:sz="0" w:space="0" w:color="auto"/>
                                        <w:left w:val="none" w:sz="0" w:space="0" w:color="auto"/>
                                        <w:bottom w:val="none" w:sz="0" w:space="0" w:color="auto"/>
                                        <w:right w:val="none" w:sz="0" w:space="0" w:color="auto"/>
                                      </w:divBdr>
                                      <w:divsChild>
                                        <w:div w:id="1827167674">
                                          <w:marLeft w:val="0"/>
                                          <w:marRight w:val="0"/>
                                          <w:marTop w:val="0"/>
                                          <w:marBottom w:val="0"/>
                                          <w:divBdr>
                                            <w:top w:val="none" w:sz="0" w:space="0" w:color="auto"/>
                                            <w:left w:val="none" w:sz="0" w:space="0" w:color="auto"/>
                                            <w:bottom w:val="none" w:sz="0" w:space="0" w:color="auto"/>
                                            <w:right w:val="none" w:sz="0" w:space="0" w:color="auto"/>
                                          </w:divBdr>
                                          <w:divsChild>
                                            <w:div w:id="664895173">
                                              <w:marLeft w:val="0"/>
                                              <w:marRight w:val="0"/>
                                              <w:marTop w:val="0"/>
                                              <w:marBottom w:val="0"/>
                                              <w:divBdr>
                                                <w:top w:val="none" w:sz="0" w:space="0" w:color="auto"/>
                                                <w:left w:val="none" w:sz="0" w:space="0" w:color="auto"/>
                                                <w:bottom w:val="none" w:sz="0" w:space="0" w:color="auto"/>
                                                <w:right w:val="none" w:sz="0" w:space="0" w:color="auto"/>
                                              </w:divBdr>
                                              <w:divsChild>
                                                <w:div w:id="1352414840">
                                                  <w:marLeft w:val="0"/>
                                                  <w:marRight w:val="0"/>
                                                  <w:marTop w:val="0"/>
                                                  <w:marBottom w:val="0"/>
                                                  <w:divBdr>
                                                    <w:top w:val="none" w:sz="0" w:space="0" w:color="auto"/>
                                                    <w:left w:val="none" w:sz="0" w:space="0" w:color="auto"/>
                                                    <w:bottom w:val="none" w:sz="0" w:space="0" w:color="auto"/>
                                                    <w:right w:val="none" w:sz="0" w:space="0" w:color="auto"/>
                                                  </w:divBdr>
                                                  <w:divsChild>
                                                    <w:div w:id="401487734">
                                                      <w:marLeft w:val="0"/>
                                                      <w:marRight w:val="0"/>
                                                      <w:marTop w:val="0"/>
                                                      <w:marBottom w:val="0"/>
                                                      <w:divBdr>
                                                        <w:top w:val="none" w:sz="0" w:space="0" w:color="auto"/>
                                                        <w:left w:val="none" w:sz="0" w:space="0" w:color="auto"/>
                                                        <w:bottom w:val="none" w:sz="0" w:space="0" w:color="auto"/>
                                                        <w:right w:val="none" w:sz="0" w:space="0" w:color="auto"/>
                                                      </w:divBdr>
                                                      <w:divsChild>
                                                        <w:div w:id="1789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20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3">
          <w:marLeft w:val="0"/>
          <w:marRight w:val="0"/>
          <w:marTop w:val="0"/>
          <w:marBottom w:val="0"/>
          <w:divBdr>
            <w:top w:val="none" w:sz="0" w:space="0" w:color="auto"/>
            <w:left w:val="none" w:sz="0" w:space="0" w:color="auto"/>
            <w:bottom w:val="none" w:sz="0" w:space="0" w:color="auto"/>
            <w:right w:val="none" w:sz="0" w:space="0" w:color="auto"/>
          </w:divBdr>
          <w:divsChild>
            <w:div w:id="2027097901">
              <w:marLeft w:val="0"/>
              <w:marRight w:val="0"/>
              <w:marTop w:val="0"/>
              <w:marBottom w:val="0"/>
              <w:divBdr>
                <w:top w:val="none" w:sz="0" w:space="0" w:color="auto"/>
                <w:left w:val="none" w:sz="0" w:space="0" w:color="auto"/>
                <w:bottom w:val="none" w:sz="0" w:space="0" w:color="auto"/>
                <w:right w:val="none" w:sz="0" w:space="0" w:color="auto"/>
              </w:divBdr>
              <w:divsChild>
                <w:div w:id="1169826678">
                  <w:marLeft w:val="0"/>
                  <w:marRight w:val="0"/>
                  <w:marTop w:val="0"/>
                  <w:marBottom w:val="0"/>
                  <w:divBdr>
                    <w:top w:val="none" w:sz="0" w:space="0" w:color="auto"/>
                    <w:left w:val="none" w:sz="0" w:space="0" w:color="auto"/>
                    <w:bottom w:val="none" w:sz="0" w:space="0" w:color="auto"/>
                    <w:right w:val="none" w:sz="0" w:space="0" w:color="auto"/>
                  </w:divBdr>
                  <w:divsChild>
                    <w:div w:id="1819683194">
                      <w:marLeft w:val="1"/>
                      <w:marRight w:val="1"/>
                      <w:marTop w:val="0"/>
                      <w:marBottom w:val="0"/>
                      <w:divBdr>
                        <w:top w:val="none" w:sz="0" w:space="0" w:color="auto"/>
                        <w:left w:val="none" w:sz="0" w:space="0" w:color="auto"/>
                        <w:bottom w:val="none" w:sz="0" w:space="0" w:color="auto"/>
                        <w:right w:val="none" w:sz="0" w:space="0" w:color="auto"/>
                      </w:divBdr>
                      <w:divsChild>
                        <w:div w:id="314258545">
                          <w:marLeft w:val="0"/>
                          <w:marRight w:val="0"/>
                          <w:marTop w:val="0"/>
                          <w:marBottom w:val="0"/>
                          <w:divBdr>
                            <w:top w:val="none" w:sz="0" w:space="0" w:color="auto"/>
                            <w:left w:val="none" w:sz="0" w:space="0" w:color="auto"/>
                            <w:bottom w:val="none" w:sz="0" w:space="0" w:color="auto"/>
                            <w:right w:val="none" w:sz="0" w:space="0" w:color="auto"/>
                          </w:divBdr>
                          <w:divsChild>
                            <w:div w:id="792138010">
                              <w:marLeft w:val="0"/>
                              <w:marRight w:val="0"/>
                              <w:marTop w:val="0"/>
                              <w:marBottom w:val="360"/>
                              <w:divBdr>
                                <w:top w:val="none" w:sz="0" w:space="0" w:color="auto"/>
                                <w:left w:val="none" w:sz="0" w:space="0" w:color="auto"/>
                                <w:bottom w:val="none" w:sz="0" w:space="0" w:color="auto"/>
                                <w:right w:val="none" w:sz="0" w:space="0" w:color="auto"/>
                              </w:divBdr>
                              <w:divsChild>
                                <w:div w:id="1871062947">
                                  <w:marLeft w:val="0"/>
                                  <w:marRight w:val="0"/>
                                  <w:marTop w:val="0"/>
                                  <w:marBottom w:val="0"/>
                                  <w:divBdr>
                                    <w:top w:val="none" w:sz="0" w:space="0" w:color="auto"/>
                                    <w:left w:val="none" w:sz="0" w:space="0" w:color="auto"/>
                                    <w:bottom w:val="none" w:sz="0" w:space="0" w:color="auto"/>
                                    <w:right w:val="none" w:sz="0" w:space="0" w:color="auto"/>
                                  </w:divBdr>
                                  <w:divsChild>
                                    <w:div w:id="1840002608">
                                      <w:marLeft w:val="0"/>
                                      <w:marRight w:val="0"/>
                                      <w:marTop w:val="0"/>
                                      <w:marBottom w:val="0"/>
                                      <w:divBdr>
                                        <w:top w:val="none" w:sz="0" w:space="0" w:color="auto"/>
                                        <w:left w:val="none" w:sz="0" w:space="0" w:color="auto"/>
                                        <w:bottom w:val="none" w:sz="0" w:space="0" w:color="auto"/>
                                        <w:right w:val="none" w:sz="0" w:space="0" w:color="auto"/>
                                      </w:divBdr>
                                      <w:divsChild>
                                        <w:div w:id="539128182">
                                          <w:marLeft w:val="0"/>
                                          <w:marRight w:val="0"/>
                                          <w:marTop w:val="0"/>
                                          <w:marBottom w:val="0"/>
                                          <w:divBdr>
                                            <w:top w:val="none" w:sz="0" w:space="0" w:color="auto"/>
                                            <w:left w:val="none" w:sz="0" w:space="0" w:color="auto"/>
                                            <w:bottom w:val="none" w:sz="0" w:space="0" w:color="auto"/>
                                            <w:right w:val="none" w:sz="0" w:space="0" w:color="auto"/>
                                          </w:divBdr>
                                          <w:divsChild>
                                            <w:div w:id="1410806001">
                                              <w:marLeft w:val="0"/>
                                              <w:marRight w:val="0"/>
                                              <w:marTop w:val="0"/>
                                              <w:marBottom w:val="0"/>
                                              <w:divBdr>
                                                <w:top w:val="none" w:sz="0" w:space="0" w:color="auto"/>
                                                <w:left w:val="none" w:sz="0" w:space="0" w:color="auto"/>
                                                <w:bottom w:val="none" w:sz="0" w:space="0" w:color="auto"/>
                                                <w:right w:val="none" w:sz="0" w:space="0" w:color="auto"/>
                                              </w:divBdr>
                                              <w:divsChild>
                                                <w:div w:id="1723287426">
                                                  <w:marLeft w:val="0"/>
                                                  <w:marRight w:val="0"/>
                                                  <w:marTop w:val="0"/>
                                                  <w:marBottom w:val="0"/>
                                                  <w:divBdr>
                                                    <w:top w:val="none" w:sz="0" w:space="0" w:color="auto"/>
                                                    <w:left w:val="none" w:sz="0" w:space="0" w:color="auto"/>
                                                    <w:bottom w:val="none" w:sz="0" w:space="0" w:color="auto"/>
                                                    <w:right w:val="none" w:sz="0" w:space="0" w:color="auto"/>
                                                  </w:divBdr>
                                                  <w:divsChild>
                                                    <w:div w:id="2110814943">
                                                      <w:marLeft w:val="0"/>
                                                      <w:marRight w:val="0"/>
                                                      <w:marTop w:val="0"/>
                                                      <w:marBottom w:val="0"/>
                                                      <w:divBdr>
                                                        <w:top w:val="none" w:sz="0" w:space="0" w:color="auto"/>
                                                        <w:left w:val="none" w:sz="0" w:space="0" w:color="auto"/>
                                                        <w:bottom w:val="none" w:sz="0" w:space="0" w:color="auto"/>
                                                        <w:right w:val="none" w:sz="0" w:space="0" w:color="auto"/>
                                                      </w:divBdr>
                                                      <w:divsChild>
                                                        <w:div w:id="74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3786">
      <w:bodyDiv w:val="1"/>
      <w:marLeft w:val="0"/>
      <w:marRight w:val="0"/>
      <w:marTop w:val="0"/>
      <w:marBottom w:val="0"/>
      <w:divBdr>
        <w:top w:val="none" w:sz="0" w:space="0" w:color="auto"/>
        <w:left w:val="none" w:sz="0" w:space="0" w:color="auto"/>
        <w:bottom w:val="none" w:sz="0" w:space="0" w:color="auto"/>
        <w:right w:val="none" w:sz="0" w:space="0" w:color="auto"/>
      </w:divBdr>
      <w:divsChild>
        <w:div w:id="1149126990">
          <w:marLeft w:val="0"/>
          <w:marRight w:val="0"/>
          <w:marTop w:val="0"/>
          <w:marBottom w:val="0"/>
          <w:divBdr>
            <w:top w:val="none" w:sz="0" w:space="0" w:color="auto"/>
            <w:left w:val="none" w:sz="0" w:space="0" w:color="auto"/>
            <w:bottom w:val="none" w:sz="0" w:space="0" w:color="auto"/>
            <w:right w:val="none" w:sz="0" w:space="0" w:color="auto"/>
          </w:divBdr>
          <w:divsChild>
            <w:div w:id="700284331">
              <w:marLeft w:val="0"/>
              <w:marRight w:val="0"/>
              <w:marTop w:val="0"/>
              <w:marBottom w:val="0"/>
              <w:divBdr>
                <w:top w:val="none" w:sz="0" w:space="0" w:color="auto"/>
                <w:left w:val="none" w:sz="0" w:space="0" w:color="auto"/>
                <w:bottom w:val="none" w:sz="0" w:space="0" w:color="auto"/>
                <w:right w:val="none" w:sz="0" w:space="0" w:color="auto"/>
              </w:divBdr>
              <w:divsChild>
                <w:div w:id="421415695">
                  <w:marLeft w:val="0"/>
                  <w:marRight w:val="0"/>
                  <w:marTop w:val="0"/>
                  <w:marBottom w:val="0"/>
                  <w:divBdr>
                    <w:top w:val="none" w:sz="0" w:space="0" w:color="auto"/>
                    <w:left w:val="none" w:sz="0" w:space="0" w:color="auto"/>
                    <w:bottom w:val="none" w:sz="0" w:space="0" w:color="auto"/>
                    <w:right w:val="none" w:sz="0" w:space="0" w:color="auto"/>
                  </w:divBdr>
                  <w:divsChild>
                    <w:div w:id="1660693377">
                      <w:marLeft w:val="1"/>
                      <w:marRight w:val="1"/>
                      <w:marTop w:val="0"/>
                      <w:marBottom w:val="0"/>
                      <w:divBdr>
                        <w:top w:val="none" w:sz="0" w:space="0" w:color="auto"/>
                        <w:left w:val="none" w:sz="0" w:space="0" w:color="auto"/>
                        <w:bottom w:val="none" w:sz="0" w:space="0" w:color="auto"/>
                        <w:right w:val="none" w:sz="0" w:space="0" w:color="auto"/>
                      </w:divBdr>
                      <w:divsChild>
                        <w:div w:id="1751808465">
                          <w:marLeft w:val="0"/>
                          <w:marRight w:val="0"/>
                          <w:marTop w:val="0"/>
                          <w:marBottom w:val="0"/>
                          <w:divBdr>
                            <w:top w:val="none" w:sz="0" w:space="0" w:color="auto"/>
                            <w:left w:val="none" w:sz="0" w:space="0" w:color="auto"/>
                            <w:bottom w:val="none" w:sz="0" w:space="0" w:color="auto"/>
                            <w:right w:val="none" w:sz="0" w:space="0" w:color="auto"/>
                          </w:divBdr>
                          <w:divsChild>
                            <w:div w:id="809635790">
                              <w:marLeft w:val="0"/>
                              <w:marRight w:val="0"/>
                              <w:marTop w:val="0"/>
                              <w:marBottom w:val="360"/>
                              <w:divBdr>
                                <w:top w:val="none" w:sz="0" w:space="0" w:color="auto"/>
                                <w:left w:val="none" w:sz="0" w:space="0" w:color="auto"/>
                                <w:bottom w:val="none" w:sz="0" w:space="0" w:color="auto"/>
                                <w:right w:val="none" w:sz="0" w:space="0" w:color="auto"/>
                              </w:divBdr>
                              <w:divsChild>
                                <w:div w:id="1484545962">
                                  <w:marLeft w:val="0"/>
                                  <w:marRight w:val="0"/>
                                  <w:marTop w:val="0"/>
                                  <w:marBottom w:val="0"/>
                                  <w:divBdr>
                                    <w:top w:val="none" w:sz="0" w:space="0" w:color="auto"/>
                                    <w:left w:val="none" w:sz="0" w:space="0" w:color="auto"/>
                                    <w:bottom w:val="none" w:sz="0" w:space="0" w:color="auto"/>
                                    <w:right w:val="none" w:sz="0" w:space="0" w:color="auto"/>
                                  </w:divBdr>
                                  <w:divsChild>
                                    <w:div w:id="2032800188">
                                      <w:marLeft w:val="0"/>
                                      <w:marRight w:val="0"/>
                                      <w:marTop w:val="0"/>
                                      <w:marBottom w:val="0"/>
                                      <w:divBdr>
                                        <w:top w:val="none" w:sz="0" w:space="0" w:color="auto"/>
                                        <w:left w:val="none" w:sz="0" w:space="0" w:color="auto"/>
                                        <w:bottom w:val="none" w:sz="0" w:space="0" w:color="auto"/>
                                        <w:right w:val="none" w:sz="0" w:space="0" w:color="auto"/>
                                      </w:divBdr>
                                      <w:divsChild>
                                        <w:div w:id="358553051">
                                          <w:marLeft w:val="0"/>
                                          <w:marRight w:val="0"/>
                                          <w:marTop w:val="0"/>
                                          <w:marBottom w:val="0"/>
                                          <w:divBdr>
                                            <w:top w:val="none" w:sz="0" w:space="0" w:color="auto"/>
                                            <w:left w:val="none" w:sz="0" w:space="0" w:color="auto"/>
                                            <w:bottom w:val="none" w:sz="0" w:space="0" w:color="auto"/>
                                            <w:right w:val="none" w:sz="0" w:space="0" w:color="auto"/>
                                          </w:divBdr>
                                          <w:divsChild>
                                            <w:div w:id="749621478">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sChild>
                                                    <w:div w:id="999382448">
                                                      <w:marLeft w:val="0"/>
                                                      <w:marRight w:val="0"/>
                                                      <w:marTop w:val="0"/>
                                                      <w:marBottom w:val="0"/>
                                                      <w:divBdr>
                                                        <w:top w:val="none" w:sz="0" w:space="0" w:color="auto"/>
                                                        <w:left w:val="none" w:sz="0" w:space="0" w:color="auto"/>
                                                        <w:bottom w:val="none" w:sz="0" w:space="0" w:color="auto"/>
                                                        <w:right w:val="none" w:sz="0" w:space="0" w:color="auto"/>
                                                      </w:divBdr>
                                                      <w:divsChild>
                                                        <w:div w:id="65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54701">
      <w:bodyDiv w:val="1"/>
      <w:marLeft w:val="0"/>
      <w:marRight w:val="0"/>
      <w:marTop w:val="0"/>
      <w:marBottom w:val="0"/>
      <w:divBdr>
        <w:top w:val="none" w:sz="0" w:space="0" w:color="auto"/>
        <w:left w:val="none" w:sz="0" w:space="0" w:color="auto"/>
        <w:bottom w:val="none" w:sz="0" w:space="0" w:color="auto"/>
        <w:right w:val="none" w:sz="0" w:space="0" w:color="auto"/>
      </w:divBdr>
      <w:divsChild>
        <w:div w:id="968972707">
          <w:marLeft w:val="0"/>
          <w:marRight w:val="0"/>
          <w:marTop w:val="0"/>
          <w:marBottom w:val="0"/>
          <w:divBdr>
            <w:top w:val="none" w:sz="0" w:space="0" w:color="auto"/>
            <w:left w:val="none" w:sz="0" w:space="0" w:color="auto"/>
            <w:bottom w:val="none" w:sz="0" w:space="0" w:color="auto"/>
            <w:right w:val="none" w:sz="0" w:space="0" w:color="auto"/>
          </w:divBdr>
          <w:divsChild>
            <w:div w:id="1841431340">
              <w:marLeft w:val="0"/>
              <w:marRight w:val="0"/>
              <w:marTop w:val="0"/>
              <w:marBottom w:val="0"/>
              <w:divBdr>
                <w:top w:val="none" w:sz="0" w:space="0" w:color="auto"/>
                <w:left w:val="none" w:sz="0" w:space="0" w:color="auto"/>
                <w:bottom w:val="none" w:sz="0" w:space="0" w:color="auto"/>
                <w:right w:val="none" w:sz="0" w:space="0" w:color="auto"/>
              </w:divBdr>
              <w:divsChild>
                <w:div w:id="576743454">
                  <w:marLeft w:val="0"/>
                  <w:marRight w:val="0"/>
                  <w:marTop w:val="0"/>
                  <w:marBottom w:val="0"/>
                  <w:divBdr>
                    <w:top w:val="none" w:sz="0" w:space="0" w:color="auto"/>
                    <w:left w:val="none" w:sz="0" w:space="0" w:color="auto"/>
                    <w:bottom w:val="none" w:sz="0" w:space="0" w:color="auto"/>
                    <w:right w:val="none" w:sz="0" w:space="0" w:color="auto"/>
                  </w:divBdr>
                  <w:divsChild>
                    <w:div w:id="1719041073">
                      <w:marLeft w:val="1"/>
                      <w:marRight w:val="1"/>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1460369492">
                              <w:marLeft w:val="0"/>
                              <w:marRight w:val="0"/>
                              <w:marTop w:val="0"/>
                              <w:marBottom w:val="360"/>
                              <w:divBdr>
                                <w:top w:val="none" w:sz="0" w:space="0" w:color="auto"/>
                                <w:left w:val="none" w:sz="0" w:space="0" w:color="auto"/>
                                <w:bottom w:val="none" w:sz="0" w:space="0" w:color="auto"/>
                                <w:right w:val="none" w:sz="0" w:space="0" w:color="auto"/>
                              </w:divBdr>
                              <w:divsChild>
                                <w:div w:id="866407942">
                                  <w:marLeft w:val="0"/>
                                  <w:marRight w:val="0"/>
                                  <w:marTop w:val="0"/>
                                  <w:marBottom w:val="0"/>
                                  <w:divBdr>
                                    <w:top w:val="none" w:sz="0" w:space="0" w:color="auto"/>
                                    <w:left w:val="none" w:sz="0" w:space="0" w:color="auto"/>
                                    <w:bottom w:val="none" w:sz="0" w:space="0" w:color="auto"/>
                                    <w:right w:val="none" w:sz="0" w:space="0" w:color="auto"/>
                                  </w:divBdr>
                                  <w:divsChild>
                                    <w:div w:id="516312978">
                                      <w:marLeft w:val="0"/>
                                      <w:marRight w:val="0"/>
                                      <w:marTop w:val="0"/>
                                      <w:marBottom w:val="0"/>
                                      <w:divBdr>
                                        <w:top w:val="none" w:sz="0" w:space="0" w:color="auto"/>
                                        <w:left w:val="none" w:sz="0" w:space="0" w:color="auto"/>
                                        <w:bottom w:val="none" w:sz="0" w:space="0" w:color="auto"/>
                                        <w:right w:val="none" w:sz="0" w:space="0" w:color="auto"/>
                                      </w:divBdr>
                                      <w:divsChild>
                                        <w:div w:id="360322527">
                                          <w:marLeft w:val="0"/>
                                          <w:marRight w:val="0"/>
                                          <w:marTop w:val="0"/>
                                          <w:marBottom w:val="0"/>
                                          <w:divBdr>
                                            <w:top w:val="none" w:sz="0" w:space="0" w:color="auto"/>
                                            <w:left w:val="none" w:sz="0" w:space="0" w:color="auto"/>
                                            <w:bottom w:val="none" w:sz="0" w:space="0" w:color="auto"/>
                                            <w:right w:val="none" w:sz="0" w:space="0" w:color="auto"/>
                                          </w:divBdr>
                                          <w:divsChild>
                                            <w:div w:id="2070881850">
                                              <w:marLeft w:val="0"/>
                                              <w:marRight w:val="0"/>
                                              <w:marTop w:val="0"/>
                                              <w:marBottom w:val="0"/>
                                              <w:divBdr>
                                                <w:top w:val="none" w:sz="0" w:space="0" w:color="auto"/>
                                                <w:left w:val="none" w:sz="0" w:space="0" w:color="auto"/>
                                                <w:bottom w:val="none" w:sz="0" w:space="0" w:color="auto"/>
                                                <w:right w:val="none" w:sz="0" w:space="0" w:color="auto"/>
                                              </w:divBdr>
                                              <w:divsChild>
                                                <w:div w:id="2009090260">
                                                  <w:marLeft w:val="0"/>
                                                  <w:marRight w:val="0"/>
                                                  <w:marTop w:val="0"/>
                                                  <w:marBottom w:val="0"/>
                                                  <w:divBdr>
                                                    <w:top w:val="none" w:sz="0" w:space="0" w:color="auto"/>
                                                    <w:left w:val="none" w:sz="0" w:space="0" w:color="auto"/>
                                                    <w:bottom w:val="none" w:sz="0" w:space="0" w:color="auto"/>
                                                    <w:right w:val="none" w:sz="0" w:space="0" w:color="auto"/>
                                                  </w:divBdr>
                                                  <w:divsChild>
                                                    <w:div w:id="1645352925">
                                                      <w:marLeft w:val="0"/>
                                                      <w:marRight w:val="0"/>
                                                      <w:marTop w:val="0"/>
                                                      <w:marBottom w:val="0"/>
                                                      <w:divBdr>
                                                        <w:top w:val="none" w:sz="0" w:space="0" w:color="auto"/>
                                                        <w:left w:val="none" w:sz="0" w:space="0" w:color="auto"/>
                                                        <w:bottom w:val="none" w:sz="0" w:space="0" w:color="auto"/>
                                                        <w:right w:val="none" w:sz="0" w:space="0" w:color="auto"/>
                                                      </w:divBdr>
                                                      <w:divsChild>
                                                        <w:div w:id="1152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7683">
      <w:bodyDiv w:val="1"/>
      <w:marLeft w:val="0"/>
      <w:marRight w:val="0"/>
      <w:marTop w:val="0"/>
      <w:marBottom w:val="0"/>
      <w:divBdr>
        <w:top w:val="none" w:sz="0" w:space="0" w:color="auto"/>
        <w:left w:val="none" w:sz="0" w:space="0" w:color="auto"/>
        <w:bottom w:val="none" w:sz="0" w:space="0" w:color="auto"/>
        <w:right w:val="none" w:sz="0" w:space="0" w:color="auto"/>
      </w:divBdr>
    </w:div>
    <w:div w:id="1902213511">
      <w:bodyDiv w:val="1"/>
      <w:marLeft w:val="0"/>
      <w:marRight w:val="0"/>
      <w:marTop w:val="0"/>
      <w:marBottom w:val="0"/>
      <w:divBdr>
        <w:top w:val="none" w:sz="0" w:space="0" w:color="auto"/>
        <w:left w:val="none" w:sz="0" w:space="0" w:color="auto"/>
        <w:bottom w:val="none" w:sz="0" w:space="0" w:color="auto"/>
        <w:right w:val="none" w:sz="0" w:space="0" w:color="auto"/>
      </w:divBdr>
    </w:div>
    <w:div w:id="2014063174">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4">
          <w:marLeft w:val="0"/>
          <w:marRight w:val="0"/>
          <w:marTop w:val="0"/>
          <w:marBottom w:val="0"/>
          <w:divBdr>
            <w:top w:val="none" w:sz="0" w:space="0" w:color="auto"/>
            <w:left w:val="none" w:sz="0" w:space="0" w:color="auto"/>
            <w:bottom w:val="none" w:sz="0" w:space="0" w:color="auto"/>
            <w:right w:val="none" w:sz="0" w:space="0" w:color="auto"/>
          </w:divBdr>
          <w:divsChild>
            <w:div w:id="1303386100">
              <w:marLeft w:val="0"/>
              <w:marRight w:val="0"/>
              <w:marTop w:val="0"/>
              <w:marBottom w:val="0"/>
              <w:divBdr>
                <w:top w:val="none" w:sz="0" w:space="0" w:color="auto"/>
                <w:left w:val="none" w:sz="0" w:space="0" w:color="auto"/>
                <w:bottom w:val="none" w:sz="0" w:space="0" w:color="auto"/>
                <w:right w:val="none" w:sz="0" w:space="0" w:color="auto"/>
              </w:divBdr>
              <w:divsChild>
                <w:div w:id="382677421">
                  <w:marLeft w:val="0"/>
                  <w:marRight w:val="0"/>
                  <w:marTop w:val="0"/>
                  <w:marBottom w:val="0"/>
                  <w:divBdr>
                    <w:top w:val="none" w:sz="0" w:space="0" w:color="auto"/>
                    <w:left w:val="none" w:sz="0" w:space="0" w:color="auto"/>
                    <w:bottom w:val="none" w:sz="0" w:space="0" w:color="auto"/>
                    <w:right w:val="none" w:sz="0" w:space="0" w:color="auto"/>
                  </w:divBdr>
                  <w:divsChild>
                    <w:div w:id="1218400849">
                      <w:marLeft w:val="1"/>
                      <w:marRight w:val="1"/>
                      <w:marTop w:val="0"/>
                      <w:marBottom w:val="0"/>
                      <w:divBdr>
                        <w:top w:val="none" w:sz="0" w:space="0" w:color="auto"/>
                        <w:left w:val="none" w:sz="0" w:space="0" w:color="auto"/>
                        <w:bottom w:val="none" w:sz="0" w:space="0" w:color="auto"/>
                        <w:right w:val="none" w:sz="0" w:space="0" w:color="auto"/>
                      </w:divBdr>
                      <w:divsChild>
                        <w:div w:id="2138837792">
                          <w:marLeft w:val="0"/>
                          <w:marRight w:val="0"/>
                          <w:marTop w:val="0"/>
                          <w:marBottom w:val="0"/>
                          <w:divBdr>
                            <w:top w:val="none" w:sz="0" w:space="0" w:color="auto"/>
                            <w:left w:val="none" w:sz="0" w:space="0" w:color="auto"/>
                            <w:bottom w:val="none" w:sz="0" w:space="0" w:color="auto"/>
                            <w:right w:val="none" w:sz="0" w:space="0" w:color="auto"/>
                          </w:divBdr>
                          <w:divsChild>
                            <w:div w:id="150174959">
                              <w:marLeft w:val="0"/>
                              <w:marRight w:val="0"/>
                              <w:marTop w:val="0"/>
                              <w:marBottom w:val="360"/>
                              <w:divBdr>
                                <w:top w:val="none" w:sz="0" w:space="0" w:color="auto"/>
                                <w:left w:val="none" w:sz="0" w:space="0" w:color="auto"/>
                                <w:bottom w:val="none" w:sz="0" w:space="0" w:color="auto"/>
                                <w:right w:val="none" w:sz="0" w:space="0" w:color="auto"/>
                              </w:divBdr>
                              <w:divsChild>
                                <w:div w:id="1422407177">
                                  <w:marLeft w:val="0"/>
                                  <w:marRight w:val="0"/>
                                  <w:marTop w:val="0"/>
                                  <w:marBottom w:val="0"/>
                                  <w:divBdr>
                                    <w:top w:val="none" w:sz="0" w:space="0" w:color="auto"/>
                                    <w:left w:val="none" w:sz="0" w:space="0" w:color="auto"/>
                                    <w:bottom w:val="none" w:sz="0" w:space="0" w:color="auto"/>
                                    <w:right w:val="none" w:sz="0" w:space="0" w:color="auto"/>
                                  </w:divBdr>
                                  <w:divsChild>
                                    <w:div w:id="1641613261">
                                      <w:marLeft w:val="0"/>
                                      <w:marRight w:val="0"/>
                                      <w:marTop w:val="0"/>
                                      <w:marBottom w:val="0"/>
                                      <w:divBdr>
                                        <w:top w:val="none" w:sz="0" w:space="0" w:color="auto"/>
                                        <w:left w:val="none" w:sz="0" w:space="0" w:color="auto"/>
                                        <w:bottom w:val="none" w:sz="0" w:space="0" w:color="auto"/>
                                        <w:right w:val="none" w:sz="0" w:space="0" w:color="auto"/>
                                      </w:divBdr>
                                      <w:divsChild>
                                        <w:div w:id="2128116600">
                                          <w:marLeft w:val="0"/>
                                          <w:marRight w:val="0"/>
                                          <w:marTop w:val="0"/>
                                          <w:marBottom w:val="0"/>
                                          <w:divBdr>
                                            <w:top w:val="none" w:sz="0" w:space="0" w:color="auto"/>
                                            <w:left w:val="none" w:sz="0" w:space="0" w:color="auto"/>
                                            <w:bottom w:val="none" w:sz="0" w:space="0" w:color="auto"/>
                                            <w:right w:val="none" w:sz="0" w:space="0" w:color="auto"/>
                                          </w:divBdr>
                                          <w:divsChild>
                                            <w:div w:id="416748202">
                                              <w:marLeft w:val="0"/>
                                              <w:marRight w:val="0"/>
                                              <w:marTop w:val="0"/>
                                              <w:marBottom w:val="0"/>
                                              <w:divBdr>
                                                <w:top w:val="none" w:sz="0" w:space="0" w:color="auto"/>
                                                <w:left w:val="none" w:sz="0" w:space="0" w:color="auto"/>
                                                <w:bottom w:val="none" w:sz="0" w:space="0" w:color="auto"/>
                                                <w:right w:val="none" w:sz="0" w:space="0" w:color="auto"/>
                                              </w:divBdr>
                                              <w:divsChild>
                                                <w:div w:id="2043742199">
                                                  <w:marLeft w:val="0"/>
                                                  <w:marRight w:val="0"/>
                                                  <w:marTop w:val="0"/>
                                                  <w:marBottom w:val="0"/>
                                                  <w:divBdr>
                                                    <w:top w:val="none" w:sz="0" w:space="0" w:color="auto"/>
                                                    <w:left w:val="none" w:sz="0" w:space="0" w:color="auto"/>
                                                    <w:bottom w:val="none" w:sz="0" w:space="0" w:color="auto"/>
                                                    <w:right w:val="none" w:sz="0" w:space="0" w:color="auto"/>
                                                  </w:divBdr>
                                                  <w:divsChild>
                                                    <w:div w:id="613098428">
                                                      <w:marLeft w:val="0"/>
                                                      <w:marRight w:val="0"/>
                                                      <w:marTop w:val="0"/>
                                                      <w:marBottom w:val="0"/>
                                                      <w:divBdr>
                                                        <w:top w:val="none" w:sz="0" w:space="0" w:color="auto"/>
                                                        <w:left w:val="none" w:sz="0" w:space="0" w:color="auto"/>
                                                        <w:bottom w:val="none" w:sz="0" w:space="0" w:color="auto"/>
                                                        <w:right w:val="none" w:sz="0" w:space="0" w:color="auto"/>
                                                      </w:divBdr>
                                                      <w:divsChild>
                                                        <w:div w:id="680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9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TXT/?uri=OJ%3AL%3A2016%3A161%3A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1C22-4F44-4449-B6CD-AF3A8036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1580</Words>
  <Characters>8980</Characters>
  <Application>Microsoft Office Word</Application>
  <DocSecurity>0</DocSecurity>
  <Lines>199</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2019-02-19T14:23:00Z</cp:lastPrinted>
  <dcterms:created xsi:type="dcterms:W3CDTF">2019-05-13T08:50:00Z</dcterms:created>
  <dcterms:modified xsi:type="dcterms:W3CDTF">2019-05-14T16:09:00Z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