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0FC74FAC-0107-4247-BAAC-4E80A14A7323" style="width:450.75pt;height:43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noProof/>
        </w:rPr>
      </w:pPr>
      <w:r>
        <w:rPr>
          <w:noProof/>
        </w:rPr>
        <w:t>Lai nodrošinātu vajadzīgo iekšējā tirgus tiesisko noteiktību un viendabīgumu, EEZ Apvienotajai komitejai EEZ līgumā jāiekļauj visi attiecīgie ES tiesību akti iespējami ātrāk pēc to pieņemšanas, kā arī jāatļauj EEZ EBTA valstu līdzdalība tādos ES pasākumos vai programmās, kas attiecas uz EEZ.</w:t>
      </w:r>
    </w:p>
    <w:p>
      <w:pPr>
        <w:pBdr>
          <w:top w:val="nil"/>
          <w:left w:val="nil"/>
          <w:bottom w:val="nil"/>
          <w:right w:val="nil"/>
          <w:between w:val="nil"/>
          <w:bar w:val="nil"/>
        </w:pBdr>
        <w:spacing w:before="0" w:after="240"/>
        <w:rPr>
          <w:rFonts w:eastAsia="Arial Unicode MS"/>
          <w:noProof/>
        </w:rPr>
      </w:pPr>
      <w:r>
        <w:rPr>
          <w:noProof/>
        </w:rPr>
        <w:t>EEZ Apvienotās komitejas lēmuma projekta (kas pievienots priekšlikumam par Padomes lēmumu) pieņemšanas nolūks ir grozīt EEZ līguma 31. protokolu par “sadarbību īpašās jomās, kas nav četras pamatbrīvības”. Tas ir nepieciešams, lai ļautu EEZ EBTA valstīm turpināt piedalīties Savienības programmās un darbībās, ko finansē no Eiropas Savienības vispārējā budžeta pozīcijām. Konkrētajā gadījumā šā grozījuma mērķis ir ļaut EEZ EBTA valstīm (Norvēģijai, Islandei un Lihtenšteinai) piedalīties Savienības darbībās, kas saistītas ar 33 02 03 01. budžeta pozīciju “Uzņēmējdarbības tiesības” un kas iekļautas Eiropas Savienības 2019. finanšu gada vispārējā budžetā.</w:t>
      </w:r>
    </w:p>
    <w:p>
      <w:pPr>
        <w:pStyle w:val="ManualHeading2"/>
        <w:rPr>
          <w:rFonts w:eastAsia="Arial Unicode MS"/>
          <w:noProof/>
          <w:color w:val="000000"/>
          <w:u w:color="000000"/>
          <w:bdr w:val="nil"/>
        </w:rPr>
      </w:pPr>
      <w:r>
        <w:rPr>
          <w:noProof/>
          <w:color w:val="000000"/>
          <w:u w:color="000000"/>
          <w:bdr w:val="nil"/>
        </w:rPr>
        <w:t>•</w:t>
      </w:r>
      <w:r>
        <w:rPr>
          <w:noProof/>
        </w:rPr>
        <w:tab/>
        <w:t>Atbilstība spēkā esošajiem noteikumiem konkrētajā politikas jomā</w:t>
      </w:r>
    </w:p>
    <w:p>
      <w:pPr>
        <w:pBdr>
          <w:top w:val="nil"/>
          <w:left w:val="nil"/>
          <w:bottom w:val="nil"/>
          <w:right w:val="nil"/>
          <w:between w:val="nil"/>
          <w:bar w:val="nil"/>
        </w:pBdr>
        <w:spacing w:before="0" w:after="240"/>
        <w:rPr>
          <w:rFonts w:eastAsia="Arial Unicode MS"/>
          <w:noProof/>
        </w:rPr>
      </w:pPr>
      <w:r>
        <w:rPr>
          <w:noProof/>
        </w:rPr>
        <w:t>Pievienotais Apvienotās Komitejas lēmuma projekts pilnīgi atbilst EEZ līguma mērķim veicināt nepārtrauktu un līdzsvarotu tirdzniecības un ekonomisko attiecību nostiprināšanu starp Līgumslēdzējām pusēm ar vienlīdzīgiem konkurences nosacījumiem un vienotu noteikumu ievērošanu, lai izveidotu viendabīgu Eiropas Ekonomikas zonu.</w:t>
      </w:r>
    </w:p>
    <w:p>
      <w:pPr>
        <w:pStyle w:val="ManualHeading2"/>
        <w:rPr>
          <w:rFonts w:eastAsia="Arial Unicode MS"/>
          <w:noProof/>
        </w:rPr>
      </w:pPr>
      <w:r>
        <w:rPr>
          <w:noProof/>
          <w:color w:val="000000"/>
          <w:u w:color="000000"/>
          <w:bdr w:val="nil"/>
        </w:rPr>
        <w:t>•</w:t>
      </w:r>
      <w:r>
        <w:rPr>
          <w:noProof/>
        </w:rPr>
        <w:tab/>
        <w:t>Atbilstība pārējiem Savienības politikas virzieniem</w:t>
      </w:r>
    </w:p>
    <w:p>
      <w:pPr>
        <w:pBdr>
          <w:top w:val="nil"/>
          <w:left w:val="nil"/>
          <w:bottom w:val="nil"/>
          <w:right w:val="nil"/>
          <w:between w:val="nil"/>
          <w:bar w:val="nil"/>
        </w:pBdr>
        <w:spacing w:before="0" w:after="240"/>
        <w:rPr>
          <w:rFonts w:eastAsia="Arial Unicode MS"/>
          <w:noProof/>
        </w:rPr>
      </w:pPr>
      <w:r>
        <w:rPr>
          <w:noProof/>
        </w:rPr>
        <w:t>Apvienotās komitejas lēmums saskan arī ar citām Savienības politikas jomām, īpaši attiecībā uz mērķi aizsargāt ES iekšējā tirgus viendabīgumu.</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rPr>
        <w:t>•</w:t>
      </w:r>
      <w:r>
        <w:rPr>
          <w:noProof/>
        </w:rPr>
        <w:tab/>
        <w:t>Juridiskais pamats</w:t>
      </w:r>
    </w:p>
    <w:p>
      <w:pPr>
        <w:rPr>
          <w:noProof/>
        </w:rPr>
      </w:pPr>
      <w:r>
        <w:rPr>
          <w:noProof/>
        </w:rPr>
        <w:t>Priekšlikuma pamatā ir LESD 114. pants saistībā ar tā 218. panta 9. punktu. Padomes Regulas (EK) Nr. 2894/94</w:t>
      </w:r>
      <w:r>
        <w:rPr>
          <w:rStyle w:val="FootnoteReference"/>
          <w:noProof/>
        </w:rPr>
        <w:footnoteReference w:id="1"/>
      </w:r>
      <w:r>
        <w:rPr>
          <w:noProof/>
        </w:rPr>
        <w:t xml:space="preserve"> par EEZ līguma īstenošanas kārtību 1. panta 3. punktā ir paredzēts, ka Padome pēc Komisijas priekšlikuma šādiem lēmumiem izstrādā Savienības nostāju. </w:t>
      </w:r>
    </w:p>
    <w:p>
      <w:pPr>
        <w:pStyle w:val="ManualHeading2"/>
        <w:rPr>
          <w:rFonts w:eastAsia="Arial Unicode MS"/>
          <w:noProof/>
          <w:u w:color="000000"/>
          <w:bdr w:val="nil"/>
        </w:rPr>
      </w:pPr>
      <w:r>
        <w:rPr>
          <w:noProof/>
        </w:rPr>
        <w:t>•</w:t>
      </w:r>
      <w:r>
        <w:rPr>
          <w:noProof/>
        </w:rPr>
        <w:tab/>
        <w:t xml:space="preserve">Subsidiaritāte (neekskluzīvas kompetences gadījumā) </w:t>
      </w:r>
    </w:p>
    <w:p>
      <w:pPr>
        <w:rPr>
          <w:rFonts w:cs="EUAlbertina"/>
          <w:noProof/>
          <w:color w:val="000000"/>
        </w:rPr>
      </w:pPr>
      <w:r>
        <w:rPr>
          <w:noProof/>
        </w:rPr>
        <w:t>Priekšlikums ir saskaņā ar subsidiaritātes principu šāda iemesla dēļ.</w:t>
      </w:r>
    </w:p>
    <w:p>
      <w:pPr>
        <w:pBdr>
          <w:top w:val="nil"/>
          <w:left w:val="nil"/>
          <w:bottom w:val="nil"/>
          <w:right w:val="nil"/>
          <w:between w:val="nil"/>
          <w:bar w:val="nil"/>
        </w:pBdr>
        <w:spacing w:before="0" w:after="240"/>
        <w:rPr>
          <w:rFonts w:eastAsia="Arial Unicode MS"/>
          <w:noProof/>
        </w:rPr>
      </w:pPr>
      <w:r>
        <w:rPr>
          <w:noProof/>
          <w:color w:val="000000"/>
        </w:rPr>
        <w:t>Šā priekšlikuma mērķi, proti, nodrošināt iekšējā tirgus viendabīgumu, nevar pietiekami labi sasniegt dalībvalstīs, bet tā ietekmes dēļ var labāk sasniegt Savienības līmenī.</w:t>
      </w:r>
    </w:p>
    <w:p>
      <w:pPr>
        <w:pStyle w:val="ManualHeading2"/>
        <w:rPr>
          <w:rFonts w:eastAsia="Arial Unicode MS"/>
          <w:noProof/>
          <w:u w:color="000000"/>
          <w:bdr w:val="nil"/>
        </w:rPr>
      </w:pPr>
      <w:r>
        <w:rPr>
          <w:noProof/>
        </w:rPr>
        <w:t>•</w:t>
      </w:r>
      <w:r>
        <w:rPr>
          <w:noProof/>
        </w:rPr>
        <w:tab/>
        <w:t>Proporcionalitāte</w:t>
      </w:r>
    </w:p>
    <w:p>
      <w:pPr>
        <w:pBdr>
          <w:top w:val="nil"/>
          <w:left w:val="nil"/>
          <w:bottom w:val="nil"/>
          <w:right w:val="nil"/>
          <w:between w:val="nil"/>
          <w:bar w:val="nil"/>
        </w:pBdr>
        <w:spacing w:before="0" w:after="240"/>
        <w:rPr>
          <w:rFonts w:eastAsia="Arial Unicode MS"/>
          <w:noProof/>
        </w:rPr>
      </w:pPr>
      <w:r>
        <w:rPr>
          <w:noProof/>
          <w:color w:val="000000"/>
        </w:rPr>
        <w:t>Saskaņā ar proporcionalitātes principu šis priekšlikums paredz tikai tos pasākumus, kas ir nepieciešami, lai sasniegtu tā mērķi — nodrošināt iekšējā tirgus viendabīgumu.</w:t>
      </w:r>
    </w:p>
    <w:p>
      <w:pPr>
        <w:pStyle w:val="ManualHeading2"/>
        <w:rPr>
          <w:rFonts w:eastAsia="Arial Unicode MS"/>
          <w:noProof/>
          <w:u w:color="000000"/>
          <w:bdr w:val="nil"/>
        </w:rPr>
      </w:pPr>
      <w:r>
        <w:rPr>
          <w:noProof/>
        </w:rPr>
        <w:t>•</w:t>
      </w:r>
      <w:r>
        <w:rPr>
          <w:noProof/>
        </w:rPr>
        <w:tab/>
        <w:t>Juridiskā instrumenta izvēle</w:t>
      </w:r>
    </w:p>
    <w:p>
      <w:pPr>
        <w:pBdr>
          <w:top w:val="nil"/>
          <w:left w:val="nil"/>
          <w:bottom w:val="nil"/>
          <w:right w:val="nil"/>
          <w:between w:val="nil"/>
          <w:bar w:val="nil"/>
        </w:pBdr>
        <w:spacing w:before="0" w:after="240"/>
        <w:rPr>
          <w:rFonts w:eastAsia="Arial Unicode MS"/>
          <w:noProof/>
        </w:rPr>
      </w:pPr>
      <w:r>
        <w:rPr>
          <w:noProof/>
        </w:rPr>
        <w:t>Saskaņā ar EEZ līguma 98. pantu izvēlētais juridiskais instruments ir EEZ Apvienotās komitejas lēmums. EEZ Apvienotā komiteja nodrošina EEZ līguma faktisko īstenošanu un darbību. Lai sasniegtu šo mērķi, tā pieņem lēmumus līgumā paredzētajos gadījumos.</w:t>
      </w:r>
    </w:p>
    <w:p>
      <w:pPr>
        <w:pStyle w:val="ManualHeading1"/>
        <w:rPr>
          <w:noProof/>
        </w:rPr>
      </w:pPr>
      <w:r>
        <w:rPr>
          <w:noProof/>
        </w:rPr>
        <w:t>3.</w:t>
      </w:r>
      <w:r>
        <w:rPr>
          <w:noProof/>
        </w:rPr>
        <w:tab/>
      </w:r>
      <w:r>
        <w:rPr>
          <w:i/>
          <w:noProof/>
        </w:rPr>
        <w:t>EX POST</w:t>
      </w:r>
      <w:r>
        <w:rPr>
          <w:noProof/>
        </w:rPr>
        <w:t xml:space="preserve"> IZVĒRTĒJUMU, APSPRIEŠANĀS AR IEINTERESĒTAJĀM PERSONĀM UN IETEKMES NOVĒRTĒJUMU REZULTĀTI</w:t>
      </w:r>
    </w:p>
    <w:p>
      <w:pPr>
        <w:pBdr>
          <w:top w:val="nil"/>
          <w:left w:val="nil"/>
          <w:bottom w:val="nil"/>
          <w:right w:val="nil"/>
          <w:between w:val="nil"/>
          <w:bar w:val="nil"/>
        </w:pBdr>
        <w:spacing w:before="0" w:after="240"/>
        <w:rPr>
          <w:rFonts w:eastAsia="Arial Unicode MS"/>
          <w:noProof/>
        </w:rPr>
      </w:pPr>
      <w:r>
        <w:rPr>
          <w:noProof/>
        </w:rPr>
        <w:t>Neattiecas.</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noProof/>
        </w:rPr>
      </w:pPr>
      <w:r>
        <w:rPr>
          <w:noProof/>
        </w:rPr>
        <w:t xml:space="preserve">EEZ EBTA valstis sniedz finansiālu ieguldījumu Savienības budžetā, 33 02 03 01. budžeta pozīcijā “Uzņēmējdarbības tiesības”. Precīza summa tiks noteikta saskaņā ar EEZ līguma noteikumiem, līdzko šis Padomes lēmuma projekts būs pieņemts. </w:t>
      </w:r>
    </w:p>
    <w:p>
      <w:pPr>
        <w:pStyle w:val="ManualHeading1"/>
        <w:rPr>
          <w:noProof/>
        </w:rPr>
      </w:pPr>
      <w:r>
        <w:rPr>
          <w:noProof/>
        </w:rPr>
        <w:t>5.</w:t>
      </w:r>
      <w:r>
        <w:rPr>
          <w:noProof/>
        </w:rPr>
        <w:tab/>
        <w:t>CITI ELEMENTI</w:t>
      </w:r>
    </w:p>
    <w:p>
      <w:pPr>
        <w:pBdr>
          <w:top w:val="nil"/>
          <w:left w:val="nil"/>
          <w:bottom w:val="nil"/>
          <w:right w:val="nil"/>
          <w:between w:val="nil"/>
          <w:bar w:val="nil"/>
        </w:pBdr>
        <w:spacing w:before="0" w:after="240"/>
        <w:rPr>
          <w:noProof/>
        </w:rPr>
      </w:pPr>
      <w:r>
        <w:rPr>
          <w:noProof/>
        </w:rPr>
        <w:t>Saskaņā ar ES budžeta politiku līdzdalība ES darbībās var notikt tikai tad, ja ir veikta attiecīga finanšu iemaksa. Tomēr saskaņā ar EEZ līguma 32. protokolu ikgadējā finanšu iemaksa no EEZ EBTA valstīm tiek samaksāta ik gadu līdz 31. augustam pēc tam, kad Eiropas Komisijas sagatavotais ES aicinājums veikt iemaksas līdz 15. augustam tiek iesniegts EEZ EBTA valstīm.</w:t>
      </w:r>
    </w:p>
    <w:p>
      <w:pPr>
        <w:pBdr>
          <w:top w:val="nil"/>
          <w:left w:val="nil"/>
          <w:bottom w:val="nil"/>
          <w:right w:val="nil"/>
          <w:between w:val="nil"/>
          <w:bar w:val="nil"/>
        </w:pBdr>
        <w:spacing w:before="0" w:after="240"/>
        <w:rPr>
          <w:noProof/>
        </w:rPr>
      </w:pPr>
      <w:r>
        <w:rPr>
          <w:noProof/>
        </w:rPr>
        <w:t>Tādēļ, lai aptvertu laikposmu no janvāra līdz augustam, Apvienotās komitejas lēmuma projektu ar atpakaļejošu spēku piemēro no janvāra. Tādējādi visa kalendārā gada laikā tiek nodrošināta sadarbības nepārtrauktība, kā paredzēts EEZ līgumā.</w:t>
      </w:r>
    </w:p>
    <w:p>
      <w:pPr>
        <w:pBdr>
          <w:top w:val="nil"/>
          <w:left w:val="nil"/>
          <w:bottom w:val="nil"/>
          <w:right w:val="nil"/>
          <w:between w:val="nil"/>
          <w:bar w:val="nil"/>
        </w:pBdr>
        <w:spacing w:before="0" w:after="240"/>
        <w:rPr>
          <w:rFonts w:eastAsia="Arial Unicode MS"/>
          <w:noProof/>
        </w:rPr>
      </w:pPr>
      <w:r>
        <w:rPr>
          <w:noProof/>
        </w:rPr>
        <w:t>Lēmuma piemērošana ar atpakaļejošu spēku neietekmē attiecīgo personu tiesības un pienākumus, un tiek ievērots tiesiskās paļāvības princips.</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2019/0115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par nostāju, kas Eiropas Savienības vārdā jāieņem</w:t>
      </w:r>
      <w:r>
        <w:rPr>
          <w:noProof/>
        </w:rPr>
        <w:br/>
        <w:t>EEZ Apvienotajā komitejā attiecībā uz grozījumu EEZ līguma 31. protokolā par sadarbību īpašās jomās, kas nav četras pamatbrīvības</w:t>
      </w:r>
      <w:r>
        <w:rPr>
          <w:noProof/>
        </w:rPr>
        <w:br/>
      </w:r>
      <w:r>
        <w:rPr>
          <w:noProof/>
        </w:rPr>
        <w:br/>
        <w:t>(33 02 03 01. budžeta pozīcija - Uzņēmējdarbības tiesības)</w:t>
      </w:r>
    </w:p>
    <w:p>
      <w:pPr>
        <w:pStyle w:val="IntrtEEE"/>
        <w:rPr>
          <w:noProof/>
        </w:rPr>
      </w:pPr>
      <w:r>
        <w:rPr>
          <w:noProof/>
        </w:rPr>
        <w:t>(Dokuments attiecas uz EEZ)</w:t>
      </w:r>
    </w:p>
    <w:p>
      <w:pPr>
        <w:pStyle w:val="Institutionquiagit"/>
        <w:rPr>
          <w:noProof/>
        </w:rPr>
      </w:pPr>
      <w:r>
        <w:rPr>
          <w:noProof/>
        </w:rPr>
        <w:t>EIROPAS SAVIENĪBAS PADOME,</w:t>
      </w:r>
    </w:p>
    <w:p>
      <w:pPr>
        <w:rPr>
          <w:noProof/>
        </w:rPr>
      </w:pPr>
      <w:r>
        <w:rPr>
          <w:noProof/>
        </w:rPr>
        <w:t>ņemot vērā Līgumu par Eiropas Savienības darbību un jo īpaši tā 114. pantu saistībā ar tā 218. panta 9. punktu,</w:t>
      </w:r>
    </w:p>
    <w:p>
      <w:pPr>
        <w:rPr>
          <w:noProof/>
        </w:rPr>
      </w:pPr>
      <w:r>
        <w:rPr>
          <w:noProof/>
        </w:rPr>
        <w:t>ņemot vērā Padomes Regulu (EK) Nr. 2894/94 (1994. gada 28. novembris) par Eiropas Ekonomikas zonas līguma īstenošanas kārtību</w:t>
      </w:r>
      <w:r>
        <w:rPr>
          <w:rStyle w:val="FootnoteReference"/>
          <w:noProof/>
        </w:rPr>
        <w:footnoteReference w:id="2"/>
      </w:r>
      <w:r>
        <w:rPr>
          <w:noProof/>
        </w:rPr>
        <w:t xml:space="preserve"> un jo īpaši tās 1. panta 3. punktu,</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Līgums par Eiropas Ekonomikas zonu</w:t>
      </w:r>
      <w:r>
        <w:rPr>
          <w:rStyle w:val="FootnoteReference"/>
          <w:noProof/>
        </w:rPr>
        <w:footnoteReference w:id="3"/>
      </w:r>
      <w:r>
        <w:rPr>
          <w:noProof/>
        </w:rPr>
        <w:t xml:space="preserve"> (“EEZ līgums”) stājās spēkā 1994. gada 1. janvārī.</w:t>
      </w:r>
    </w:p>
    <w:p>
      <w:pPr>
        <w:pStyle w:val="ManualConsidrant"/>
        <w:rPr>
          <w:noProof/>
        </w:rPr>
      </w:pPr>
      <w:r>
        <w:t>(2)</w:t>
      </w:r>
      <w:r>
        <w:tab/>
      </w:r>
      <w:r>
        <w:rPr>
          <w:noProof/>
        </w:rPr>
        <w:t>Ievērojot EEZ līguma 98. pantu, EEZ Apvienotā komiteja cita starpā var lemt par EEZ līguma 31. protokola grozīšanu.</w:t>
      </w:r>
    </w:p>
    <w:p>
      <w:pPr>
        <w:pStyle w:val="ManualConsidrant"/>
        <w:rPr>
          <w:noProof/>
        </w:rPr>
      </w:pPr>
      <w:r>
        <w:t>(3)</w:t>
      </w:r>
      <w:r>
        <w:tab/>
      </w:r>
      <w:r>
        <w:rPr>
          <w:noProof/>
        </w:rPr>
        <w:t>EEZ līguma 31. protokolā ir ietverti noteikumi par sadarbību īpašās jomās, kas nav četras pamatbrīvības.</w:t>
      </w:r>
    </w:p>
    <w:p>
      <w:pPr>
        <w:pStyle w:val="ManualConsidrant"/>
        <w:rPr>
          <w:noProof/>
        </w:rPr>
      </w:pPr>
      <w:r>
        <w:t>(4)</w:t>
      </w:r>
      <w:r>
        <w:tab/>
      </w:r>
      <w:r>
        <w:rPr>
          <w:noProof/>
        </w:rPr>
        <w:t>Ir lietderīgi turpināt EEZ līguma Līgumslēdzēju pušu sadarbību attiecībā uz Savienības darbībām, ko finansē no Eiropas Savienības vispārējā budžeta, attiecībā uz uzņēmējdarbības tiesībām.</w:t>
      </w:r>
    </w:p>
    <w:p>
      <w:pPr>
        <w:pStyle w:val="ManualConsidrant"/>
        <w:rPr>
          <w:noProof/>
        </w:rPr>
      </w:pPr>
      <w:r>
        <w:t>(5)</w:t>
      </w:r>
      <w:r>
        <w:tab/>
      </w:r>
      <w:r>
        <w:rPr>
          <w:noProof/>
        </w:rPr>
        <w:t>Tādēļ, lai šo paplašināto sadarbību īstenotu no 2019. gada 1. janvāra, būtu jāgroza EEZ līguma 31. protokols.</w:t>
      </w:r>
    </w:p>
    <w:p>
      <w:pPr>
        <w:pStyle w:val="ManualConsidrant"/>
        <w:rPr>
          <w:noProof/>
        </w:rPr>
      </w:pPr>
      <w:r>
        <w:t>(6)</w:t>
      </w:r>
      <w:r>
        <w:tab/>
      </w:r>
      <w:r>
        <w:rPr>
          <w:noProof/>
        </w:rPr>
        <w:t>Savienības nostājas EEZ Apvienotajā komitejā pamatā vajadzētu būt pievienotajam lēmuma projektam,</w:t>
      </w:r>
    </w:p>
    <w:p>
      <w:pPr>
        <w:pStyle w:val="Formuledadoption"/>
        <w:rPr>
          <w:noProof/>
        </w:rPr>
      </w:pPr>
      <w:r>
        <w:rPr>
          <w:noProof/>
        </w:rPr>
        <w:t xml:space="preserve">IR PIEŅĒMUSI ŠO LĒMUMU. </w:t>
      </w:r>
    </w:p>
    <w:p>
      <w:pPr>
        <w:pStyle w:val="Titrearticle"/>
        <w:rPr>
          <w:noProof/>
        </w:rPr>
      </w:pPr>
      <w:r>
        <w:rPr>
          <w:noProof/>
        </w:rPr>
        <w:t>1. pants</w:t>
      </w:r>
    </w:p>
    <w:p>
      <w:pPr>
        <w:rPr>
          <w:noProof/>
        </w:rPr>
      </w:pPr>
      <w:r>
        <w:rPr>
          <w:noProof/>
        </w:rPr>
        <w:t>Nostājas, kura Savienības vārdā jāieņem EEZ Apvienotajā komitejā attiecībā uz ierosināto grozījumu EEZ līguma 31. protokolā par sadarbību īpašās jomās, kas nav četras pamatbrīvības, pamatā ir EEZ Apvienotās komitejas lēmuma projekts, kurš pievienots šim lēmumam.</w:t>
      </w:r>
    </w:p>
    <w:p>
      <w:pPr>
        <w:rPr>
          <w:noProof/>
        </w:rPr>
      </w:pPr>
    </w:p>
    <w:p>
      <w:pPr>
        <w:pStyle w:val="Titrearticle"/>
        <w:rPr>
          <w:noProof/>
        </w:rPr>
      </w:pPr>
      <w:r>
        <w:rPr>
          <w:noProof/>
        </w:rPr>
        <w:t>2. pants</w:t>
      </w:r>
    </w:p>
    <w:p>
      <w:pPr>
        <w:keepNext/>
        <w:keepLines/>
        <w:rPr>
          <w:noProof/>
        </w:rPr>
      </w:pPr>
      <w:r>
        <w:rPr>
          <w:noProof/>
        </w:rPr>
        <w:t>Šis lēmums stājas spēkā tā pieņemšanas dienā.</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nn-NO"/>
        </w:rPr>
      </w:pPr>
      <w:r>
        <w:rPr>
          <w:rStyle w:val="FootnoteReference"/>
        </w:rPr>
        <w:footnoteRef/>
      </w:r>
      <w:r>
        <w:tab/>
        <w:t>OV L 305, 30.11.1994., 6.–8. lpp.</w:t>
      </w:r>
    </w:p>
  </w:footnote>
  <w:footnote w:id="2">
    <w:p>
      <w:pPr>
        <w:pStyle w:val="FootnoteText"/>
        <w:rPr>
          <w:lang w:val="nn-NO"/>
        </w:rPr>
      </w:pPr>
      <w:r>
        <w:rPr>
          <w:rStyle w:val="FootnoteReference"/>
        </w:rPr>
        <w:footnoteRef/>
      </w:r>
      <w:r>
        <w:tab/>
        <w:t>OV L 305, 30.11.1994., 6. lpp.</w:t>
      </w:r>
    </w:p>
  </w:footnote>
  <w:footnote w:id="3">
    <w:p>
      <w:pPr>
        <w:pStyle w:val="FootnoteText"/>
        <w:rPr>
          <w:lang w:val="pl-PL"/>
        </w:rPr>
      </w:pPr>
      <w:r>
        <w:rPr>
          <w:rStyle w:val="FootnoteReference"/>
        </w:rPr>
        <w:footnoteRef/>
      </w:r>
      <w:r>
        <w:tab/>
        <w:t xml:space="preserve">OV L 1, 3.1.1994., 3. lpp.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FCED8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2A4CF1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7895EC"/>
    <w:lvl w:ilvl="0">
      <w:start w:val="1"/>
      <w:numFmt w:val="decimal"/>
      <w:pStyle w:val="ListNumber2"/>
      <w:lvlText w:val="%1."/>
      <w:lvlJc w:val="left"/>
      <w:pPr>
        <w:tabs>
          <w:tab w:val="num" w:pos="643"/>
        </w:tabs>
        <w:ind w:left="643" w:hanging="360"/>
      </w:pPr>
    </w:lvl>
  </w:abstractNum>
  <w:abstractNum w:abstractNumId="3">
    <w:nsid w:val="FFFFFF81"/>
    <w:multiLevelType w:val="singleLevel"/>
    <w:tmpl w:val="8D9AB4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5AE27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B8C6E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AE2C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9F3C57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2"/>
  </w:num>
  <w:num w:numId="15">
    <w:abstractNumId w:val="21"/>
  </w:num>
  <w:num w:numId="16">
    <w:abstractNumId w:val="22"/>
    <w:lvlOverride w:ilvl="0">
      <w:startOverride w:val="1"/>
    </w:lvlOverride>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2 16:35: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0FC74FAC-0107-4247-BAAC-4E80A14A7323"/>
    <w:docVar w:name="LW_COVERPAGE_TYPE" w:val="1"/>
    <w:docVar w:name="LW_CROSSREFERENCE" w:val="&lt;UNUSED&gt;"/>
    <w:docVar w:name="LW_DocType" w:val="COM"/>
    <w:docVar w:name="LW_EMISSION" w:val="27.5.2019"/>
    <w:docVar w:name="LW_EMISSION_ISODATE" w:val="2019-05-27"/>
    <w:docVar w:name="LW_EMISSION_LOCATION" w:val="BRX"/>
    <w:docVar w:name="LW_EMISSION_PREFIX" w:val="Briselē, "/>
    <w:docVar w:name="LW_EMISSION_SUFFIX" w:val="."/>
    <w:docVar w:name="LW_ID_DOCMODEL" w:val="SJ-019"/>
    <w:docVar w:name="LW_ID_DOCSIGNATURE" w:val="SJ-019"/>
    <w:docVar w:name="LW_ID_DOCSTRUCTURE" w:val="COM/PL/ORG"/>
    <w:docVar w:name="LW_ID_DOCTYPE" w:val="SJ-019"/>
    <w:docVar w:name="LW_ID_EXP.MOTIFS.NEW" w:val="EM_PL_"/>
    <w:docVar w:name="LW_ID_STATUT" w:val="SJ-019"/>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115"/>
    <w:docVar w:name="LW_REF.II.NEW.CP_YEAR" w:val="2019"/>
    <w:docVar w:name="LW_REF.INST.NEW" w:val="COM"/>
    <w:docVar w:name="LW_REF.INST.NEW_ADOPTED" w:val="final"/>
    <w:docVar w:name="LW_REF.INST.NEW_TEXT" w:val="(2019) 24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iek\u353?likums"/>
    <w:docVar w:name="LW_SUPERTITRE" w:val="&lt;UNUSED&gt;"/>
    <w:docVar w:name="LW_TITRE.OBJ.CP" w:val="par nost\u257?ju, kas Eiropas Savien\u299?bas v\u257?rd\u257? j\u257?ie\u326?em_x000b_EEZ Apvienotaj\u257? komitej\u257? attiec\u299?b\u257? uz groz\u299?jumu EEZ l\u299?guma 31. protokol\u257? par sadarb\u299?bu \u299?pa\u353?\u257?s jom\u257?s, kas nav \u269?etras pamatbr\u299?v\u299?bas_x000b__x000b_(33 02 03 01. bud\u382?eta poz\u299?cija - Uz\u326?\u275?m\u275?jdarb\u299?bas ties\u299?bas)"/>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8"/>
      </w:numPr>
      <w:contextualSpacing/>
    </w:pPr>
  </w:style>
  <w:style w:type="paragraph" w:styleId="ListBullet3">
    <w:name w:val="List Bullet 3"/>
    <w:basedOn w:val="Normal"/>
    <w:uiPriority w:val="99"/>
    <w:semiHidden/>
    <w:unhideWhenUsed/>
    <w:pPr>
      <w:numPr>
        <w:numId w:val="19"/>
      </w:numPr>
      <w:contextualSpacing/>
    </w:pPr>
  </w:style>
  <w:style w:type="paragraph" w:styleId="ListBullet4">
    <w:name w:val="List Bullet 4"/>
    <w:basedOn w:val="Normal"/>
    <w:uiPriority w:val="99"/>
    <w:semiHidden/>
    <w:unhideWhenUsed/>
    <w:pPr>
      <w:numPr>
        <w:numId w:val="20"/>
      </w:numPr>
      <w:contextualSpacing/>
    </w:pPr>
  </w:style>
  <w:style w:type="paragraph" w:styleId="ListNumber">
    <w:name w:val="List Number"/>
    <w:basedOn w:val="Normal"/>
    <w:uiPriority w:val="99"/>
    <w:semiHidden/>
    <w:unhideWhenUsed/>
    <w:pPr>
      <w:numPr>
        <w:numId w:val="21"/>
      </w:numPr>
      <w:contextualSpacing/>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7"/>
      </w:numPr>
      <w:contextualSpacing/>
    </w:pPr>
  </w:style>
  <w:style w:type="paragraph" w:styleId="ListBullet2">
    <w:name w:val="List Bullet 2"/>
    <w:basedOn w:val="Normal"/>
    <w:uiPriority w:val="99"/>
    <w:semiHidden/>
    <w:unhideWhenUsed/>
    <w:pPr>
      <w:numPr>
        <w:numId w:val="18"/>
      </w:numPr>
      <w:contextualSpacing/>
    </w:pPr>
  </w:style>
  <w:style w:type="paragraph" w:styleId="ListBullet3">
    <w:name w:val="List Bullet 3"/>
    <w:basedOn w:val="Normal"/>
    <w:uiPriority w:val="99"/>
    <w:semiHidden/>
    <w:unhideWhenUsed/>
    <w:pPr>
      <w:numPr>
        <w:numId w:val="19"/>
      </w:numPr>
      <w:contextualSpacing/>
    </w:pPr>
  </w:style>
  <w:style w:type="paragraph" w:styleId="ListBullet4">
    <w:name w:val="List Bullet 4"/>
    <w:basedOn w:val="Normal"/>
    <w:uiPriority w:val="99"/>
    <w:semiHidden/>
    <w:unhideWhenUsed/>
    <w:pPr>
      <w:numPr>
        <w:numId w:val="20"/>
      </w:numPr>
      <w:contextualSpacing/>
    </w:pPr>
  </w:style>
  <w:style w:type="paragraph" w:styleId="ListNumber">
    <w:name w:val="List Number"/>
    <w:basedOn w:val="Normal"/>
    <w:uiPriority w:val="99"/>
    <w:semiHidden/>
    <w:unhideWhenUsed/>
    <w:pPr>
      <w:numPr>
        <w:numId w:val="21"/>
      </w:numPr>
      <w:contextualSpacing/>
    </w:pPr>
  </w:style>
  <w:style w:type="paragraph" w:styleId="ListNumber2">
    <w:name w:val="List Number 2"/>
    <w:basedOn w:val="Normal"/>
    <w:uiPriority w:val="99"/>
    <w:semiHidden/>
    <w:unhideWhenUsed/>
    <w:pPr>
      <w:numPr>
        <w:numId w:val="22"/>
      </w:numPr>
      <w:contextualSpacing/>
    </w:pPr>
  </w:style>
  <w:style w:type="paragraph" w:styleId="ListNumber3">
    <w:name w:val="List Number 3"/>
    <w:basedOn w:val="Normal"/>
    <w:uiPriority w:val="99"/>
    <w:semiHidden/>
    <w:unhideWhenUsed/>
    <w:pPr>
      <w:numPr>
        <w:numId w:val="23"/>
      </w:numPr>
      <w:contextualSpacing/>
    </w:pPr>
  </w:style>
  <w:style w:type="paragraph" w:styleId="ListNumber4">
    <w:name w:val="List Number 4"/>
    <w:basedOn w:val="Normal"/>
    <w:uiPriority w:val="99"/>
    <w:semiHidden/>
    <w:unhideWhenUsed/>
    <w:pPr>
      <w:numPr>
        <w:numId w:val="2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6</TotalTime>
  <Pages>5</Pages>
  <Words>760</Words>
  <Characters>4901</Characters>
  <Application>Microsoft Office Word</Application>
  <DocSecurity>0</DocSecurity>
  <Lines>104</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2019-05-14T08:35:00Z</dcterms:created>
  <dcterms:modified xsi:type="dcterms:W3CDTF">2019-05-22T14:35:00Z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