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803D5633-384B-4A2D-B9E2-EF914BD7858F" style="width:450.75pt;height:450pt">
            <v:imagedata r:id="rId8" o:title=""/>
          </v:shape>
        </w:pict>
      </w:r>
    </w:p>
    <w:p>
      <w:pPr>
        <w:rPr>
          <w:noProof/>
        </w:rPr>
        <w:sectPr>
          <w:headerReference w:type="even" r:id="rId9"/>
          <w:headerReference w:type="default" r:id="rId10"/>
          <w:footerReference w:type="even" r:id="rId11"/>
          <w:footerReference w:type="default" r:id="rId12"/>
          <w:headerReference w:type="first" r:id="rId13"/>
          <w:footerReference w:type="first" r:id="rId14"/>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ΑΙΤΙΟΛΟΓΙΚΗ ΕΚΘΕΣΗ</w:t>
      </w:r>
    </w:p>
    <w:p>
      <w:pPr>
        <w:pStyle w:val="ManualHeading1"/>
        <w:rPr>
          <w:noProof/>
        </w:rPr>
      </w:pPr>
      <w:r>
        <w:rPr>
          <w:noProof/>
        </w:rPr>
        <w:t>1.</w:t>
      </w:r>
      <w:r>
        <w:rPr>
          <w:noProof/>
        </w:rPr>
        <w:tab/>
        <w:t>ΠΛΑΙΣΙΟ ΤΗΣ ΠΡΟΤΑΣΗΣ</w:t>
      </w:r>
    </w:p>
    <w:p>
      <w:pPr>
        <w:pStyle w:val="ManualHeading2"/>
        <w:rPr>
          <w:rFonts w:eastAsia="Arial Unicode MS"/>
          <w:noProof/>
        </w:rPr>
      </w:pPr>
      <w:r>
        <w:rPr>
          <w:noProof/>
          <w:color w:val="000000"/>
          <w:u w:color="000000"/>
          <w:bdr w:val="nil"/>
        </w:rPr>
        <w:t>•</w:t>
      </w:r>
      <w:r>
        <w:rPr>
          <w:noProof/>
          <w:color w:val="000000"/>
          <w:u w:color="000000"/>
          <w:bdr w:val="nil"/>
        </w:rPr>
        <w:tab/>
      </w:r>
      <w:r>
        <w:rPr>
          <w:noProof/>
        </w:rPr>
        <w:t>Αιτιολόγηση και στόχοι της πρότασης</w:t>
      </w:r>
    </w:p>
    <w:p>
      <w:pPr>
        <w:rPr>
          <w:noProof/>
        </w:rPr>
      </w:pPr>
      <w:r>
        <w:rPr>
          <w:noProof/>
        </w:rPr>
        <w:t>Για να διασφαλιστεί η απαιτούμενη ασφάλεια δικαίου και ομοιογένεια της εσωτερικής αγοράς, η Μεικτή Επιτροπή του ΕΟΧ οφείλει να ενσωματώνει όλη τη σχετική νομοθεσία της ΕΕ στη συμφωνία ΕΟΧ το συντομότερο δυνατό μετά τη θέσπισή της και να επιτρέπει επίσης τη συμμετοχή των κρατών ΕΖΕΣ του ΕΟΧ σε δράσεις ή προγράμματα της ΕΕ που αφορούν τον ΕΟΧ.</w:t>
      </w:r>
    </w:p>
    <w:p>
      <w:pPr>
        <w:pBdr>
          <w:top w:val="nil"/>
          <w:left w:val="nil"/>
          <w:bottom w:val="nil"/>
          <w:right w:val="nil"/>
          <w:between w:val="nil"/>
          <w:bar w:val="nil"/>
        </w:pBdr>
        <w:spacing w:before="0" w:after="240"/>
        <w:rPr>
          <w:rFonts w:eastAsia="Arial Unicode MS"/>
          <w:noProof/>
        </w:rPr>
      </w:pPr>
      <w:r>
        <w:rPr>
          <w:noProof/>
        </w:rPr>
        <w:t>Το σχέδιο απόφασης της Μεικτής Επιτροπής του ΕΟΧ (που επισυνάπτεται στην πρόταση απόφασης του Συμβουλίου) αποσκοπεί στην τροποποίηση του πρωτοκόλλου 31 της συμφωνίας ΕΟΧ σχετικά με τη «συνεργασία σε ειδικούς τομείς εκτός του πλαισίου των τεσσάρων ελευθεριών». Αυτό είναι απαραίτητο προκειμένου να μπορούν τα κράτη ΕΖΕΣ του ΕΟΧ να συμμετέχουν στα προγράμματα και τις δράσεις της Ένωσης που χρηματοδοτούνται από τις γραμμές του γενικού προϋπολογισμού της Ευρωπαϊκής Ένωσης. Εν προκειμένω, σκοπός της παρούσας τροποποίησης είναι να μπορέσουν τα κράτη ΕΖΕΣ του ΕΟΧ (Νορβηγία, Ισλανδία και Λιχτενστάιν) να συμμετάσχουν στις δράσεις της Ένωσης που σχετίζονται με τη γραμμή 33 02 03 01 του προϋπολογισμού: «Εταιρικό δίκαιο», που έχει εγγραφεί στον γενικό προϋπολογισμό της Ευρωπαϊκής Ένωσης για το οικονομικό έτος 2019.</w:t>
      </w:r>
    </w:p>
    <w:p>
      <w:pPr>
        <w:pStyle w:val="ManualHeading2"/>
        <w:rPr>
          <w:rFonts w:eastAsia="Arial Unicode MS"/>
          <w:noProof/>
          <w:color w:val="000000"/>
          <w:u w:color="000000"/>
          <w:bdr w:val="nil"/>
        </w:rPr>
      </w:pPr>
      <w:r>
        <w:rPr>
          <w:noProof/>
          <w:color w:val="000000"/>
          <w:u w:color="000000"/>
          <w:bdr w:val="nil"/>
        </w:rPr>
        <w:t>•</w:t>
      </w:r>
      <w:r>
        <w:rPr>
          <w:noProof/>
          <w:color w:val="000000"/>
          <w:u w:color="000000"/>
          <w:bdr w:val="nil"/>
        </w:rPr>
        <w:tab/>
      </w:r>
      <w:r>
        <w:rPr>
          <w:noProof/>
        </w:rPr>
        <w:t>Συνέπεια με τις ισχύουσες διατάξεις στον τομέα πολιτικής</w:t>
      </w:r>
    </w:p>
    <w:p>
      <w:pPr>
        <w:pBdr>
          <w:top w:val="nil"/>
          <w:left w:val="nil"/>
          <w:bottom w:val="nil"/>
          <w:right w:val="nil"/>
          <w:between w:val="nil"/>
          <w:bar w:val="nil"/>
        </w:pBdr>
        <w:spacing w:before="0" w:after="240"/>
        <w:rPr>
          <w:rFonts w:eastAsia="Arial Unicode MS"/>
          <w:noProof/>
        </w:rPr>
      </w:pPr>
      <w:r>
        <w:rPr>
          <w:noProof/>
        </w:rPr>
        <w:t>Το συνημμένο σχέδιο απόφασης της Μεικτής Επιτροπής συνάδει πλήρως με τον στόχο της συμφωνίας ΕΟΧ που συνίσταται στην προώθηση της συνεχούς και ισόρροπης ενίσχυσης των εμπορικών και οικονομικών σχέσεων μεταξύ των συμβαλλόμενων μερών με ίσους όρους ανταγωνισμού και την τήρηση των ιδίων κανόνων, με σκοπό τη δημιουργία ομοιογενούς Ευρωπαϊκού Οικονομικού Χώρου.</w:t>
      </w:r>
    </w:p>
    <w:p>
      <w:pPr>
        <w:pStyle w:val="ManualHeading2"/>
        <w:rPr>
          <w:rFonts w:eastAsia="Arial Unicode MS"/>
          <w:noProof/>
        </w:rPr>
      </w:pPr>
      <w:r>
        <w:rPr>
          <w:noProof/>
          <w:color w:val="000000"/>
          <w:u w:color="000000"/>
          <w:bdr w:val="nil"/>
        </w:rPr>
        <w:t>•</w:t>
      </w:r>
      <w:r>
        <w:rPr>
          <w:noProof/>
          <w:color w:val="000000"/>
          <w:u w:color="000000"/>
          <w:bdr w:val="nil"/>
        </w:rPr>
        <w:tab/>
      </w:r>
      <w:r>
        <w:rPr>
          <w:noProof/>
        </w:rPr>
        <w:t>Συνέπεια με άλλες πολιτικές της Ένωσης</w:t>
      </w:r>
    </w:p>
    <w:p>
      <w:pPr>
        <w:pBdr>
          <w:top w:val="nil"/>
          <w:left w:val="nil"/>
          <w:bottom w:val="nil"/>
          <w:right w:val="nil"/>
          <w:between w:val="nil"/>
          <w:bar w:val="nil"/>
        </w:pBdr>
        <w:spacing w:before="0" w:after="240"/>
        <w:rPr>
          <w:rFonts w:eastAsia="Arial Unicode MS"/>
          <w:noProof/>
        </w:rPr>
      </w:pPr>
      <w:r>
        <w:rPr>
          <w:noProof/>
        </w:rPr>
        <w:t>Η απόφαση της Μεικτής Επιτροπής συνάδει επίσης με άλλες πολιτικές της Ένωσης, με σκοπό ιδίως την προστασία της ομοιογένειας της εσωτερικής αγοράς της ΕΕ.</w:t>
      </w:r>
    </w:p>
    <w:p>
      <w:pPr>
        <w:pStyle w:val="ManualHeading1"/>
        <w:rPr>
          <w:noProof/>
        </w:rPr>
      </w:pPr>
      <w:r>
        <w:rPr>
          <w:noProof/>
        </w:rPr>
        <w:t>2.</w:t>
      </w:r>
      <w:r>
        <w:rPr>
          <w:noProof/>
        </w:rPr>
        <w:tab/>
        <w:t>ΝΟΜΙΚΗ ΒΑΣΗ, ΕΠΙΚΟΥΡΙΚΟΤΗΤΑ ΚΑΙ ΑΝΑΛΟΓΙΚΟΤΗΤΑ</w:t>
      </w:r>
    </w:p>
    <w:p>
      <w:pPr>
        <w:pStyle w:val="ManualHeading2"/>
        <w:rPr>
          <w:rFonts w:eastAsia="Arial Unicode MS"/>
          <w:noProof/>
          <w:u w:color="000000"/>
          <w:bdr w:val="nil"/>
        </w:rPr>
      </w:pPr>
      <w:r>
        <w:rPr>
          <w:noProof/>
          <w:u w:color="000000"/>
          <w:bdr w:val="nil"/>
        </w:rPr>
        <w:t>•</w:t>
      </w:r>
      <w:r>
        <w:rPr>
          <w:noProof/>
          <w:u w:color="000000"/>
          <w:bdr w:val="nil"/>
        </w:rPr>
        <w:tab/>
        <w:t>Νομική βάση</w:t>
      </w:r>
    </w:p>
    <w:p>
      <w:pPr>
        <w:rPr>
          <w:noProof/>
        </w:rPr>
      </w:pPr>
      <w:r>
        <w:rPr>
          <w:noProof/>
        </w:rPr>
        <w:t>Η πρόταση βασίζεται στο άρθρο 114 σε συνδυασμό με το άρθρο 218 παράγραφος 9 της ΣΛΕΕ. Το άρθρο 1 παράγραφος 3 του κανονισμού (ΕΚ) αριθ. 2894/94 του Συμβουλίου</w:t>
      </w:r>
      <w:r>
        <w:rPr>
          <w:rStyle w:val="FootnoteReference"/>
          <w:noProof/>
        </w:rPr>
        <w:footnoteReference w:id="1"/>
      </w:r>
      <w:r>
        <w:rPr>
          <w:noProof/>
        </w:rPr>
        <w:t xml:space="preserve"> σχετικά με ορισμένες λεπτομέρειες εφαρμογής της συμφωνίας ΕΟΧ προβλέπει ότι το Συμβούλιο καθορίζει τη θέση που πρέπει να ληφθεί εξ ονόματος της Ένωσης όσον αφορά τις αποφάσεις αυτές, κατόπιν πρότασης της Επιτροπής. </w:t>
      </w:r>
    </w:p>
    <w:p>
      <w:pPr>
        <w:pStyle w:val="ManualHeading2"/>
        <w:rPr>
          <w:rFonts w:eastAsia="Arial Unicode MS"/>
          <w:noProof/>
          <w:u w:color="000000"/>
          <w:bdr w:val="nil"/>
        </w:rPr>
      </w:pPr>
      <w:r>
        <w:rPr>
          <w:noProof/>
          <w:u w:color="000000"/>
          <w:bdr w:val="nil"/>
        </w:rPr>
        <w:t>•</w:t>
      </w:r>
      <w:r>
        <w:rPr>
          <w:noProof/>
          <w:u w:color="000000"/>
          <w:bdr w:val="nil"/>
        </w:rPr>
        <w:tab/>
        <w:t xml:space="preserve">Επικουρικότητα (σε περίπτωση μη αποκλειστικής αρμοδιότητας) </w:t>
      </w:r>
    </w:p>
    <w:p>
      <w:pPr>
        <w:rPr>
          <w:rFonts w:cs="EUAlbertina"/>
          <w:noProof/>
          <w:color w:val="000000"/>
        </w:rPr>
      </w:pPr>
      <w:r>
        <w:rPr>
          <w:noProof/>
        </w:rPr>
        <w:t xml:space="preserve">Η πρόταση συνάδει με την αρχή της επικουρικότητας για τον ακόλουθο λόγο. </w:t>
      </w:r>
      <w:r>
        <w:rPr>
          <w:noProof/>
          <w:color w:val="000000"/>
        </w:rPr>
        <w:t xml:space="preserve"> </w:t>
      </w:r>
    </w:p>
    <w:p>
      <w:pPr>
        <w:pBdr>
          <w:top w:val="nil"/>
          <w:left w:val="nil"/>
          <w:bottom w:val="nil"/>
          <w:right w:val="nil"/>
          <w:between w:val="nil"/>
          <w:bar w:val="nil"/>
        </w:pBdr>
        <w:spacing w:before="0" w:after="240"/>
        <w:rPr>
          <w:rFonts w:eastAsia="Arial Unicode MS"/>
          <w:noProof/>
        </w:rPr>
      </w:pPr>
      <w:r>
        <w:rPr>
          <w:noProof/>
          <w:color w:val="000000"/>
          <w:szCs w:val="24"/>
        </w:rPr>
        <w:t>Ο στόχος της παρούσας πρότασης, δηλαδή η εξασφάλιση της ομοιογένειας της εσωτερικής αγοράς, δεν είναι δυνατό να υλοποιηθεί επαρκώς από τα κράτη μέλη και δύναται, συνεπώς, λόγω των αποτελεσμάτων, να επιτευχθεί καλύτερα σε ενωσιακό επίπεδο.</w:t>
      </w:r>
    </w:p>
    <w:p>
      <w:pPr>
        <w:pStyle w:val="ManualHeading2"/>
        <w:rPr>
          <w:rFonts w:eastAsia="Arial Unicode MS"/>
          <w:noProof/>
          <w:u w:color="000000"/>
          <w:bdr w:val="nil"/>
        </w:rPr>
      </w:pPr>
      <w:r>
        <w:rPr>
          <w:noProof/>
          <w:u w:color="000000"/>
          <w:bdr w:val="nil"/>
        </w:rPr>
        <w:lastRenderedPageBreak/>
        <w:t>•</w:t>
      </w:r>
      <w:r>
        <w:rPr>
          <w:noProof/>
          <w:u w:color="000000"/>
          <w:bdr w:val="nil"/>
        </w:rPr>
        <w:tab/>
        <w:t>Αναλογικότητα</w:t>
      </w:r>
    </w:p>
    <w:p>
      <w:pPr>
        <w:pBdr>
          <w:top w:val="nil"/>
          <w:left w:val="nil"/>
          <w:bottom w:val="nil"/>
          <w:right w:val="nil"/>
          <w:between w:val="nil"/>
          <w:bar w:val="nil"/>
        </w:pBdr>
        <w:spacing w:before="0" w:after="240"/>
        <w:rPr>
          <w:rFonts w:eastAsia="Arial Unicode MS"/>
          <w:noProof/>
        </w:rPr>
      </w:pPr>
      <w:r>
        <w:rPr>
          <w:noProof/>
          <w:color w:val="000000"/>
          <w:szCs w:val="24"/>
        </w:rPr>
        <w:t>Σύμφωνα με την αρχή της αναλογικότητας, η πρόταση δεν υπερβαίνει τα αναγκαία για την επίτευξη του στόχου αυτού, που είναι η εξασφάλιση της ομοιογένειας της εσωτερικής αγοράς.</w:t>
      </w:r>
    </w:p>
    <w:p>
      <w:pPr>
        <w:pStyle w:val="ManualHeading2"/>
        <w:rPr>
          <w:rFonts w:eastAsia="Arial Unicode MS"/>
          <w:noProof/>
          <w:u w:color="000000"/>
          <w:bdr w:val="nil"/>
        </w:rPr>
      </w:pPr>
      <w:r>
        <w:rPr>
          <w:noProof/>
          <w:u w:color="000000"/>
          <w:bdr w:val="nil"/>
        </w:rPr>
        <w:t>•</w:t>
      </w:r>
      <w:r>
        <w:rPr>
          <w:noProof/>
          <w:u w:color="000000"/>
          <w:bdr w:val="nil"/>
        </w:rPr>
        <w:tab/>
        <w:t>Επιλογή της νομικής πράξης</w:t>
      </w:r>
    </w:p>
    <w:p>
      <w:pPr>
        <w:pBdr>
          <w:top w:val="nil"/>
          <w:left w:val="nil"/>
          <w:bottom w:val="nil"/>
          <w:right w:val="nil"/>
          <w:between w:val="nil"/>
          <w:bar w:val="nil"/>
        </w:pBdr>
        <w:spacing w:before="0" w:after="240"/>
        <w:rPr>
          <w:rFonts w:eastAsia="Arial Unicode MS"/>
          <w:noProof/>
        </w:rPr>
      </w:pPr>
      <w:r>
        <w:rPr>
          <w:noProof/>
        </w:rPr>
        <w:t>Σύμφωνα με το άρθρο 98 της συμφωνίας ΕΟΧ, η πράξη που επιλέγεται είναι η απόφαση της Μεικτής Επιτροπής του ΕΟΧ. Η Μεικτή Επιτροπή του ΕΟΧ διασφαλίζει την αποτελεσματική εφαρμογή και λειτουργία της συμφωνίας ΕΟΧ. Για τον σκοπό αυτό, λαμβάνει αποφάσεις στις περιπτώσεις που προβλέπονται στην εν λόγω συμφωνία.</w:t>
      </w:r>
    </w:p>
    <w:p>
      <w:pPr>
        <w:pStyle w:val="ManualHeading1"/>
        <w:rPr>
          <w:noProof/>
        </w:rPr>
      </w:pPr>
      <w:r>
        <w:rPr>
          <w:noProof/>
        </w:rPr>
        <w:t>3.</w:t>
      </w:r>
      <w:r>
        <w:rPr>
          <w:noProof/>
        </w:rPr>
        <w:tab/>
        <w:t>ΑΠΟΤΕΛΕΣΜΑΤΑ ΤΩΝ ΕΚ ΤΩΝ ΥΣΤΕΡΩΝ ΑΞΙΟΛΟΓΗΣΕΩΝ, ΤΩΝ ΔΙΑΒΟΥΛΕΥΣΕΩΝ ΜΕ ΤΑ ΕΝΔΙΑΦΕΡΟΜΕΝΑ ΜΕΡΗ ΚΑΙ ΤΩΝ ΕΚΤΙΜΗΣΕΩΝ ΕΠΙΠΤΩΣΕΩΝ</w:t>
      </w:r>
    </w:p>
    <w:p>
      <w:pPr>
        <w:pBdr>
          <w:top w:val="nil"/>
          <w:left w:val="nil"/>
          <w:bottom w:val="nil"/>
          <w:right w:val="nil"/>
          <w:between w:val="nil"/>
          <w:bar w:val="nil"/>
        </w:pBdr>
        <w:spacing w:before="0" w:after="240"/>
        <w:rPr>
          <w:rFonts w:eastAsia="Arial Unicode MS"/>
          <w:noProof/>
        </w:rPr>
      </w:pPr>
      <w:r>
        <w:rPr>
          <w:noProof/>
        </w:rPr>
        <w:t>Άνευ αντικειμένου.</w:t>
      </w:r>
    </w:p>
    <w:p>
      <w:pPr>
        <w:pStyle w:val="ManualHeading1"/>
        <w:rPr>
          <w:noProof/>
        </w:rPr>
      </w:pPr>
      <w:r>
        <w:rPr>
          <w:noProof/>
        </w:rPr>
        <w:t>4.</w:t>
      </w:r>
      <w:r>
        <w:rPr>
          <w:noProof/>
        </w:rPr>
        <w:tab/>
        <w:t>ΔΗΜΟΣΙΟΝΟΜΙΚΕΣ ΕΠΙΠΤΩΣΕΙΣ</w:t>
      </w:r>
    </w:p>
    <w:p>
      <w:pPr>
        <w:pBdr>
          <w:top w:val="nil"/>
          <w:left w:val="nil"/>
          <w:bottom w:val="nil"/>
          <w:right w:val="nil"/>
          <w:between w:val="nil"/>
          <w:bar w:val="nil"/>
        </w:pBdr>
        <w:spacing w:before="0" w:after="240"/>
        <w:rPr>
          <w:noProof/>
        </w:rPr>
      </w:pPr>
      <w:r>
        <w:rPr>
          <w:noProof/>
        </w:rPr>
        <w:t xml:space="preserve">Τα κράτη ΕΖΕΣ του ΕΟΧ συμβάλλουν οικονομικά στον προϋπολογισμό της Ένωσης, γραμμή 33 02 03 01: «Εταιρικό δίκαιο». Το ακριβές ποσό θα καθοριστεί σύμφωνα με τις διατάξεις της συμφωνίας ΕΟΧ, μόλις εγκριθεί το παρόν σχέδιο απόφασης του Συμβουλίου. </w:t>
      </w:r>
    </w:p>
    <w:p>
      <w:pPr>
        <w:pStyle w:val="ManualHeading1"/>
        <w:rPr>
          <w:noProof/>
        </w:rPr>
      </w:pPr>
      <w:r>
        <w:rPr>
          <w:noProof/>
        </w:rPr>
        <w:t>5.</w:t>
      </w:r>
      <w:r>
        <w:rPr>
          <w:noProof/>
        </w:rPr>
        <w:tab/>
        <w:t>ΛΟΙΠΑ ΣΤΟΙΧΕΙΑ</w:t>
      </w:r>
    </w:p>
    <w:p>
      <w:pPr>
        <w:pBdr>
          <w:top w:val="nil"/>
          <w:left w:val="nil"/>
          <w:bottom w:val="nil"/>
          <w:right w:val="nil"/>
          <w:between w:val="nil"/>
          <w:bar w:val="nil"/>
        </w:pBdr>
        <w:spacing w:before="0" w:after="240"/>
        <w:rPr>
          <w:noProof/>
        </w:rPr>
      </w:pPr>
      <w:r>
        <w:rPr>
          <w:noProof/>
        </w:rPr>
        <w:t>Σύμφωνα με τη δημοσιονομική πολιτική της ΕΕ, η συμμετοχή σε δραστηριότητες της ΕΕ είναι εφικτή μόνον εφόσον έχει καταβληθεί η αντίστοιχη οικονομική συνεισφορά. Εντούτοις, σύμφωνα με το πρωτόκολλο 32 της συμφωνίας ΕΟΧ, η ετήσια οικονομική συνεισφορά των κρατών ΕΖΕΣ του ΕΟΧ καταβάλλεται ετησίως πριν από τις 31 Αυγούστου, μετά την πρόσκληση της ΕΕ για καταβολή συνεισφορών, η οποία καταρτίζεται από την Ευρωπαϊκή Επιτροπή και υποβάλλεται στα κράτη ΕΖΕΣ του ΕΟΧ πριν από τις 15 Αυγούστου.</w:t>
      </w:r>
    </w:p>
    <w:p>
      <w:pPr>
        <w:pBdr>
          <w:top w:val="nil"/>
          <w:left w:val="nil"/>
          <w:bottom w:val="nil"/>
          <w:right w:val="nil"/>
          <w:between w:val="nil"/>
          <w:bar w:val="nil"/>
        </w:pBdr>
        <w:spacing w:before="0" w:after="240"/>
        <w:rPr>
          <w:noProof/>
        </w:rPr>
      </w:pPr>
      <w:r>
        <w:rPr>
          <w:noProof/>
        </w:rPr>
        <w:t>Ως εκ τούτου, προκειμένου να καλυφθεί η περίοδος μεταξύ Ιανουαρίου και Αυγούστου, το σχέδιο απόφασης της Μεικτής Επιτροπής ισχύει αναδρομικά από τον Ιανουάριο. Με τον τρόπο αυτό εξασφαλίζεται η συνέχεια της συνεργασίας που προβλέπεται στη συμφωνία ΕΟΧ καθ’ όλη τη διάρκεια του ημερολογιακού έτους.</w:t>
      </w:r>
    </w:p>
    <w:p>
      <w:pPr>
        <w:pBdr>
          <w:top w:val="nil"/>
          <w:left w:val="nil"/>
          <w:bottom w:val="nil"/>
          <w:right w:val="nil"/>
          <w:between w:val="nil"/>
          <w:bar w:val="nil"/>
        </w:pBdr>
        <w:spacing w:before="0" w:after="240"/>
        <w:rPr>
          <w:rFonts w:eastAsia="Arial Unicode MS"/>
          <w:noProof/>
        </w:rPr>
      </w:pPr>
      <w:r>
        <w:rPr>
          <w:noProof/>
        </w:rPr>
        <w:t>Η αναδρομική ισχύς δεν θίγει τα δικαιώματα και τις υποχρεώσεις των ενδιαφερομένων και τηρεί την αρχή της δικαιολογημένης εμπιστοσύνης.</w:t>
      </w:r>
    </w:p>
    <w:p>
      <w:pPr>
        <w:rPr>
          <w:noProof/>
        </w:rPr>
        <w:sectPr>
          <w:footerReference w:type="default" r:id="rId15"/>
          <w:footerReference w:type="first" r:id="rId16"/>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2019/0115 (NLE)</w:t>
      </w:r>
    </w:p>
    <w:p>
      <w:pPr>
        <w:pStyle w:val="Statut"/>
        <w:rPr>
          <w:noProof/>
        </w:rPr>
      </w:pPr>
      <w:r>
        <w:rPr>
          <w:noProof/>
        </w:rPr>
        <w:t>Πρόταση</w:t>
      </w:r>
    </w:p>
    <w:p>
      <w:pPr>
        <w:pStyle w:val="Typedudocument"/>
        <w:rPr>
          <w:noProof/>
        </w:rPr>
      </w:pPr>
      <w:r>
        <w:rPr>
          <w:noProof/>
        </w:rPr>
        <w:t>ΑΠΟΦΑΣΗ ΤΟΥ ΣΥΜΒΟΥΛΙΟΥ</w:t>
      </w:r>
    </w:p>
    <w:p>
      <w:pPr>
        <w:pStyle w:val="Titreobjet"/>
        <w:rPr>
          <w:noProof/>
        </w:rPr>
      </w:pPr>
      <w:r>
        <w:rPr>
          <w:noProof/>
        </w:rPr>
        <w:t xml:space="preserve">σχετικά με τη θέση που πρέπει να ληφθεί, εξ ονόματος της Ευρωπαϊκής Ένωσης, στη Μεικτή Επιτροπή του ΕΟΧ όσον αφορά την τροποποίηση του πρωτοκόλλου 31 της συμφωνίας ΕΟΧ σχετικά με τη συνεργασία σε ειδικούς τομείς εκτός του πλαισίου των τεσσάρων ελευθεριών </w:t>
      </w:r>
      <w:r>
        <w:rPr>
          <w:noProof/>
        </w:rPr>
        <w:br/>
      </w:r>
      <w:r>
        <w:rPr>
          <w:noProof/>
        </w:rPr>
        <w:br/>
        <w:t>(Γραμμή 33.02.03.01 του προϋπολογισμού - Εταιρικό Δίκαιο)</w:t>
      </w:r>
    </w:p>
    <w:p>
      <w:pPr>
        <w:pStyle w:val="IntrtEEE"/>
        <w:rPr>
          <w:noProof/>
        </w:rPr>
      </w:pPr>
      <w:r>
        <w:rPr>
          <w:noProof/>
        </w:rPr>
        <w:t>(Κείμενο που παρουσιάζει ενδιαφέρον για τον ΕΟΧ)</w:t>
      </w:r>
    </w:p>
    <w:p>
      <w:pPr>
        <w:pStyle w:val="Institutionquiagit"/>
        <w:rPr>
          <w:noProof/>
        </w:rPr>
      </w:pPr>
      <w:r>
        <w:rPr>
          <w:noProof/>
        </w:rPr>
        <w:t>ΤΟ ΣΥΜΒΟΥΛΙΟ ΤΗΣ ΕΥΡΩΠΑΪΚΗΣ ΕΝΩΣΗΣ,</w:t>
      </w:r>
    </w:p>
    <w:p>
      <w:pPr>
        <w:rPr>
          <w:noProof/>
        </w:rPr>
      </w:pPr>
      <w:r>
        <w:rPr>
          <w:noProof/>
        </w:rPr>
        <w:t>Έχοντας υπόψη τη Συνθήκη για τη λειτουργία της Ευρωπαϊκής Ένωσης, και ιδίως το άρθρο 114 σε συνδυασμό με το άρθρο 218 παράγραφος 9,</w:t>
      </w:r>
    </w:p>
    <w:p>
      <w:pPr>
        <w:rPr>
          <w:noProof/>
        </w:rPr>
      </w:pPr>
      <w:r>
        <w:rPr>
          <w:noProof/>
        </w:rPr>
        <w:t>Έχοντας υπόψη τον κανονισμό (ΕΚ) αριθ. 2894/94 του Συμβουλίου, της 28ης Νοεμβρίου 1994, σχετικά με ορισμένες λεπτομέρειες εφαρμογής της συμφωνίας για τον Ευρωπαϊκό Οικονομικό Χώρο</w:t>
      </w:r>
      <w:r>
        <w:rPr>
          <w:rStyle w:val="FootnoteReference"/>
          <w:noProof/>
        </w:rPr>
        <w:footnoteReference w:id="2"/>
      </w:r>
      <w:r>
        <w:rPr>
          <w:noProof/>
        </w:rPr>
        <w:t>, και ιδίως το άρθρο 1 παράγραφος 3,</w:t>
      </w:r>
    </w:p>
    <w:p>
      <w:pPr>
        <w:rPr>
          <w:noProof/>
        </w:rPr>
      </w:pPr>
      <w:r>
        <w:rPr>
          <w:noProof/>
        </w:rPr>
        <w:t>Έχοντας υπόψη την πρόταση της Ευρωπαϊκής Επιτροπής,</w:t>
      </w:r>
    </w:p>
    <w:p>
      <w:pPr>
        <w:rPr>
          <w:noProof/>
        </w:rPr>
      </w:pPr>
      <w:r>
        <w:rPr>
          <w:noProof/>
        </w:rPr>
        <w:t>Εκτιμώντας τα ακόλουθα:</w:t>
      </w:r>
    </w:p>
    <w:p>
      <w:pPr>
        <w:pStyle w:val="ManualConsidrant"/>
        <w:rPr>
          <w:noProof/>
        </w:rPr>
      </w:pPr>
      <w:r>
        <w:t>(1)</w:t>
      </w:r>
      <w:r>
        <w:tab/>
      </w:r>
      <w:r>
        <w:rPr>
          <w:noProof/>
        </w:rPr>
        <w:t>Η συμφωνία για τον Ευρωπαϊκό Οικονομικό Χώρο</w:t>
      </w:r>
      <w:r>
        <w:rPr>
          <w:rStyle w:val="FootnoteReference"/>
          <w:noProof/>
        </w:rPr>
        <w:footnoteReference w:id="3"/>
      </w:r>
      <w:r>
        <w:rPr>
          <w:noProof/>
        </w:rPr>
        <w:t xml:space="preserve"> («η συμφωνία ΕΟΧ») άρχισε να ισχύει την 1η Ιανουαρίου 1994.</w:t>
      </w:r>
    </w:p>
    <w:p>
      <w:pPr>
        <w:pStyle w:val="ManualConsidrant"/>
        <w:rPr>
          <w:noProof/>
        </w:rPr>
      </w:pPr>
      <w:r>
        <w:t>(2)</w:t>
      </w:r>
      <w:r>
        <w:tab/>
      </w:r>
      <w:r>
        <w:rPr>
          <w:noProof/>
        </w:rPr>
        <w:t>Σύμφωνα με το άρθρο 98 της συμφωνίας ΕΟΧ, η Μεικτή Επιτροπή του ΕΟΧ μπορεί να αποφασίσει να τροποποιήσει, μεταξύ άλλων, το πρωτόκολλο 31 της συμφωνίας ΕΟΧ.</w:t>
      </w:r>
    </w:p>
    <w:p>
      <w:pPr>
        <w:pStyle w:val="ManualConsidrant"/>
        <w:rPr>
          <w:noProof/>
        </w:rPr>
      </w:pPr>
      <w:r>
        <w:t>(3)</w:t>
      </w:r>
      <w:r>
        <w:tab/>
      </w:r>
      <w:r>
        <w:rPr>
          <w:noProof/>
        </w:rPr>
        <w:t>Το πρωτόκολλο 31 της συμφωνίας ΕΟΧ περιλαμβάνει διατάξεις σχετικά με τη συνεργασία σε ειδικούς τομείς εκτός του πλαισίου των τεσσάρων ελευθεριών.</w:t>
      </w:r>
    </w:p>
    <w:p>
      <w:pPr>
        <w:pStyle w:val="ManualConsidrant"/>
        <w:rPr>
          <w:noProof/>
        </w:rPr>
      </w:pPr>
      <w:r>
        <w:t>(4)</w:t>
      </w:r>
      <w:r>
        <w:tab/>
      </w:r>
      <w:r>
        <w:rPr>
          <w:noProof/>
        </w:rPr>
        <w:t>Είναι σκόπιμο να συνεχιστεί η συνεργασία των συμβαλλόμενων μερών της συμφωνίας ΕΟΧ σε δράσεις της Ένωσης που χρηματοδοτούνται από τον γενικό προϋπολογισμό της Ευρωπαϊκής Ένωσης και αφορούν το εταιρικό δίκαιο.</w:t>
      </w:r>
    </w:p>
    <w:p>
      <w:pPr>
        <w:pStyle w:val="ManualConsidrant"/>
        <w:rPr>
          <w:noProof/>
        </w:rPr>
      </w:pPr>
      <w:r>
        <w:t>(5)</w:t>
      </w:r>
      <w:r>
        <w:tab/>
      </w:r>
      <w:r>
        <w:rPr>
          <w:noProof/>
        </w:rPr>
        <w:t>Επομένως, το πρωτόκολλο 31 της συμφωνίας ΕΟΧ θα πρέπει να τροποποιηθεί, ώστε να καταστεί δυνατή η παράταση αυτής της συνεργασίας από την 1η Ιανουαρίου 2019.</w:t>
      </w:r>
    </w:p>
    <w:p>
      <w:pPr>
        <w:pStyle w:val="ManualConsidrant"/>
        <w:rPr>
          <w:noProof/>
        </w:rPr>
      </w:pPr>
      <w:r>
        <w:t>(6)</w:t>
      </w:r>
      <w:r>
        <w:tab/>
      </w:r>
      <w:r>
        <w:rPr>
          <w:noProof/>
        </w:rPr>
        <w:t>Η θέση της Ένωσης στη Μεικτή Επιτροπή του ΕΟΧ θα πρέπει να βασιστεί στο συνημμένο σχέδιο απόφασης,</w:t>
      </w:r>
    </w:p>
    <w:p>
      <w:pPr>
        <w:pStyle w:val="Formuledadoption"/>
        <w:rPr>
          <w:noProof/>
        </w:rPr>
      </w:pPr>
      <w:r>
        <w:rPr>
          <w:noProof/>
        </w:rPr>
        <w:lastRenderedPageBreak/>
        <w:t xml:space="preserve">ΕΞΕΔΩΣΕ ΤΗΝ ΠΑΡΟΥΣΑ ΑΠΟΦΑΣΗ: </w:t>
      </w:r>
    </w:p>
    <w:p>
      <w:pPr>
        <w:pStyle w:val="Titrearticle"/>
        <w:rPr>
          <w:noProof/>
        </w:rPr>
      </w:pPr>
      <w:r>
        <w:rPr>
          <w:noProof/>
        </w:rPr>
        <w:t>Άρθρο 1</w:t>
      </w:r>
    </w:p>
    <w:p>
      <w:pPr>
        <w:rPr>
          <w:noProof/>
        </w:rPr>
      </w:pPr>
      <w:r>
        <w:rPr>
          <w:noProof/>
        </w:rPr>
        <w:t>Η θέση που πρέπει να ληφθεί, εξ ονόματος της Ένωσης, στη Μεικτή Επιτροπή του ΕΟΧ, όσον αφορά την προτεινόμενη τροποποίηση του πρωτοκόλλου 31 της συμφωνίας ΕΟΧ, σχετικά με τη συνεργασία σε ειδικούς τομείς εκτός του πλαισίου των τεσσάρων ελευθεριών, βασίζεται στο σχέδιο απόφασης της Μεικτής Επιτροπής του ΕΟΧ που επισυνάπτεται στην παρούσα απόφαση.</w:t>
      </w:r>
    </w:p>
    <w:p>
      <w:pPr>
        <w:rPr>
          <w:noProof/>
        </w:rPr>
      </w:pPr>
    </w:p>
    <w:p>
      <w:pPr>
        <w:pStyle w:val="Titrearticle"/>
        <w:rPr>
          <w:noProof/>
        </w:rPr>
      </w:pPr>
      <w:r>
        <w:rPr>
          <w:noProof/>
        </w:rPr>
        <w:t>Άρθρο 2</w:t>
      </w:r>
    </w:p>
    <w:p>
      <w:pPr>
        <w:keepNext/>
        <w:keepLines/>
        <w:rPr>
          <w:noProof/>
        </w:rPr>
      </w:pPr>
      <w:r>
        <w:rPr>
          <w:noProof/>
        </w:rPr>
        <w:t>Η παρούσα απόφαση αρχίζει να ισχύει την ημερομηνία της έκδοσής της.</w:t>
      </w:r>
    </w:p>
    <w:p>
      <w:pPr>
        <w:pStyle w:val="Fait"/>
        <w:rPr>
          <w:noProof/>
        </w:rPr>
      </w:pPr>
      <w:r>
        <w:t>Βρυξέλλες,</w:t>
      </w:r>
    </w:p>
    <w:p>
      <w:pPr>
        <w:pStyle w:val="Institutionquisigne"/>
        <w:rPr>
          <w:noProof/>
        </w:rPr>
      </w:pPr>
      <w:r>
        <w:rPr>
          <w:noProof/>
        </w:rPr>
        <w:tab/>
        <w:t>Για το Συμβούλιο</w:t>
      </w:r>
    </w:p>
    <w:p>
      <w:pPr>
        <w:pStyle w:val="Personnequisigne"/>
        <w:rPr>
          <w:noProof/>
        </w:rPr>
      </w:pPr>
      <w:r>
        <w:rPr>
          <w:noProof/>
        </w:rPr>
        <w:tab/>
        <w:t>Ο Πρόεδρος</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EL</w:t>
    </w:r>
    <w:r>
      <w:rPr>
        <w:rFonts w:ascii="Arial" w:hAnsi="Arial" w:cs="Arial"/>
        <w:b/>
        <w:sz w:val="48"/>
      </w:rPr>
      <w:tab/>
    </w:r>
    <w:r>
      <w:rPr>
        <w:rFonts w:ascii="Arial" w:hAnsi="Arial" w:cs="Arial"/>
        <w:b/>
        <w:sz w:val="48"/>
      </w:rPr>
      <w:tab/>
    </w:r>
    <w:r>
      <w:tab/>
    </w:r>
    <w:r>
      <w:rPr>
        <w:rFonts w:ascii="Arial" w:hAnsi="Arial" w:cs="Arial"/>
        <w:b/>
        <w:sz w:val="48"/>
      </w:rPr>
      <w:t>EL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EL</w:t>
    </w:r>
    <w:r>
      <w:rPr>
        <w:rFonts w:ascii="Arial" w:hAnsi="Arial" w:cs="Arial"/>
        <w:b/>
        <w:sz w:val="48"/>
      </w:rPr>
      <w:tab/>
    </w:r>
    <w:r>
      <w:fldChar w:fldCharType="begin"/>
    </w:r>
    <w:r>
      <w:instrText xml:space="preserve"> PAGE  \* MERGEFORMAT </w:instrText>
    </w:r>
    <w:r>
      <w:fldChar w:fldCharType="separate"/>
    </w:r>
    <w:r>
      <w:rPr>
        <w:noProof/>
      </w:rPr>
      <w:t>4</w:t>
    </w:r>
    <w:r>
      <w:fldChar w:fldCharType="end"/>
    </w:r>
    <w:r>
      <w:tab/>
    </w:r>
    <w:r>
      <w:tab/>
    </w:r>
    <w:r>
      <w:rPr>
        <w:rFonts w:ascii="Arial" w:hAnsi="Arial" w:cs="Arial"/>
        <w:b/>
        <w:sz w:val="48"/>
      </w:rPr>
      <w:t>EL</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ΕΕ L 305 της 30.11.1994, σ. 6-8</w:t>
      </w:r>
    </w:p>
  </w:footnote>
  <w:footnote w:id="2">
    <w:p>
      <w:pPr>
        <w:pStyle w:val="FootnoteText"/>
      </w:pPr>
      <w:r>
        <w:rPr>
          <w:rStyle w:val="FootnoteReference"/>
        </w:rPr>
        <w:footnoteRef/>
      </w:r>
      <w:r>
        <w:tab/>
        <w:t>ΕΕ L 305 της 30.11.1994, σ. 6.</w:t>
      </w:r>
    </w:p>
  </w:footnote>
  <w:footnote w:id="3">
    <w:p>
      <w:pPr>
        <w:pStyle w:val="FootnoteText"/>
      </w:pPr>
      <w:r>
        <w:rPr>
          <w:rStyle w:val="FootnoteReference"/>
        </w:rPr>
        <w:footnoteRef/>
      </w:r>
      <w:r>
        <w:tab/>
        <w:t xml:space="preserve">ΕΕ L 1 της 3.1.1994, σ. 3.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99FCED8C"/>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02A4CF14"/>
    <w:lvl w:ilvl="0">
      <w:start w:val="1"/>
      <w:numFmt w:val="decimal"/>
      <w:pStyle w:val="ListNumber3"/>
      <w:lvlText w:val="%1."/>
      <w:lvlJc w:val="left"/>
      <w:pPr>
        <w:tabs>
          <w:tab w:val="num" w:pos="926"/>
        </w:tabs>
        <w:ind w:left="926" w:hanging="360"/>
      </w:pPr>
    </w:lvl>
  </w:abstractNum>
  <w:abstractNum w:abstractNumId="2">
    <w:nsid w:val="FFFFFF7F"/>
    <w:multiLevelType w:val="singleLevel"/>
    <w:tmpl w:val="037895EC"/>
    <w:lvl w:ilvl="0">
      <w:start w:val="1"/>
      <w:numFmt w:val="decimal"/>
      <w:pStyle w:val="ListNumber2"/>
      <w:lvlText w:val="%1."/>
      <w:lvlJc w:val="left"/>
      <w:pPr>
        <w:tabs>
          <w:tab w:val="num" w:pos="643"/>
        </w:tabs>
        <w:ind w:left="643" w:hanging="360"/>
      </w:pPr>
    </w:lvl>
  </w:abstractNum>
  <w:abstractNum w:abstractNumId="3">
    <w:nsid w:val="FFFFFF81"/>
    <w:multiLevelType w:val="singleLevel"/>
    <w:tmpl w:val="8D9AB476"/>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C5AE2724"/>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BB8C6EB0"/>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7AE2CC66"/>
    <w:lvl w:ilvl="0">
      <w:start w:val="1"/>
      <w:numFmt w:val="decimal"/>
      <w:pStyle w:val="ListNumber"/>
      <w:lvlText w:val="%1."/>
      <w:lvlJc w:val="left"/>
      <w:pPr>
        <w:tabs>
          <w:tab w:val="num" w:pos="360"/>
        </w:tabs>
        <w:ind w:left="360" w:hanging="360"/>
      </w:pPr>
    </w:lvl>
  </w:abstractNum>
  <w:abstractNum w:abstractNumId="7">
    <w:nsid w:val="FFFFFF89"/>
    <w:multiLevelType w:val="singleLevel"/>
    <w:tmpl w:val="9F3C57FE"/>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21"/>
    <w:lvlOverride w:ilvl="0">
      <w:startOverride w:val="1"/>
    </w:lvlOverride>
  </w:num>
  <w:num w:numId="2">
    <w:abstractNumId w:val="7"/>
  </w:num>
  <w:num w:numId="3">
    <w:abstractNumId w:val="5"/>
  </w:num>
  <w:num w:numId="4">
    <w:abstractNumId w:val="4"/>
  </w:num>
  <w:num w:numId="5">
    <w:abstractNumId w:val="3"/>
  </w:num>
  <w:num w:numId="6">
    <w:abstractNumId w:val="6"/>
  </w:num>
  <w:num w:numId="7">
    <w:abstractNumId w:val="2"/>
  </w:num>
  <w:num w:numId="8">
    <w:abstractNumId w:val="1"/>
  </w:num>
  <w:num w:numId="9">
    <w:abstractNumId w:val="0"/>
  </w:num>
  <w:num w:numId="10">
    <w:abstractNumId w:val="18"/>
  </w:num>
  <w:num w:numId="11">
    <w:abstractNumId w:val="12"/>
  </w:num>
  <w:num w:numId="12">
    <w:abstractNumId w:val="20"/>
  </w:num>
  <w:num w:numId="13">
    <w:abstractNumId w:val="11"/>
  </w:num>
  <w:num w:numId="14">
    <w:abstractNumId w:val="13"/>
  </w:num>
  <w:num w:numId="15">
    <w:abstractNumId w:val="9"/>
  </w:num>
  <w:num w:numId="16">
    <w:abstractNumId w:val="19"/>
  </w:num>
  <w:num w:numId="17">
    <w:abstractNumId w:val="8"/>
  </w:num>
  <w:num w:numId="18">
    <w:abstractNumId w:val="14"/>
  </w:num>
  <w:num w:numId="19">
    <w:abstractNumId w:val="16"/>
  </w:num>
  <w:num w:numId="20">
    <w:abstractNumId w:val="17"/>
  </w:num>
  <w:num w:numId="21">
    <w:abstractNumId w:val="10"/>
  </w:num>
  <w:num w:numId="22">
    <w:abstractNumId w:val="15"/>
  </w:num>
  <w:num w:numId="23">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30"/>
  <w:hideSpellingErrors/>
  <w:hideGrammaticalErrors/>
  <w:attachedTemplate r:id="rId1"/>
  <w:revisionView w:markup="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5-22 16:33:50"/>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2"/>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803D5633-384B-4A2D-B9E2-EF914BD7858F"/>
    <w:docVar w:name="LW_COVERPAGE_TYPE" w:val="1"/>
    <w:docVar w:name="LW_CROSSREFERENCE" w:val="&lt;UNUSED&gt;"/>
    <w:docVar w:name="LW_DocType" w:val="COM"/>
    <w:docVar w:name="LW_EMISSION" w:val="27.5.2019"/>
    <w:docVar w:name="LW_EMISSION_ISODATE" w:val="2019-05-27"/>
    <w:docVar w:name="LW_EMISSION_LOCATION" w:val="BRX"/>
    <w:docVar w:name="LW_EMISSION_PREFIX" w:val="Βρυξέλλες, "/>
    <w:docVar w:name="LW_EMISSION_SUFFIX" w:val=" "/>
    <w:docVar w:name="LW_ID_DOCMODEL" w:val="SJ-019"/>
    <w:docVar w:name="LW_ID_DOCSIGNATURE" w:val="SJ-019"/>
    <w:docVar w:name="LW_ID_DOCSTRUCTURE" w:val="COM/PL/ORG"/>
    <w:docVar w:name="LW_ID_DOCTYPE" w:val="SJ-019"/>
    <w:docVar w:name="LW_ID_EXP.MOTIFS.NEW" w:val="EM_PL_"/>
    <w:docVar w:name="LW_ID_STATUT" w:val="SJ-019"/>
    <w:docVar w:name="LW_INTERETEEE.CP" w:val="(\u922?\u949?\u943?\u956?\u949?\u957?\u959? \u960?\u959?\u965? \u960?\u945?\u961?\u959?\u965?\u963?\u953?\u940?\u950?\u949?\u953? \u949?\u957?\u948?\u953?\u945?\u966?\u941?\u961?\u959?\u957? \u947?\u953?\u945? \u964?\u959?\u957? \u917?\u927?\u935?)"/>
    <w:docVar w:name="LW_LANGUE" w:val="EL"/>
    <w:docVar w:name="LW_LEVEL_OF_SENSITIVITY" w:val="Standard treatment"/>
    <w:docVar w:name="LW_NOM.INST" w:val="\u917?\u933?\u929?\u937?\u928?\u913?\u938?\u922?\u919? \u917?\u928?\u921?\u932?\u929?\u927?\u928?\u919?"/>
    <w:docVar w:name="LW_NOM.INST_JOINTDOC" w:val="&lt;EMPTY&gt;"/>
    <w:docVar w:name="LW_PART_NBR" w:val="1"/>
    <w:docVar w:name="LW_PART_NBR_TOTAL" w:val="1"/>
    <w:docVar w:name="LW_REF.II.NEW.CP" w:val="NLE"/>
    <w:docVar w:name="LW_REF.II.NEW.CP_NUMBER" w:val="0115"/>
    <w:docVar w:name="LW_REF.II.NEW.CP_YEAR" w:val="2019"/>
    <w:docVar w:name="LW_REF.INST.NEW" w:val="COM"/>
    <w:docVar w:name="LW_REF.INST.NEW_ADOPTED" w:val="final"/>
    <w:docVar w:name="LW_REF.INST.NEW_TEXT" w:val="(2019) 241"/>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u928?\u961?\u972?\u964?\u945?\u963?\u951?"/>
    <w:docVar w:name="LW_SUPERTITRE" w:val="&lt;UNUSED&gt;"/>
    <w:docVar w:name="LW_TITRE.OBJ.CP" w:val="\u963?\u967?\u949?\u964?\u953?\u954?\u940? \u956?\u949? \u964?\u951? \u952?\u941?\u963?\u951? \u960?\u959?\u965? \u960?\u961?\u941?\u960?\u949?\u953? \u957?\u945? \u955?\u951?\u966?\u952?\u949?\u943?, \u949?\u958? \u959?\u957?\u972?\u956?\u945?\u964?\u959?\u962? \u964?\u951?\u962? \u917?\u965?\u961?\u969?\u960?\u945?\u970?\u954?\u942?\u962? \u904?\u957?\u969?\u963?\u951?\u962?, \u963?\u964?\u951? \u924?\u949?\u953?\u954?\u964?\u942? \u917?\u960?\u953?\u964?\u961?\u959?\u960?\u942? \u964?\u959?\u965? \u917?\u927?\u935? \u972?\u963?\u959?\u957? \u945?\u966?\u959?\u961?\u940? \u964?\u951?\u957? \u964?\u961?\u959?\u960?\u959?\u960?\u959?\u943?\u951?\u963?\u951? \u964?\u959?\u965? \u960?\u961?\u969?\u964?\u959?\u954?\u972?\u955?\u955?\u959?\u965? 31 \u964?\u951?\u962? \u963?\u965?\u956?\u966?\u969?\u957?\u943?\u945?\u962? \u917?\u927?\u935? \u963?\u967?\u949?\u964?\u953?\u954?\u940? \u956?\u949? \u964?\u951? \u963?\u965?\u957?\u949?\u961?\u947?\u945?\u963?\u943?\u945? \u963?\u949? \u949?\u953?\u948?\u953?\u954?\u959?\u973?\u962? \u964?\u959?\u956?\u949?\u943?\u962? \u949?\u954?\u964?\u972?\u962? \u964?\u959?\u965? \u960?\u955?\u945?\u953?\u963?\u943?\u959?\u965? \u964?\u969?\u957? \u964?\u949?\u963?\u963?\u940?\u961?\u969?\u957? \u949?\u955?\u949?\u965?\u952?\u949?\u961?\u953?\u974?\u957? _x000b__x000b_(\u915?\u961?\u945?\u956?\u956?\u942? 33.02.03.01 \u964?\u959?\u965? \u960?\u961?\u959?\u971?\u960?\u959?\u955?\u959?\u947?\u953?\u963?\u956?\u959?\u973? - \u917?\u964?\u945?\u953?\u961?\u953?\u954?\u972? \u916?\u943?\u954?\u945?\u953?\u959?)"/>
    <w:docVar w:name="LW_TYPE.DOC.CP" w:val="\u913?\u928?\u927?\u934?\u913?\u931?\u919? \u932?\u927?\u933? \u931?\u933?\u924?\u914?\u927?\u933?\u923?\u921?\u927?\u933?"/>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1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l-GR"/>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l-GR"/>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l-GR"/>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0"/>
      </w:numPr>
    </w:pPr>
  </w:style>
  <w:style w:type="paragraph" w:customStyle="1" w:styleId="Tiret1">
    <w:name w:val="Tiret 1"/>
    <w:basedOn w:val="Point1"/>
    <w:pPr>
      <w:numPr>
        <w:numId w:val="11"/>
      </w:numPr>
    </w:pPr>
  </w:style>
  <w:style w:type="paragraph" w:customStyle="1" w:styleId="Tiret2">
    <w:name w:val="Tiret 2"/>
    <w:basedOn w:val="Point2"/>
    <w:pPr>
      <w:numPr>
        <w:numId w:val="12"/>
      </w:numPr>
    </w:pPr>
  </w:style>
  <w:style w:type="paragraph" w:customStyle="1" w:styleId="Tiret3">
    <w:name w:val="Tiret 3"/>
    <w:basedOn w:val="Point3"/>
    <w:pPr>
      <w:numPr>
        <w:numId w:val="13"/>
      </w:numPr>
    </w:pPr>
  </w:style>
  <w:style w:type="paragraph" w:customStyle="1" w:styleId="Tiret4">
    <w:name w:val="Tiret 4"/>
    <w:basedOn w:val="Point4"/>
    <w:pPr>
      <w:numPr>
        <w:numId w:val="1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5"/>
      </w:numPr>
    </w:pPr>
  </w:style>
  <w:style w:type="paragraph" w:customStyle="1" w:styleId="NumPar2">
    <w:name w:val="NumPar 2"/>
    <w:basedOn w:val="Normal"/>
    <w:next w:val="Text1"/>
    <w:pPr>
      <w:numPr>
        <w:ilvl w:val="1"/>
        <w:numId w:val="15"/>
      </w:numPr>
    </w:pPr>
  </w:style>
  <w:style w:type="paragraph" w:customStyle="1" w:styleId="NumPar3">
    <w:name w:val="NumPar 3"/>
    <w:basedOn w:val="Normal"/>
    <w:next w:val="Text1"/>
    <w:pPr>
      <w:numPr>
        <w:ilvl w:val="2"/>
        <w:numId w:val="15"/>
      </w:numPr>
    </w:pPr>
  </w:style>
  <w:style w:type="paragraph" w:customStyle="1" w:styleId="NumPar4">
    <w:name w:val="NumPar 4"/>
    <w:basedOn w:val="Normal"/>
    <w:next w:val="Text1"/>
    <w:pPr>
      <w:numPr>
        <w:ilvl w:val="3"/>
        <w:numId w:val="1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7"/>
      </w:numPr>
    </w:pPr>
  </w:style>
  <w:style w:type="paragraph" w:customStyle="1" w:styleId="Point1number">
    <w:name w:val="Point 1 (number)"/>
    <w:basedOn w:val="Normal"/>
    <w:pPr>
      <w:numPr>
        <w:ilvl w:val="2"/>
        <w:numId w:val="17"/>
      </w:numPr>
    </w:pPr>
  </w:style>
  <w:style w:type="paragraph" w:customStyle="1" w:styleId="Point2number">
    <w:name w:val="Point 2 (number)"/>
    <w:basedOn w:val="Normal"/>
    <w:pPr>
      <w:numPr>
        <w:ilvl w:val="4"/>
        <w:numId w:val="17"/>
      </w:numPr>
    </w:pPr>
  </w:style>
  <w:style w:type="paragraph" w:customStyle="1" w:styleId="Point3number">
    <w:name w:val="Point 3 (number)"/>
    <w:basedOn w:val="Normal"/>
    <w:pPr>
      <w:numPr>
        <w:ilvl w:val="6"/>
        <w:numId w:val="17"/>
      </w:numPr>
    </w:pPr>
  </w:style>
  <w:style w:type="paragraph" w:customStyle="1" w:styleId="Point0letter">
    <w:name w:val="Point 0 (letter)"/>
    <w:basedOn w:val="Normal"/>
    <w:pPr>
      <w:numPr>
        <w:ilvl w:val="1"/>
        <w:numId w:val="17"/>
      </w:numPr>
    </w:pPr>
  </w:style>
  <w:style w:type="paragraph" w:customStyle="1" w:styleId="Point1letter">
    <w:name w:val="Point 1 (letter)"/>
    <w:basedOn w:val="Normal"/>
    <w:pPr>
      <w:numPr>
        <w:ilvl w:val="3"/>
        <w:numId w:val="17"/>
      </w:numPr>
    </w:pPr>
  </w:style>
  <w:style w:type="paragraph" w:customStyle="1" w:styleId="Point2letter">
    <w:name w:val="Point 2 (letter)"/>
    <w:basedOn w:val="Normal"/>
    <w:pPr>
      <w:numPr>
        <w:ilvl w:val="5"/>
        <w:numId w:val="17"/>
      </w:numPr>
    </w:pPr>
  </w:style>
  <w:style w:type="paragraph" w:customStyle="1" w:styleId="Point3letter">
    <w:name w:val="Point 3 (letter)"/>
    <w:basedOn w:val="Normal"/>
    <w:pPr>
      <w:numPr>
        <w:ilvl w:val="7"/>
        <w:numId w:val="17"/>
      </w:numPr>
    </w:pPr>
  </w:style>
  <w:style w:type="paragraph" w:customStyle="1" w:styleId="Point4letter">
    <w:name w:val="Point 4 (letter)"/>
    <w:basedOn w:val="Normal"/>
    <w:pPr>
      <w:numPr>
        <w:ilvl w:val="8"/>
        <w:numId w:val="17"/>
      </w:numPr>
    </w:pPr>
  </w:style>
  <w:style w:type="paragraph" w:customStyle="1" w:styleId="Bullet0">
    <w:name w:val="Bullet 0"/>
    <w:basedOn w:val="Normal"/>
    <w:pPr>
      <w:numPr>
        <w:numId w:val="18"/>
      </w:numPr>
    </w:pPr>
  </w:style>
  <w:style w:type="paragraph" w:customStyle="1" w:styleId="Bullet1">
    <w:name w:val="Bullet 1"/>
    <w:basedOn w:val="Normal"/>
    <w:pPr>
      <w:numPr>
        <w:numId w:val="19"/>
      </w:numPr>
    </w:pPr>
  </w:style>
  <w:style w:type="paragraph" w:customStyle="1" w:styleId="Bullet2">
    <w:name w:val="Bullet 2"/>
    <w:basedOn w:val="Normal"/>
    <w:pPr>
      <w:numPr>
        <w:numId w:val="20"/>
      </w:numPr>
    </w:pPr>
  </w:style>
  <w:style w:type="paragraph" w:customStyle="1" w:styleId="Bullet3">
    <w:name w:val="Bullet 3"/>
    <w:basedOn w:val="Normal"/>
    <w:pPr>
      <w:numPr>
        <w:numId w:val="21"/>
      </w:numPr>
    </w:pPr>
  </w:style>
  <w:style w:type="paragraph" w:customStyle="1" w:styleId="Bullet4">
    <w:name w:val="Bullet 4"/>
    <w:basedOn w:val="Normal"/>
    <w:pPr>
      <w:numPr>
        <w:numId w:val="22"/>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1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l-GR"/>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l-GR"/>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l-GR"/>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0"/>
      </w:numPr>
    </w:pPr>
  </w:style>
  <w:style w:type="paragraph" w:customStyle="1" w:styleId="Tiret1">
    <w:name w:val="Tiret 1"/>
    <w:basedOn w:val="Point1"/>
    <w:pPr>
      <w:numPr>
        <w:numId w:val="11"/>
      </w:numPr>
    </w:pPr>
  </w:style>
  <w:style w:type="paragraph" w:customStyle="1" w:styleId="Tiret2">
    <w:name w:val="Tiret 2"/>
    <w:basedOn w:val="Point2"/>
    <w:pPr>
      <w:numPr>
        <w:numId w:val="12"/>
      </w:numPr>
    </w:pPr>
  </w:style>
  <w:style w:type="paragraph" w:customStyle="1" w:styleId="Tiret3">
    <w:name w:val="Tiret 3"/>
    <w:basedOn w:val="Point3"/>
    <w:pPr>
      <w:numPr>
        <w:numId w:val="13"/>
      </w:numPr>
    </w:pPr>
  </w:style>
  <w:style w:type="paragraph" w:customStyle="1" w:styleId="Tiret4">
    <w:name w:val="Tiret 4"/>
    <w:basedOn w:val="Point4"/>
    <w:pPr>
      <w:numPr>
        <w:numId w:val="1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5"/>
      </w:numPr>
    </w:pPr>
  </w:style>
  <w:style w:type="paragraph" w:customStyle="1" w:styleId="NumPar2">
    <w:name w:val="NumPar 2"/>
    <w:basedOn w:val="Normal"/>
    <w:next w:val="Text1"/>
    <w:pPr>
      <w:numPr>
        <w:ilvl w:val="1"/>
        <w:numId w:val="15"/>
      </w:numPr>
    </w:pPr>
  </w:style>
  <w:style w:type="paragraph" w:customStyle="1" w:styleId="NumPar3">
    <w:name w:val="NumPar 3"/>
    <w:basedOn w:val="Normal"/>
    <w:next w:val="Text1"/>
    <w:pPr>
      <w:numPr>
        <w:ilvl w:val="2"/>
        <w:numId w:val="15"/>
      </w:numPr>
    </w:pPr>
  </w:style>
  <w:style w:type="paragraph" w:customStyle="1" w:styleId="NumPar4">
    <w:name w:val="NumPar 4"/>
    <w:basedOn w:val="Normal"/>
    <w:next w:val="Text1"/>
    <w:pPr>
      <w:numPr>
        <w:ilvl w:val="3"/>
        <w:numId w:val="1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7"/>
      </w:numPr>
    </w:pPr>
  </w:style>
  <w:style w:type="paragraph" w:customStyle="1" w:styleId="Point1number">
    <w:name w:val="Point 1 (number)"/>
    <w:basedOn w:val="Normal"/>
    <w:pPr>
      <w:numPr>
        <w:ilvl w:val="2"/>
        <w:numId w:val="17"/>
      </w:numPr>
    </w:pPr>
  </w:style>
  <w:style w:type="paragraph" w:customStyle="1" w:styleId="Point2number">
    <w:name w:val="Point 2 (number)"/>
    <w:basedOn w:val="Normal"/>
    <w:pPr>
      <w:numPr>
        <w:ilvl w:val="4"/>
        <w:numId w:val="17"/>
      </w:numPr>
    </w:pPr>
  </w:style>
  <w:style w:type="paragraph" w:customStyle="1" w:styleId="Point3number">
    <w:name w:val="Point 3 (number)"/>
    <w:basedOn w:val="Normal"/>
    <w:pPr>
      <w:numPr>
        <w:ilvl w:val="6"/>
        <w:numId w:val="17"/>
      </w:numPr>
    </w:pPr>
  </w:style>
  <w:style w:type="paragraph" w:customStyle="1" w:styleId="Point0letter">
    <w:name w:val="Point 0 (letter)"/>
    <w:basedOn w:val="Normal"/>
    <w:pPr>
      <w:numPr>
        <w:ilvl w:val="1"/>
        <w:numId w:val="17"/>
      </w:numPr>
    </w:pPr>
  </w:style>
  <w:style w:type="paragraph" w:customStyle="1" w:styleId="Point1letter">
    <w:name w:val="Point 1 (letter)"/>
    <w:basedOn w:val="Normal"/>
    <w:pPr>
      <w:numPr>
        <w:ilvl w:val="3"/>
        <w:numId w:val="17"/>
      </w:numPr>
    </w:pPr>
  </w:style>
  <w:style w:type="paragraph" w:customStyle="1" w:styleId="Point2letter">
    <w:name w:val="Point 2 (letter)"/>
    <w:basedOn w:val="Normal"/>
    <w:pPr>
      <w:numPr>
        <w:ilvl w:val="5"/>
        <w:numId w:val="17"/>
      </w:numPr>
    </w:pPr>
  </w:style>
  <w:style w:type="paragraph" w:customStyle="1" w:styleId="Point3letter">
    <w:name w:val="Point 3 (letter)"/>
    <w:basedOn w:val="Normal"/>
    <w:pPr>
      <w:numPr>
        <w:ilvl w:val="7"/>
        <w:numId w:val="17"/>
      </w:numPr>
    </w:pPr>
  </w:style>
  <w:style w:type="paragraph" w:customStyle="1" w:styleId="Point4letter">
    <w:name w:val="Point 4 (letter)"/>
    <w:basedOn w:val="Normal"/>
    <w:pPr>
      <w:numPr>
        <w:ilvl w:val="8"/>
        <w:numId w:val="17"/>
      </w:numPr>
    </w:pPr>
  </w:style>
  <w:style w:type="paragraph" w:customStyle="1" w:styleId="Bullet0">
    <w:name w:val="Bullet 0"/>
    <w:basedOn w:val="Normal"/>
    <w:pPr>
      <w:numPr>
        <w:numId w:val="18"/>
      </w:numPr>
    </w:pPr>
  </w:style>
  <w:style w:type="paragraph" w:customStyle="1" w:styleId="Bullet1">
    <w:name w:val="Bullet 1"/>
    <w:basedOn w:val="Normal"/>
    <w:pPr>
      <w:numPr>
        <w:numId w:val="19"/>
      </w:numPr>
    </w:pPr>
  </w:style>
  <w:style w:type="paragraph" w:customStyle="1" w:styleId="Bullet2">
    <w:name w:val="Bullet 2"/>
    <w:basedOn w:val="Normal"/>
    <w:pPr>
      <w:numPr>
        <w:numId w:val="20"/>
      </w:numPr>
    </w:pPr>
  </w:style>
  <w:style w:type="paragraph" w:customStyle="1" w:styleId="Bullet3">
    <w:name w:val="Bullet 3"/>
    <w:basedOn w:val="Normal"/>
    <w:pPr>
      <w:numPr>
        <w:numId w:val="21"/>
      </w:numPr>
    </w:pPr>
  </w:style>
  <w:style w:type="paragraph" w:customStyle="1" w:styleId="Bullet4">
    <w:name w:val="Bullet 4"/>
    <w:basedOn w:val="Normal"/>
    <w:pPr>
      <w:numPr>
        <w:numId w:val="22"/>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COM.dotm</Template>
  <TotalTime>4</TotalTime>
  <Pages>5</Pages>
  <Words>1034</Words>
  <Characters>5791</Characters>
  <Application>Microsoft Office Word</Application>
  <DocSecurity>0</DocSecurity>
  <Lines>118</Lines>
  <Paragraphs>59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DIGIT/C6</cp:lastModifiedBy>
  <cp:revision>18</cp:revision>
  <dcterms:created xsi:type="dcterms:W3CDTF">2019-05-14T12:27:00Z</dcterms:created>
  <dcterms:modified xsi:type="dcterms:W3CDTF">2019-05-22T14:33:00Z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6.0.100.0</vt:lpwstr>
  </property>
  <property fmtid="{D5CDD505-2E9C-101B-9397-08002B2CF9AE}" pid="4" name="Last edited using">
    <vt:lpwstr>LW 6.0, Build 20171009</vt:lpwstr>
  </property>
  <property fmtid="{D5CDD505-2E9C-101B-9397-08002B2CF9AE}" pid="5" name="Created using">
    <vt:lpwstr>LW 6.0.1, Build 20180503</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SJ-019</vt:lpwstr>
  </property>
  <property fmtid="{D5CDD505-2E9C-101B-9397-08002B2CF9AE}" pid="10" name="DQCStatus">
    <vt:lpwstr>Green (DQC version 03)</vt:lpwstr>
  </property>
</Properties>
</file>