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D685A89-405E-41A0-B9D3-BC9C5A43E555" style="width:450.75pt;height:43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rPr>
        <w:t>•</w:t>
      </w:r>
      <w:r>
        <w:rPr>
          <w:noProof/>
        </w:rPr>
        <w:tab/>
        <w:t>Priekšlikuma pamatojums un mērķi</w:t>
      </w:r>
    </w:p>
    <w:p>
      <w:pPr>
        <w:pBdr>
          <w:top w:val="nil"/>
          <w:left w:val="nil"/>
          <w:bottom w:val="nil"/>
          <w:right w:val="nil"/>
          <w:between w:val="nil"/>
          <w:bar w:val="nil"/>
        </w:pBdr>
        <w:spacing w:before="0" w:after="240"/>
        <w:rPr>
          <w:noProof/>
        </w:rPr>
      </w:pPr>
      <w:r>
        <w:rPr>
          <w:noProof/>
        </w:rPr>
        <w:t>Lai nodrošinātu vajadzīgo iekšējā tirgus tiesisko noteiktību un viendabīgumu, EEZ Apvienotajai komitejai EEZ līgumā jāiekļauj visi attiecīgie ES tiesību akti iespējami ātrāk pēc to pieņemšanas, kā arī jāatļauj EEZ EBTA valstu līdzdalība tādos ES pasākumos vai programmās, kas attiecas uz EEZ.</w:t>
      </w:r>
    </w:p>
    <w:p>
      <w:pPr>
        <w:pBdr>
          <w:top w:val="nil"/>
          <w:left w:val="nil"/>
          <w:bottom w:val="nil"/>
          <w:right w:val="nil"/>
          <w:between w:val="nil"/>
          <w:bar w:val="nil"/>
        </w:pBdr>
        <w:spacing w:before="0" w:after="240"/>
        <w:rPr>
          <w:noProof/>
        </w:rPr>
      </w:pPr>
      <w:r>
        <w:rPr>
          <w:noProof/>
        </w:rPr>
        <w:t>EEZ Apvienotās komitejas lēmuma projekta (kas pievienots priekšlikumam par Padomes lēmumu) pieņemšanas nolūks ir grozīt EEZ līguma 31. protokolu par sadarbību īpašās jomās, kas nav četras pamatbrīvības. Tas ir nepieciešams, lai ļautu EEZ EBTA valstīm piedalīties programmās un darbībās, ko finansē no Eiropas Savienības vispārējā budžeta pozīcijām. Konkrētajā gadījumā šā grozījuma mērķis ir ļaut EEZ EBTA valstīm (Norvēģijai, Islandei un Lihtenšteinai) piedalīties Savienības darbībās attiecībā uz brīvu darbaspēka kustību, sociālā nodrošinājuma shēmu koordinēšanu un pasākumiem migrantiem, tostarp migrantiem no trešām valstīm, kas saistītas ar 04 03 01 03. budžeta pozīciju un kas ir iekļautas Eiropas Savienības vispārējā budžetā 2019. finanšu gadam.</w:t>
      </w:r>
    </w:p>
    <w:p>
      <w:pPr>
        <w:pStyle w:val="ManualHeading2"/>
        <w:rPr>
          <w:rFonts w:eastAsia="Arial Unicode MS"/>
          <w:noProof/>
          <w:u w:color="000000"/>
          <w:bdr w:val="nil"/>
        </w:rPr>
      </w:pPr>
      <w:r>
        <w:rPr>
          <w:noProof/>
        </w:rPr>
        <w:t>•</w:t>
      </w:r>
      <w:r>
        <w:rPr>
          <w:noProof/>
        </w:rPr>
        <w:tab/>
        <w:t>Atbilstība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Pievienotais Apvienotās Komitejas lēmuma projekts pilnīgi atbilst EEZ līguma mērķim veicināt nepārtrauktu un līdzsvarotu tirdzniecības un ekonomisko attiecību nostiprināšanu starp Līgumslēdzējām pusēm ar vienlīdzīgiem konkurences nosacījumiem un vienotu noteikumu ievērošanu, lai izveidotu viendabīgu Eiropas Ekonomikas zonu.</w:t>
      </w:r>
    </w:p>
    <w:p>
      <w:pPr>
        <w:pStyle w:val="ManualHeading2"/>
        <w:rPr>
          <w:rFonts w:eastAsia="Arial Unicode MS"/>
          <w:noProof/>
        </w:rPr>
      </w:pPr>
      <w:r>
        <w:rPr>
          <w:noProof/>
        </w:rPr>
        <w:t>•</w:t>
      </w:r>
      <w:r>
        <w:rPr>
          <w:noProof/>
        </w:rPr>
        <w:tab/>
        <w:t>Atbilstība pārējiem Savienības politikas virzieniem</w:t>
      </w:r>
    </w:p>
    <w:p>
      <w:pPr>
        <w:pBdr>
          <w:top w:val="nil"/>
          <w:left w:val="nil"/>
          <w:bottom w:val="nil"/>
          <w:right w:val="nil"/>
          <w:between w:val="nil"/>
          <w:bar w:val="nil"/>
        </w:pBdr>
        <w:spacing w:before="0" w:after="240"/>
        <w:rPr>
          <w:rFonts w:eastAsia="Arial Unicode MS"/>
          <w:noProof/>
        </w:rPr>
      </w:pPr>
      <w:r>
        <w:rPr>
          <w:noProof/>
        </w:rPr>
        <w:t>Apvienotās komitejas lēmums saskan arī ar citām Savienības politikas jomām, īpaši attiecībā uz mērķi aizsargāt ES iekšējā tirgus viendabīgumu.</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Priekšlikuma pamatā ir 46. un 48. pants saistībā ar 218. panta 9. punktu. Padomes Regulas (EK) Nr. 2894/94</w:t>
      </w:r>
      <w:r>
        <w:rPr>
          <w:rStyle w:val="FootnoteReference"/>
          <w:noProof/>
        </w:rPr>
        <w:footnoteReference w:id="1"/>
      </w:r>
      <w:r>
        <w:rPr>
          <w:noProof/>
        </w:rPr>
        <w:t xml:space="preserve"> par EEZ līguma īstenošanas kārtību 1. panta 3. punktā ir paredzēts, ka Padome pēc Komisijas priekšlikuma šādiem lēmumiem izstrādā Savienības nostāju. </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noProof/>
        </w:rPr>
      </w:pPr>
      <w:r>
        <w:rPr>
          <w:noProof/>
        </w:rPr>
        <w:t>Priekšlikums ir saskaņā ar subsidiaritātes principu šāda iemesla dēļ.</w:t>
      </w:r>
    </w:p>
    <w:p>
      <w:pPr>
        <w:pBdr>
          <w:top w:val="nil"/>
          <w:left w:val="nil"/>
          <w:bottom w:val="nil"/>
          <w:right w:val="nil"/>
          <w:between w:val="nil"/>
          <w:bar w:val="nil"/>
        </w:pBdr>
        <w:spacing w:before="0" w:after="240"/>
        <w:rPr>
          <w:rFonts w:eastAsia="Arial Unicode MS"/>
          <w:noProof/>
        </w:rPr>
      </w:pPr>
      <w:r>
        <w:rPr>
          <w:noProof/>
        </w:rPr>
        <w:t>Šā priekšlikuma mērķi, proti, nodrošināt iekšējā tirgus viendabīgumu, nevar pietiekami labi sasniegt dalībvalstīs, bet tā ietekmes dēļ var labāk sasniegt Savienības līmenī.</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Saskaņā ar proporcionalitātes principu šajā priekšlikumā paredz vienīgi tos pasākumus, kas ir vajadzīgi minētā mērķa sasniegšanai.</w:t>
      </w:r>
    </w:p>
    <w:p>
      <w:pPr>
        <w:pStyle w:val="ManualHeading2"/>
        <w:rPr>
          <w:rFonts w:eastAsia="Arial Unicode MS"/>
          <w:noProof/>
          <w:u w:color="000000"/>
          <w:bdr w:val="nil"/>
        </w:rPr>
      </w:pPr>
      <w:r>
        <w:rPr>
          <w:noProof/>
        </w:rPr>
        <w:lastRenderedPageBreak/>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Saskaņā ar EEZ līguma 98. pantu izvēlētais juridiskais instruments ir EEZ Apvienotās komitejas lēmums. EEZ Apvienotā komiteja nodrošina EEZ līguma faktisko īstenošanu un darbību. Lai sasniegtu šo mērķi, tā pieņem lēmumus EEZ līgumā paredzētajos gadījumos.</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EEZ EBTA valstis veic finanšu iemaksas 04 03 01 03. budžeta pozīcijā “Brīva darbaspēka kustība, sociālā nodrošinājuma shēmu koordinēšana un pasākumi migrantiem, tostarp migrantiem no trešām valstīm”. Precīza summa tiks noteikta saskaņā ar EEZ līguma noteikumiem, līdzko šis Padomes lēmuma projekts būs pieņemts.</w:t>
      </w:r>
    </w:p>
    <w:p>
      <w:pPr>
        <w:pStyle w:val="ManualHeading1"/>
        <w:rPr>
          <w:noProof/>
        </w:rPr>
      </w:pPr>
      <w:r>
        <w:rPr>
          <w:noProof/>
        </w:rPr>
        <w:t>5.</w:t>
      </w:r>
      <w:r>
        <w:rPr>
          <w:noProof/>
        </w:rPr>
        <w:tab/>
        <w:t>CITI JAUTĀJUMI</w:t>
      </w:r>
    </w:p>
    <w:p>
      <w:pPr>
        <w:rPr>
          <w:noProof/>
        </w:rPr>
      </w:pPr>
      <w:r>
        <w:rPr>
          <w:noProof/>
        </w:rPr>
        <w:t>Saskaņā ar ES budžeta politiku līdzdalība ES darbībās var notikt tikai tad, ja ir veikta attiecīga finanšu iemaksa. Tomēr saskaņā ar EEZ līguma 32. protokolu ikgadējā finanšu iemaksa no EEZ EBTA valstīm tiek samaksāta ik gadu līdz 31. augustam pēc tam, kad Eiropas Komisijas sagatavotais ES aicinājums veikt iemaksas līdz 15. augustam tiek iesniegts EEZ EBTA valstīm.</w:t>
      </w:r>
    </w:p>
    <w:p>
      <w:pPr>
        <w:rPr>
          <w:noProof/>
        </w:rPr>
      </w:pPr>
      <w:r>
        <w:rPr>
          <w:noProof/>
        </w:rPr>
        <w:t>Tādēļ, lai aptvertu laikposmu no janvāra līdz augustam, Apvienotās komitejas lēmuma projektu ar atpakaļejošu spēku piemēro no janvāra. Tādējādi visa kalendārā gada laikā tiek nodrošināta sadarbības nepārtrauktība, kā paredzēts EEZ līgumā.</w:t>
      </w:r>
    </w:p>
    <w:p>
      <w:pPr>
        <w:pBdr>
          <w:top w:val="nil"/>
          <w:left w:val="nil"/>
          <w:bottom w:val="nil"/>
          <w:right w:val="nil"/>
          <w:between w:val="nil"/>
          <w:bar w:val="nil"/>
        </w:pBdr>
        <w:spacing w:before="0" w:after="240"/>
        <w:rPr>
          <w:rFonts w:eastAsia="Arial Unicode MS"/>
          <w:noProof/>
        </w:rPr>
      </w:pPr>
      <w:r>
        <w:rPr>
          <w:noProof/>
        </w:rPr>
        <w:t>Lēmuma piemērošana ar atpakaļejošu spēku neietekmē attiecīgo personu tiesības un pienākumus, un tiek ievērots tiesiskās paļāvības princips.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2019/0113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w:t>
      </w:r>
      <w:r>
        <w:rPr>
          <w:noProof/>
        </w:rPr>
        <w:br/>
        <w:t>EEZ Apvienotajā komitejā attiecībā uz grozījumu EEZ līguma 31. protokolā</w:t>
      </w:r>
      <w:r>
        <w:rPr>
          <w:noProof/>
        </w:rPr>
        <w:br/>
        <w:t>par sadarbību īpašās jomās, kas nav četras pamatbrīvības</w:t>
      </w:r>
      <w:r>
        <w:rPr>
          <w:noProof/>
        </w:rPr>
        <w:br/>
      </w:r>
      <w:r>
        <w:rPr>
          <w:noProof/>
        </w:rPr>
        <w:br/>
        <w:t>(Budžeta pozīcija 04 03 01 03 - Sociālā apdrošināšana)</w:t>
      </w:r>
    </w:p>
    <w:p>
      <w:pPr>
        <w:pStyle w:val="IntrtEEE"/>
        <w:rPr>
          <w:noProof/>
        </w:rPr>
      </w:pPr>
      <w:r>
        <w:rPr>
          <w:noProof/>
        </w:rPr>
        <w:t>(Dokuments attiecas uz EEZ)</w:t>
      </w:r>
    </w:p>
    <w:p>
      <w:pPr>
        <w:pStyle w:val="Institutionquiagit"/>
        <w:rPr>
          <w:noProof/>
        </w:rPr>
      </w:pPr>
      <w:r>
        <w:rPr>
          <w:noProof/>
        </w:rPr>
        <w:t>EIROPAS SAVIENĪBAS PADOME,</w:t>
      </w:r>
    </w:p>
    <w:p>
      <w:pPr>
        <w:rPr>
          <w:noProof/>
        </w:rPr>
      </w:pPr>
      <w:r>
        <w:rPr>
          <w:noProof/>
        </w:rPr>
        <w:t>ņemot vērā Līgumu par Eiropas Savienības darbību un jo īpaši tā 46. un 48. pantu saistībā ar 218. panta 9. punktu,</w:t>
      </w:r>
    </w:p>
    <w:p>
      <w:pPr>
        <w:rPr>
          <w:rFonts w:eastAsia="Calibri"/>
          <w:noProof/>
        </w:rPr>
      </w:pPr>
      <w:r>
        <w:rPr>
          <w:noProof/>
        </w:rPr>
        <w:t>ņemot vērā Padomes Regulu (EK) Nr. 2894/94 (1994. gada 28. novembris) par Eiropas Ekonomikas zonas līguma īstenošanas kārtību</w:t>
      </w:r>
      <w:r>
        <w:rPr>
          <w:rStyle w:val="FootnoteReference"/>
          <w:noProof/>
        </w:rPr>
        <w:footnoteReference w:id="2"/>
      </w:r>
      <w:r>
        <w:rPr>
          <w:noProof/>
        </w:rPr>
        <w:t xml:space="preserve"> un jo īpaši tās 1. panta 3. punktu,</w:t>
      </w:r>
    </w:p>
    <w:p>
      <w:pPr>
        <w:rPr>
          <w:noProof/>
        </w:rPr>
      </w:pPr>
      <w:r>
        <w:rPr>
          <w:noProof/>
        </w:rPr>
        <w:t>ņemot vērā Eiropas Komisijas priekšlikumu,</w:t>
      </w:r>
    </w:p>
    <w:p>
      <w:pPr>
        <w:rPr>
          <w:noProof/>
        </w:rPr>
      </w:pPr>
      <w:r>
        <w:rPr>
          <w:noProof/>
        </w:rPr>
        <w:t>tā kā:</w:t>
      </w:r>
    </w:p>
    <w:p>
      <w:pPr>
        <w:pStyle w:val="ManualConsidrant"/>
        <w:rPr>
          <w:noProof/>
        </w:rPr>
      </w:pPr>
      <w:r>
        <w:rPr>
          <w:noProof/>
        </w:rPr>
        <w:t>1)</w:t>
      </w:r>
      <w:r>
        <w:rPr>
          <w:noProof/>
        </w:rPr>
        <w:tab/>
        <w:t>Līgums par Eiropas Ekonomikas zonu</w:t>
      </w:r>
      <w:r>
        <w:rPr>
          <w:rStyle w:val="FootnoteReference"/>
          <w:noProof/>
        </w:rPr>
        <w:footnoteReference w:id="3"/>
      </w:r>
      <w:r>
        <w:rPr>
          <w:noProof/>
        </w:rPr>
        <w:t xml:space="preserve"> (“EEZ līgums”) stājās spēkā 1994. gada 1. janvārī.</w:t>
      </w:r>
    </w:p>
    <w:p>
      <w:pPr>
        <w:pStyle w:val="ManualConsidrant"/>
        <w:rPr>
          <w:noProof/>
        </w:rPr>
      </w:pPr>
      <w:r>
        <w:rPr>
          <w:noProof/>
        </w:rPr>
        <w:t>2)</w:t>
      </w:r>
      <w:r>
        <w:rPr>
          <w:noProof/>
        </w:rPr>
        <w:tab/>
        <w:t>Ievērojot EEZ līguma 98. pantu, EEZ Apvienotā komiteja cita starpā var lemt par EEZ līguma 31. protokola grozīšanu.</w:t>
      </w:r>
    </w:p>
    <w:p>
      <w:pPr>
        <w:pStyle w:val="ManualConsidrant"/>
        <w:rPr>
          <w:noProof/>
        </w:rPr>
      </w:pPr>
      <w:r>
        <w:rPr>
          <w:noProof/>
        </w:rPr>
        <w:t>3)</w:t>
      </w:r>
      <w:r>
        <w:rPr>
          <w:noProof/>
        </w:rPr>
        <w:tab/>
        <w:t>EEZ līguma 31. protokolā ietverti konkrēti noteikumi par sadarbību īpašās jomās, kas nav četras pamatbrīvības.</w:t>
      </w:r>
    </w:p>
    <w:p>
      <w:pPr>
        <w:pStyle w:val="ManualConsidrant"/>
        <w:rPr>
          <w:noProof/>
        </w:rPr>
      </w:pPr>
      <w:r>
        <w:rPr>
          <w:noProof/>
        </w:rPr>
        <w:t>4)</w:t>
      </w:r>
      <w:r>
        <w:rPr>
          <w:noProof/>
        </w:rPr>
        <w:tab/>
        <w:t>Ir lietderīgi turpināt EEZ līguma Līgumslēdzēju pušu sadarbību attiecībā uz Savienības darbībām, kuras finansē no Eiropas Savienības vispārējā budžeta, saistībā ar brīvu darbaspēka kustību, sociālā nodrošinājuma shēmu koordinēšanu un pasākumiem migrantiem, tostarp migrantiem no trešām valstīm.</w:t>
      </w:r>
    </w:p>
    <w:p>
      <w:pPr>
        <w:pStyle w:val="ManualConsidrant"/>
        <w:rPr>
          <w:noProof/>
        </w:rPr>
      </w:pPr>
      <w:r>
        <w:rPr>
          <w:noProof/>
        </w:rPr>
        <w:t>5)</w:t>
      </w:r>
      <w:r>
        <w:rPr>
          <w:noProof/>
        </w:rPr>
        <w:tab/>
        <w:t>Tādēļ, lai šī paplašinātā sadarbība varētu turpināties pēc 2018. gada 31. decembra, būtu jāgroza EEZ līguma 31. protokols.</w:t>
      </w:r>
    </w:p>
    <w:p>
      <w:pPr>
        <w:pStyle w:val="ManualConsidrant"/>
        <w:rPr>
          <w:noProof/>
        </w:rPr>
      </w:pPr>
      <w:r>
        <w:rPr>
          <w:noProof/>
        </w:rPr>
        <w:t>6)</w:t>
      </w:r>
      <w:r>
        <w:rPr>
          <w:noProof/>
        </w:rPr>
        <w:tab/>
        <w:t>Tādēļ EEZ Apvienotajā komitejā pieņemtās Savienības nostājas pamatā vajadzētu būt pievienotajam lēmuma projektam,</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 xml:space="preserve">Nostājas, kura Savienības vārdā jāieņem EEZ Apvienotajā komitejā attiecībā uz ierosināto grozījumu EEZ līguma 31. protokolā par sadarbību īpašās jomās, kas nav četras </w:t>
      </w:r>
      <w:r>
        <w:rPr>
          <w:noProof/>
        </w:rPr>
        <w:lastRenderedPageBreak/>
        <w:t>pamatbrīvības, pamatā ir EEZ Apvienotās komitejas lēmuma projekts, kurš pievienots šim lēmumam.</w:t>
      </w:r>
    </w:p>
    <w:p>
      <w:pPr>
        <w:pStyle w:val="Titrearticle"/>
        <w:rPr>
          <w:noProof/>
        </w:rPr>
      </w:pPr>
      <w:r>
        <w:rPr>
          <w:noProof/>
        </w:rPr>
        <w:t>2. pants</w:t>
      </w:r>
    </w:p>
    <w:p>
      <w:pPr>
        <w:keepLines/>
        <w:rPr>
          <w:noProof/>
        </w:rPr>
      </w:pPr>
      <w:r>
        <w:rPr>
          <w:noProof/>
        </w:rPr>
        <w:t>Šis lēmums stājas spēkā tā pieņemšanas dienā.</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tab/>
        <w:t>OV L 305, 30.11.1994., 6.–8. lpp.</w:t>
      </w:r>
    </w:p>
  </w:footnote>
  <w:footnote w:id="2">
    <w:p>
      <w:pPr>
        <w:pStyle w:val="FootnoteText"/>
        <w:rPr>
          <w:lang w:val="nn-NO"/>
        </w:rPr>
      </w:pPr>
      <w:r>
        <w:rPr>
          <w:rStyle w:val="FootnoteReference"/>
        </w:rPr>
        <w:footnoteRef/>
      </w:r>
      <w:r>
        <w:tab/>
        <w:t>OV L 305, 30.11.1994., 6. lpp.</w:t>
      </w:r>
    </w:p>
  </w:footnote>
  <w:footnote w:id="3">
    <w:p>
      <w:pPr>
        <w:pStyle w:val="FootnoteText"/>
        <w:rPr>
          <w:lang w:val="pl-PL"/>
        </w:rPr>
      </w:pPr>
      <w:r>
        <w:rPr>
          <w:rStyle w:val="FootnoteReference"/>
        </w:rPr>
        <w:footnoteRef/>
      </w:r>
      <w:r>
        <w:tab/>
        <w:t xml:space="preserve">OV L 1, 3.1.1994., 3. 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B3845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085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A5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EEC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101F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8230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1672B8"/>
    <w:lvl w:ilvl="0">
      <w:start w:val="1"/>
      <w:numFmt w:val="decimal"/>
      <w:pStyle w:val="ListNumber"/>
      <w:lvlText w:val="%1."/>
      <w:lvlJc w:val="left"/>
      <w:pPr>
        <w:tabs>
          <w:tab w:val="num" w:pos="360"/>
        </w:tabs>
        <w:ind w:left="360" w:hanging="360"/>
      </w:pPr>
    </w:lvl>
  </w:abstractNum>
  <w:abstractNum w:abstractNumId="7">
    <w:nsid w:val="FFFFFF89"/>
    <w:multiLevelType w:val="singleLevel"/>
    <w:tmpl w:val="9CC6ED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8: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D685A89-405E-41A0-B9D3-BC9C5A43E555"/>
    <w:docVar w:name="LW_COVERPAGE_TYPE" w:val="1"/>
    <w:docVar w:name="LW_CROSSREFERENCE" w:val="&lt;UNUSED&gt;"/>
    <w:docVar w:name="LW_DocType" w:val="COM"/>
    <w:docVar w:name="LW_EMISSION" w:val="27.5.2019"/>
    <w:docVar w:name="LW_EMISSION_ISODATE" w:val="2019-05-27"/>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13"/>
    <w:docVar w:name="LW_REF.II.NEW.CP_YEAR" w:val="2019"/>
    <w:docVar w:name="LW_REF.INST.NEW" w:val="COM"/>
    <w:docVar w:name="LW_REF.INST.NEW_ADOPTED" w:val="final"/>
    <w:docVar w:name="LW_REF.INST.NEW_TEXT" w:val="(2019)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_x000b_EEZ Apvienotaj\u257? komitej\u257? attiec\u299?b\u257? uz groz\u299?jumu EEZ l\u299?guma 31. protokol\u257?_x000b_par sadarb\u299?bu \u299?pa\u353?\u257?s jom\u257?s, kas nav \u269?etras pamatbr\u299?v\u299?bas_x000b__x000b_(Bud\u382?eta poz\u299?cija 04 03 01 03 - Soci\u257?l\u257? apdro\u353?in\u257?\u353?ana)"/>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799</Words>
  <Characters>5131</Characters>
  <Application>Microsoft Office Word</Application>
  <DocSecurity>0</DocSecurity>
  <Lines>104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2019-02-15T17:28:00Z</cp:lastPrinted>
  <dcterms:created xsi:type="dcterms:W3CDTF">2019-05-14T09:15:00Z</dcterms:created>
  <dcterms:modified xsi:type="dcterms:W3CDTF">2019-05-22T14:38:00Z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