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358640308"/>
      <w:bookmarkStart w:id="1" w:name="_Toc358640576"/>
      <w:bookmarkStart w:id="2" w:name="_Toc358640627"/>
      <w:bookmarkStart w:id="3" w:name="_Toc358640725"/>
      <w:bookmarkStart w:id="4" w:name="_Toc385254771"/>
      <w:bookmarkStart w:id="5" w:name="_Toc415736037"/>
      <w:bookmarkStart w:id="6" w:name="_Toc415748654"/>
      <w:bookmarkStart w:id="7" w:name="_Toc417031771"/>
      <w:bookmarkStart w:id="8" w:name="_Toc449626267"/>
      <w:bookmarkStart w:id="9" w:name="_Toc449626494"/>
      <w:bookmarkStart w:id="10" w:name="_Toc477351964"/>
      <w:bookmarkStart w:id="11" w:name="_Toc477528171"/>
      <w:bookmarkStart w:id="12" w:name="_Toc477855448"/>
      <w:bookmarkStart w:id="13" w:name="_Toc3825650"/>
      <w:bookmarkStart w:id="14" w:name="_Toc449689407"/>
      <w:bookmarkStart w:id="15"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E2E6C419-FB1E-4DA2-BA90-0B2B63211142" style="width:450.8pt;height:348.1pt">
            <v:imagedata r:id="rId9" o:title=""/>
          </v:shape>
        </w:pict>
      </w:r>
    </w:p>
    <w:bookmarkEnd w:id="15"/>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Pagedecouverture"/>
        <w:rPr>
          <w:noProof/>
        </w:rPr>
      </w:pPr>
      <w:bookmarkStart w:id="16" w:name="_GoBack"/>
      <w:bookmarkEnd w:id="16"/>
    </w:p>
    <w:sdt>
      <w:sdtPr>
        <w:rPr>
          <w:rFonts w:ascii="Times New Roman" w:eastAsia="Times New Roman" w:hAnsi="Times New Roman" w:cs="Times New Roman"/>
          <w:noProof/>
          <w:color w:val="auto"/>
          <w:sz w:val="20"/>
          <w:szCs w:val="20"/>
          <w:lang w:eastAsia="en-GB"/>
        </w:rPr>
        <w:id w:val="-735626870"/>
        <w:docPartObj>
          <w:docPartGallery w:val="Table of Contents"/>
          <w:docPartUnique/>
        </w:docPartObj>
      </w:sdtPr>
      <w:sdtEndPr>
        <w:rPr>
          <w:b/>
          <w:bCs/>
        </w:rPr>
      </w:sdtEndPr>
      <w:sdtContent>
        <w:p>
          <w:pPr>
            <w:pStyle w:val="TOCHeading"/>
            <w:jc w:val="center"/>
            <w:rPr>
              <w:rFonts w:ascii="Times New Roman" w:hAnsi="Times New Roman" w:cs="Times New Roman"/>
              <w:smallCaps/>
              <w:noProof/>
              <w:color w:val="auto"/>
            </w:rPr>
          </w:pPr>
          <w:r>
            <w:rPr>
              <w:rFonts w:ascii="Times New Roman" w:hAnsi="Times New Roman"/>
              <w:smallCaps/>
              <w:noProof/>
              <w:color w:val="auto"/>
            </w:rPr>
            <w:t>Sisällysluettelo</w:t>
          </w:r>
        </w:p>
        <w:p>
          <w:pPr>
            <w:rPr>
              <w:noProof/>
              <w:lang w:val="en-US" w:eastAsia="en-US"/>
            </w:rPr>
          </w:pPr>
        </w:p>
        <w:p>
          <w:pPr>
            <w:pStyle w:val="TOC1"/>
            <w:tabs>
              <w:tab w:val="left" w:pos="440"/>
              <w:tab w:val="right" w:leader="dot" w:pos="9062"/>
            </w:tabs>
            <w:rPr>
              <w:rFonts w:asciiTheme="minorHAnsi" w:eastAsiaTheme="minorEastAsia" w:hAnsiTheme="minorHAnsi" w:cstheme="minorBidi"/>
              <w:noProof/>
              <w:sz w:val="22"/>
              <w:szCs w:val="22"/>
              <w:lang w:val="en-GB"/>
            </w:rPr>
          </w:pPr>
          <w:r>
            <w:rPr>
              <w:b/>
              <w:bCs/>
              <w:smallCaps/>
              <w:noProof/>
            </w:rPr>
            <w:fldChar w:fldCharType="begin"/>
          </w:r>
          <w:r>
            <w:rPr>
              <w:b/>
              <w:bCs/>
              <w:smallCaps/>
              <w:noProof/>
            </w:rPr>
            <w:instrText xml:space="preserve"> TOC \o "1-3" \h \z \u </w:instrText>
          </w:r>
          <w:r>
            <w:rPr>
              <w:b/>
              <w:bCs/>
              <w:smallCaps/>
              <w:noProof/>
            </w:rPr>
            <w:fldChar w:fldCharType="separate"/>
          </w:r>
          <w:hyperlink w:anchor="_Toc8829258" w:history="1">
            <w:r>
              <w:rPr>
                <w:rStyle w:val="Hyperlink"/>
                <w:noProof/>
              </w:rPr>
              <w:t>1.</w:t>
            </w:r>
            <w:r>
              <w:rPr>
                <w:rFonts w:asciiTheme="minorHAnsi" w:eastAsiaTheme="minorEastAsia" w:hAnsiTheme="minorHAnsi" w:cstheme="minorBidi"/>
                <w:noProof/>
                <w:sz w:val="22"/>
                <w:szCs w:val="22"/>
                <w:lang w:val="en-GB"/>
              </w:rPr>
              <w:tab/>
            </w:r>
            <w:r>
              <w:rPr>
                <w:rStyle w:val="Hyperlink"/>
                <w:noProof/>
              </w:rPr>
              <w:t>Johdanto</w:t>
            </w:r>
            <w:r>
              <w:rPr>
                <w:noProof/>
                <w:webHidden/>
              </w:rPr>
              <w:tab/>
            </w:r>
            <w:r>
              <w:rPr>
                <w:noProof/>
                <w:webHidden/>
              </w:rPr>
              <w:fldChar w:fldCharType="begin"/>
            </w:r>
            <w:r>
              <w:rPr>
                <w:noProof/>
                <w:webHidden/>
              </w:rPr>
              <w:instrText xml:space="preserve"> PAGEREF _Toc8829258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val="en-GB"/>
            </w:rPr>
          </w:pPr>
          <w:hyperlink w:anchor="_Toc8829259" w:history="1">
            <w:r>
              <w:rPr>
                <w:rStyle w:val="Hyperlink"/>
                <w:noProof/>
              </w:rPr>
              <w:t>2.</w:t>
            </w:r>
            <w:r>
              <w:rPr>
                <w:rFonts w:asciiTheme="minorHAnsi" w:eastAsiaTheme="minorEastAsia" w:hAnsiTheme="minorHAnsi" w:cstheme="minorBidi"/>
                <w:noProof/>
                <w:sz w:val="22"/>
                <w:szCs w:val="22"/>
                <w:lang w:val="en-GB"/>
              </w:rPr>
              <w:tab/>
            </w:r>
            <w:r>
              <w:rPr>
                <w:rStyle w:val="Hyperlink"/>
                <w:noProof/>
              </w:rPr>
              <w:t>Toiminnallinen asiayhteys</w:t>
            </w:r>
            <w:r>
              <w:rPr>
                <w:noProof/>
                <w:webHidden/>
              </w:rPr>
              <w:tab/>
            </w:r>
            <w:r>
              <w:rPr>
                <w:noProof/>
                <w:webHidden/>
              </w:rPr>
              <w:fldChar w:fldCharType="begin"/>
            </w:r>
            <w:r>
              <w:rPr>
                <w:noProof/>
                <w:webHidden/>
              </w:rPr>
              <w:instrText xml:space="preserve"> PAGEREF _Toc8829259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val="en-GB"/>
            </w:rPr>
          </w:pPr>
          <w:hyperlink w:anchor="_Toc8829260" w:history="1">
            <w:r>
              <w:rPr>
                <w:rStyle w:val="Hyperlink"/>
                <w:noProof/>
              </w:rPr>
              <w:t>3.</w:t>
            </w:r>
            <w:r>
              <w:rPr>
                <w:rFonts w:asciiTheme="minorHAnsi" w:eastAsiaTheme="minorEastAsia" w:hAnsiTheme="minorHAnsi" w:cstheme="minorBidi"/>
                <w:noProof/>
                <w:sz w:val="22"/>
                <w:szCs w:val="22"/>
                <w:lang w:val="en-GB"/>
              </w:rPr>
              <w:tab/>
            </w:r>
            <w:r>
              <w:rPr>
                <w:rStyle w:val="Hyperlink"/>
                <w:noProof/>
              </w:rPr>
              <w:t>Tilinpäätöstiedot ja merkittävät talousarviotapahtumat vuonna 2018</w:t>
            </w:r>
            <w:r>
              <w:rPr>
                <w:noProof/>
                <w:webHidden/>
              </w:rPr>
              <w:tab/>
            </w:r>
            <w:r>
              <w:rPr>
                <w:noProof/>
                <w:webHidden/>
              </w:rPr>
              <w:fldChar w:fldCharType="begin"/>
            </w:r>
            <w:r>
              <w:rPr>
                <w:noProof/>
                <w:webHidden/>
              </w:rPr>
              <w:instrText xml:space="preserve"> PAGEREF _Toc8829260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rPr>
          </w:pPr>
          <w:hyperlink w:anchor="_Toc8829261" w:history="1">
            <w:r>
              <w:rPr>
                <w:rStyle w:val="Hyperlink"/>
                <w:noProof/>
              </w:rPr>
              <w:t>3.1.</w:t>
            </w:r>
            <w:r>
              <w:rPr>
                <w:rFonts w:asciiTheme="minorHAnsi" w:eastAsiaTheme="minorEastAsia" w:hAnsiTheme="minorHAnsi" w:cstheme="minorBidi"/>
                <w:noProof/>
                <w:sz w:val="22"/>
                <w:szCs w:val="22"/>
                <w:lang w:val="en-GB"/>
              </w:rPr>
              <w:tab/>
            </w:r>
            <w:r>
              <w:rPr>
                <w:rStyle w:val="Hyperlink"/>
                <w:noProof/>
              </w:rPr>
              <w:t>ESIR-takuurahaston tilinpäätös 31. joulukuuta 2018</w:t>
            </w:r>
            <w:r>
              <w:rPr>
                <w:noProof/>
                <w:webHidden/>
              </w:rPr>
              <w:tab/>
            </w:r>
            <w:r>
              <w:rPr>
                <w:noProof/>
                <w:webHidden/>
              </w:rPr>
              <w:fldChar w:fldCharType="begin"/>
            </w:r>
            <w:r>
              <w:rPr>
                <w:noProof/>
                <w:webHidden/>
              </w:rPr>
              <w:instrText xml:space="preserve"> PAGEREF _Toc8829261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rPr>
          </w:pPr>
          <w:hyperlink w:anchor="_Toc8829262" w:history="1">
            <w:r>
              <w:rPr>
                <w:rStyle w:val="Hyperlink"/>
                <w:noProof/>
              </w:rPr>
              <w:t>3.2.</w:t>
            </w:r>
            <w:r>
              <w:rPr>
                <w:rFonts w:asciiTheme="minorHAnsi" w:eastAsiaTheme="minorEastAsia" w:hAnsiTheme="minorHAnsi" w:cstheme="minorBidi"/>
                <w:noProof/>
                <w:sz w:val="22"/>
                <w:szCs w:val="22"/>
                <w:lang w:val="en-GB"/>
              </w:rPr>
              <w:tab/>
            </w:r>
            <w:r>
              <w:rPr>
                <w:rStyle w:val="Hyperlink"/>
                <w:noProof/>
              </w:rPr>
              <w:t>EU:n takauksella katetut ESIR-toimet</w:t>
            </w:r>
            <w:r>
              <w:rPr>
                <w:noProof/>
                <w:webHidden/>
              </w:rPr>
              <w:tab/>
            </w:r>
            <w:r>
              <w:rPr>
                <w:noProof/>
                <w:webHidden/>
              </w:rPr>
              <w:fldChar w:fldCharType="begin"/>
            </w:r>
            <w:r>
              <w:rPr>
                <w:noProof/>
                <w:webHidden/>
              </w:rPr>
              <w:instrText xml:space="preserve"> PAGEREF _Toc8829262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rPr>
          </w:pPr>
          <w:hyperlink w:anchor="_Toc8829263" w:history="1">
            <w:r>
              <w:rPr>
                <w:rStyle w:val="Hyperlink"/>
                <w:noProof/>
              </w:rPr>
              <w:t>3.3.</w:t>
            </w:r>
            <w:r>
              <w:rPr>
                <w:rFonts w:asciiTheme="minorHAnsi" w:eastAsiaTheme="minorEastAsia" w:hAnsiTheme="minorHAnsi" w:cstheme="minorBidi"/>
                <w:noProof/>
                <w:sz w:val="22"/>
                <w:szCs w:val="22"/>
                <w:lang w:val="en-GB"/>
              </w:rPr>
              <w:tab/>
            </w:r>
            <w:r>
              <w:rPr>
                <w:rStyle w:val="Hyperlink"/>
                <w:noProof/>
              </w:rPr>
              <w:t>ESIR-takuurahastoon suoritettavat maksut</w:t>
            </w:r>
            <w:r>
              <w:rPr>
                <w:noProof/>
                <w:webHidden/>
              </w:rPr>
              <w:tab/>
            </w:r>
            <w:r>
              <w:rPr>
                <w:noProof/>
                <w:webHidden/>
              </w:rPr>
              <w:fldChar w:fldCharType="begin"/>
            </w:r>
            <w:r>
              <w:rPr>
                <w:noProof/>
                <w:webHidden/>
              </w:rPr>
              <w:instrText xml:space="preserve"> PAGEREF _Toc8829263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rPr>
          </w:pPr>
          <w:hyperlink w:anchor="_Toc8829264" w:history="1">
            <w:r>
              <w:rPr>
                <w:rStyle w:val="Hyperlink"/>
                <w:noProof/>
              </w:rPr>
              <w:t>3.4.</w:t>
            </w:r>
            <w:r>
              <w:rPr>
                <w:rFonts w:asciiTheme="minorHAnsi" w:eastAsiaTheme="minorEastAsia" w:hAnsiTheme="minorHAnsi" w:cstheme="minorBidi"/>
                <w:noProof/>
                <w:sz w:val="22"/>
                <w:szCs w:val="22"/>
                <w:lang w:val="en-GB"/>
              </w:rPr>
              <w:tab/>
            </w:r>
            <w:r>
              <w:rPr>
                <w:rStyle w:val="Hyperlink"/>
                <w:noProof/>
              </w:rPr>
              <w:t>EU:n takauksen nojalla esitetyt maksupyynnöt ja takauksen käyttö</w:t>
            </w:r>
            <w:r>
              <w:rPr>
                <w:noProof/>
                <w:webHidden/>
              </w:rPr>
              <w:tab/>
            </w:r>
            <w:r>
              <w:rPr>
                <w:noProof/>
                <w:webHidden/>
              </w:rPr>
              <w:fldChar w:fldCharType="begin"/>
            </w:r>
            <w:r>
              <w:rPr>
                <w:noProof/>
                <w:webHidden/>
              </w:rPr>
              <w:instrText xml:space="preserve"> PAGEREF _Toc8829264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val="en-GB"/>
            </w:rPr>
          </w:pPr>
          <w:hyperlink w:anchor="_Toc8829265" w:history="1">
            <w:r>
              <w:rPr>
                <w:rStyle w:val="Hyperlink"/>
                <w:noProof/>
              </w:rPr>
              <w:t>4.</w:t>
            </w:r>
            <w:r>
              <w:rPr>
                <w:rFonts w:asciiTheme="minorHAnsi" w:eastAsiaTheme="minorEastAsia" w:hAnsiTheme="minorHAnsi" w:cstheme="minorBidi"/>
                <w:noProof/>
                <w:sz w:val="22"/>
                <w:szCs w:val="22"/>
                <w:lang w:val="en-GB"/>
              </w:rPr>
              <w:tab/>
            </w:r>
            <w:r>
              <w:rPr>
                <w:rStyle w:val="Hyperlink"/>
                <w:noProof/>
              </w:rPr>
              <w:t>ESIR-takuurahaston hallinnointi vuonna 2018</w:t>
            </w:r>
            <w:r>
              <w:rPr>
                <w:noProof/>
                <w:webHidden/>
              </w:rPr>
              <w:tab/>
            </w:r>
            <w:r>
              <w:rPr>
                <w:noProof/>
                <w:webHidden/>
              </w:rPr>
              <w:fldChar w:fldCharType="begin"/>
            </w:r>
            <w:r>
              <w:rPr>
                <w:noProof/>
                <w:webHidden/>
              </w:rPr>
              <w:instrText xml:space="preserve"> PAGEREF _Toc8829265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rPr>
          </w:pPr>
          <w:hyperlink w:anchor="_Toc8829266" w:history="1">
            <w:r>
              <w:rPr>
                <w:rStyle w:val="Hyperlink"/>
                <w:noProof/>
              </w:rPr>
              <w:t>4.1.</w:t>
            </w:r>
            <w:r>
              <w:rPr>
                <w:rFonts w:asciiTheme="minorHAnsi" w:eastAsiaTheme="minorEastAsia" w:hAnsiTheme="minorHAnsi" w:cstheme="minorBidi"/>
                <w:noProof/>
                <w:sz w:val="22"/>
                <w:szCs w:val="22"/>
                <w:lang w:val="en-GB"/>
              </w:rPr>
              <w:tab/>
            </w:r>
            <w:r>
              <w:rPr>
                <w:rStyle w:val="Hyperlink"/>
                <w:noProof/>
              </w:rPr>
              <w:t>Varainhoito</w:t>
            </w:r>
            <w:r>
              <w:rPr>
                <w:noProof/>
                <w:webHidden/>
              </w:rPr>
              <w:tab/>
            </w:r>
            <w:r>
              <w:rPr>
                <w:noProof/>
                <w:webHidden/>
              </w:rPr>
              <w:fldChar w:fldCharType="begin"/>
            </w:r>
            <w:r>
              <w:rPr>
                <w:noProof/>
                <w:webHidden/>
              </w:rPr>
              <w:instrText xml:space="preserve"> PAGEREF _Toc8829266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rPr>
          </w:pPr>
          <w:hyperlink w:anchor="_Toc8829267" w:history="1">
            <w:r>
              <w:rPr>
                <w:rStyle w:val="Hyperlink"/>
                <w:noProof/>
              </w:rPr>
              <w:t>4.2.</w:t>
            </w:r>
            <w:r>
              <w:rPr>
                <w:rFonts w:asciiTheme="minorHAnsi" w:eastAsiaTheme="minorEastAsia" w:hAnsiTheme="minorHAnsi" w:cstheme="minorBidi"/>
                <w:noProof/>
                <w:sz w:val="22"/>
                <w:szCs w:val="22"/>
                <w:lang w:val="en-GB"/>
              </w:rPr>
              <w:tab/>
            </w:r>
            <w:r>
              <w:rPr>
                <w:rStyle w:val="Hyperlink"/>
                <w:noProof/>
              </w:rPr>
              <w:t>Markkinoiden kehitys vuonna 2018</w:t>
            </w:r>
            <w:r>
              <w:rPr>
                <w:noProof/>
                <w:webHidden/>
              </w:rPr>
              <w:tab/>
            </w:r>
            <w:r>
              <w:rPr>
                <w:noProof/>
                <w:webHidden/>
              </w:rPr>
              <w:fldChar w:fldCharType="begin"/>
            </w:r>
            <w:r>
              <w:rPr>
                <w:noProof/>
                <w:webHidden/>
              </w:rPr>
              <w:instrText xml:space="preserve"> PAGEREF _Toc8829267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rPr>
          </w:pPr>
          <w:hyperlink w:anchor="_Toc8829268" w:history="1">
            <w:r>
              <w:rPr>
                <w:rStyle w:val="Hyperlink"/>
                <w:noProof/>
              </w:rPr>
              <w:t>4.3.</w:t>
            </w:r>
            <w:r>
              <w:rPr>
                <w:rFonts w:asciiTheme="minorHAnsi" w:eastAsiaTheme="minorEastAsia" w:hAnsiTheme="minorHAnsi" w:cstheme="minorBidi"/>
                <w:noProof/>
                <w:sz w:val="22"/>
                <w:szCs w:val="22"/>
                <w:lang w:val="en-GB"/>
              </w:rPr>
              <w:tab/>
            </w:r>
            <w:r>
              <w:rPr>
                <w:rStyle w:val="Hyperlink"/>
                <w:noProof/>
              </w:rPr>
              <w:t>Salkun koostumus ja keskeiset riskit</w:t>
            </w:r>
            <w:r>
              <w:rPr>
                <w:noProof/>
                <w:webHidden/>
              </w:rPr>
              <w:tab/>
            </w:r>
            <w:r>
              <w:rPr>
                <w:noProof/>
                <w:webHidden/>
              </w:rPr>
              <w:fldChar w:fldCharType="begin"/>
            </w:r>
            <w:r>
              <w:rPr>
                <w:noProof/>
                <w:webHidden/>
              </w:rPr>
              <w:instrText xml:space="preserve"> PAGEREF _Toc8829268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rPr>
          </w:pPr>
          <w:hyperlink w:anchor="_Toc8829269" w:history="1">
            <w:r>
              <w:rPr>
                <w:rStyle w:val="Hyperlink"/>
                <w:noProof/>
              </w:rPr>
              <w:t>4.4.</w:t>
            </w:r>
            <w:r>
              <w:rPr>
                <w:rFonts w:asciiTheme="minorHAnsi" w:eastAsiaTheme="minorEastAsia" w:hAnsiTheme="minorHAnsi" w:cstheme="minorBidi"/>
                <w:noProof/>
                <w:sz w:val="22"/>
                <w:szCs w:val="22"/>
                <w:lang w:val="en-GB"/>
              </w:rPr>
              <w:tab/>
            </w:r>
            <w:r>
              <w:rPr>
                <w:rStyle w:val="Hyperlink"/>
                <w:noProof/>
              </w:rPr>
              <w:t>Tulos</w:t>
            </w:r>
            <w:r>
              <w:rPr>
                <w:noProof/>
                <w:webHidden/>
              </w:rPr>
              <w:tab/>
            </w:r>
            <w:r>
              <w:rPr>
                <w:noProof/>
                <w:webHidden/>
              </w:rPr>
              <w:fldChar w:fldCharType="begin"/>
            </w:r>
            <w:r>
              <w:rPr>
                <w:noProof/>
                <w:webHidden/>
              </w:rPr>
              <w:instrText xml:space="preserve"> PAGEREF _Toc8829269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val="en-GB"/>
            </w:rPr>
          </w:pPr>
          <w:hyperlink w:anchor="_Toc8829270" w:history="1">
            <w:r>
              <w:rPr>
                <w:rStyle w:val="Hyperlink"/>
                <w:noProof/>
              </w:rPr>
              <w:t>5.</w:t>
            </w:r>
            <w:r>
              <w:rPr>
                <w:rFonts w:asciiTheme="minorHAnsi" w:eastAsiaTheme="minorEastAsia" w:hAnsiTheme="minorHAnsi" w:cstheme="minorBidi"/>
                <w:noProof/>
                <w:sz w:val="22"/>
                <w:szCs w:val="22"/>
                <w:lang w:val="en-GB"/>
              </w:rPr>
              <w:tab/>
            </w:r>
            <w:r>
              <w:rPr>
                <w:rStyle w:val="Hyperlink"/>
                <w:noProof/>
              </w:rPr>
              <w:t>Arvio tavoitesumman riittävyydestä ja ESIR-takuurahaston varojen määrästä</w:t>
            </w:r>
            <w:r>
              <w:rPr>
                <w:noProof/>
                <w:webHidden/>
              </w:rPr>
              <w:tab/>
            </w:r>
            <w:r>
              <w:rPr>
                <w:noProof/>
                <w:webHidden/>
              </w:rPr>
              <w:fldChar w:fldCharType="begin"/>
            </w:r>
            <w:r>
              <w:rPr>
                <w:noProof/>
                <w:webHidden/>
              </w:rPr>
              <w:instrText xml:space="preserve"> PAGEREF _Toc8829270 \h </w:instrText>
            </w:r>
            <w:r>
              <w:rPr>
                <w:noProof/>
                <w:webHidden/>
              </w:rPr>
            </w:r>
            <w:r>
              <w:rPr>
                <w:noProof/>
                <w:webHidden/>
              </w:rPr>
              <w:fldChar w:fldCharType="separate"/>
            </w:r>
            <w:r>
              <w:rPr>
                <w:noProof/>
                <w:webHidden/>
              </w:rPr>
              <w:t>6</w:t>
            </w:r>
            <w:r>
              <w:rPr>
                <w:noProof/>
                <w:webHidden/>
              </w:rPr>
              <w:fldChar w:fldCharType="end"/>
            </w:r>
          </w:hyperlink>
        </w:p>
        <w:p>
          <w:pPr>
            <w:rPr>
              <w:noProof/>
            </w:rPr>
          </w:pPr>
          <w:r>
            <w:rPr>
              <w:b/>
              <w:bCs/>
              <w:smallCaps/>
              <w:noProof/>
            </w:rPr>
            <w:fldChar w:fldCharType="end"/>
          </w:r>
        </w:p>
      </w:sdtContent>
    </w:sdt>
    <w:p>
      <w:pPr>
        <w:rPr>
          <w:noProof/>
        </w:rPr>
      </w:pPr>
      <w:r>
        <w:rPr>
          <w:noProof/>
        </w:rPr>
        <w:br w:type="page"/>
      </w:r>
    </w:p>
    <w:p>
      <w:pPr>
        <w:pStyle w:val="Heading1"/>
        <w:rPr>
          <w:rFonts w:ascii="Times New Roman" w:hAnsi="Times New Roman" w:cs="Times New Roman"/>
          <w:noProof/>
        </w:rPr>
      </w:pPr>
      <w:bookmarkStart w:id="17" w:name="_Toc8829258"/>
      <w:r>
        <w:rPr>
          <w:rFonts w:ascii="Times New Roman" w:hAnsi="Times New Roman"/>
          <w:noProof/>
        </w:rPr>
        <w:t>Johdanto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7"/>
    </w:p>
    <w:bookmarkEnd w:id="14"/>
    <w:p>
      <w:pPr>
        <w:spacing w:before="240" w:after="240"/>
        <w:jc w:val="both"/>
        <w:rPr>
          <w:noProof/>
          <w:sz w:val="24"/>
          <w:szCs w:val="24"/>
        </w:rPr>
      </w:pPr>
      <w:r>
        <w:rPr>
          <w:noProof/>
          <w:sz w:val="24"/>
          <w:szCs w:val="24"/>
        </w:rPr>
        <w:t>Tämän kertomuksen oikeusperustana on 25. kesäkuuta 2015 annettu Euroopan parlamentin ja neuvoston asetus (EU) 2015/1017</w:t>
      </w:r>
      <w:r>
        <w:rPr>
          <w:noProof/>
          <w:sz w:val="24"/>
          <w:szCs w:val="24"/>
          <w:vertAlign w:val="superscript"/>
        </w:rPr>
        <w:footnoteReference w:id="1"/>
      </w:r>
      <w:r>
        <w:rPr>
          <w:noProof/>
          <w:sz w:val="24"/>
          <w:szCs w:val="24"/>
        </w:rPr>
        <w:t>, joka koskee Euroopan strategisten investointien rahastoa, Euroopan investointineuvontakeskusta ja Euroopan investointihankeportaalia sekä asetusten (EU) N:o 1291/2013 ja (EU) N:o 1316/2013 muuttamista, jäljempänä ’ESIR-asetus’. ESIR-asetusta on muutettu 13. joulukuuta 2017 annetulla Euroopan parlamentin ja neuvoston asetuksella (EU) 2017/2396</w:t>
      </w:r>
      <w:r>
        <w:rPr>
          <w:rStyle w:val="FootnoteReference"/>
          <w:noProof/>
          <w:sz w:val="24"/>
          <w:szCs w:val="24"/>
        </w:rPr>
        <w:footnoteReference w:id="2"/>
      </w:r>
      <w:r>
        <w:rPr>
          <w:noProof/>
          <w:sz w:val="24"/>
          <w:szCs w:val="24"/>
        </w:rPr>
        <w:t xml:space="preserve"> Euroopan strategisten investointien rahaston voimassaoloajan pidentämiseksi sekä kyseistä rahastoa ja Euroopan investointineuvontakeskusta koskevien teknisten parannusten tekemiseksi, jäljempänä ’ESIR 2.0 -muutos’. ESIR 2.0 -muutoksella muun muassa kasvatettiin EU:n takauksen määrää ja mukautettiin tavoitesummaa. Euroopan komissio ja Euroopan investointipankki (EIP) allekirjoittivat 22. heinäkuuta 2015 sopimuksen ESIR-rahaston hallinnoinnista ja EU:n takauksen myöntämisestä, jäljempänä ’ESIR-sopimus’. Sopimusta on muutettu ja oikaistu 21. heinäkuuta 2016, 21. marraskuuta 2017, 9. maaliskuuta 2018 ja 20. joulukuuta 2018.</w:t>
      </w:r>
    </w:p>
    <w:p>
      <w:pPr>
        <w:spacing w:before="240" w:after="240"/>
        <w:jc w:val="both"/>
        <w:rPr>
          <w:noProof/>
          <w:sz w:val="24"/>
          <w:szCs w:val="24"/>
        </w:rPr>
      </w:pPr>
      <w:r>
        <w:rPr>
          <w:noProof/>
          <w:sz w:val="24"/>
          <w:szCs w:val="24"/>
        </w:rPr>
        <w:t>ESIR-asetuksen 16 artiklan 6 kohdan mukaan komissio toimittaa viimeistään kunkin vuoden toukokuun 31. päivänä Euroopan parlamentille, neuvostolle ja tilintarkastustuomioistuimelle vuosikertomuksen</w:t>
      </w:r>
      <w:r>
        <w:rPr>
          <w:rStyle w:val="FootnoteReference"/>
          <w:noProof/>
          <w:sz w:val="24"/>
          <w:szCs w:val="24"/>
        </w:rPr>
        <w:footnoteReference w:id="3"/>
      </w:r>
      <w:r>
        <w:rPr>
          <w:noProof/>
          <w:sz w:val="24"/>
          <w:szCs w:val="24"/>
        </w:rPr>
        <w:t>, joka koskee ESIR-takuurahaston hoitamista edellisenä kalenterivuonna ja johon sisältyy arvio tavoitesumman riittävyydestä sekä takuurahaston varojen määrästä ja sen lisärahoitustarpeesta. Tässä vuosikertomuksessa on esitettävä ESIR-takuurahaston rahoitusasema edellisen kalenterivuoden lopussa, pääoman liikkeet edellisenä kalenterivuonna sekä merkittävät transaktiot ja kaikki asiaankuuluvat tilinpäätöstiedot. Kertomuksessa on lisäksi annettava tiedot ESIR-takuurahaston varainhoidosta, tuloksista ja riskistä edellisen kalenterivuoden lopussa.</w:t>
      </w:r>
    </w:p>
    <w:p>
      <w:pPr>
        <w:pStyle w:val="Heading1"/>
        <w:rPr>
          <w:rFonts w:ascii="Times New Roman" w:hAnsi="Times New Roman" w:cs="Times New Roman"/>
          <w:noProof/>
        </w:rPr>
      </w:pPr>
      <w:bookmarkStart w:id="18" w:name="_Toc449689408"/>
      <w:bookmarkStart w:id="19" w:name="_Toc477351965"/>
      <w:bookmarkStart w:id="20" w:name="_Toc477528172"/>
      <w:bookmarkStart w:id="21" w:name="_Toc477855449"/>
      <w:bookmarkStart w:id="22" w:name="_Toc3825651"/>
      <w:bookmarkStart w:id="23" w:name="_Toc8829259"/>
      <w:r>
        <w:rPr>
          <w:rFonts w:ascii="Times New Roman" w:hAnsi="Times New Roman"/>
          <w:noProof/>
        </w:rPr>
        <w:t>Toiminnallinen asiayhteys</w:t>
      </w:r>
      <w:bookmarkEnd w:id="18"/>
      <w:bookmarkEnd w:id="19"/>
      <w:bookmarkEnd w:id="20"/>
      <w:bookmarkEnd w:id="21"/>
      <w:bookmarkEnd w:id="22"/>
      <w:bookmarkEnd w:id="23"/>
    </w:p>
    <w:p>
      <w:pPr>
        <w:spacing w:before="240" w:after="240"/>
        <w:jc w:val="both"/>
        <w:rPr>
          <w:noProof/>
          <w:sz w:val="24"/>
          <w:szCs w:val="24"/>
        </w:rPr>
      </w:pPr>
      <w:r>
        <w:rPr>
          <w:noProof/>
          <w:sz w:val="24"/>
          <w:szCs w:val="24"/>
        </w:rPr>
        <w:t>EU:n takaus</w:t>
      </w:r>
      <w:r>
        <w:rPr>
          <w:rStyle w:val="FootnoteReference"/>
          <w:noProof/>
          <w:sz w:val="24"/>
          <w:szCs w:val="24"/>
        </w:rPr>
        <w:footnoteReference w:id="4"/>
      </w:r>
      <w:r>
        <w:rPr>
          <w:noProof/>
          <w:sz w:val="24"/>
          <w:szCs w:val="24"/>
        </w:rPr>
        <w:t xml:space="preserve"> koskee EIP:n allekirjoittamia infrastruktuuri- ja innovointi-ikkunan pääosioon kuuluvia rahoitus- ja investointitoimia sekä EIR:n allekirjoittamia pk-yritysikkunaan ja infrastruktuuri- ja innovointi-ikkunan pk-yritysten/mid-cap-yritysten rahoituksen alaikkunaan kuuluvia rahoitus- ja investointitoimia. Osa näistä toimista katetaan EU:n takauksella, ja osan EIP-ryhmä</w:t>
      </w:r>
      <w:r>
        <w:rPr>
          <w:rStyle w:val="FootnoteReference"/>
          <w:noProof/>
          <w:sz w:val="24"/>
          <w:szCs w:val="24"/>
        </w:rPr>
        <w:footnoteReference w:id="5"/>
      </w:r>
      <w:r>
        <w:rPr>
          <w:noProof/>
          <w:sz w:val="24"/>
          <w:szCs w:val="24"/>
        </w:rPr>
        <w:t xml:space="preserve"> toteuttaa omalla riskillään.</w:t>
      </w:r>
    </w:p>
    <w:p>
      <w:pPr>
        <w:spacing w:before="240" w:after="240"/>
        <w:jc w:val="both"/>
        <w:rPr>
          <w:noProof/>
          <w:sz w:val="24"/>
          <w:szCs w:val="24"/>
        </w:rPr>
      </w:pPr>
      <w:r>
        <w:rPr>
          <w:noProof/>
          <w:sz w:val="24"/>
          <w:szCs w:val="24"/>
        </w:rPr>
        <w:t xml:space="preserve">ESIR-asetuksen 12 artiklan mukaan ESIR-takuurahasto muodostaa likviditeettipuskurin, josta EIP:lle on suoritettava maksuja silloin kun tämä vetoaa EU:n takaukseen. Takaukseen perustuvat maksut suoritetaan EU:n ja EIP:n välisen ESIR-sopimuksen mukaan ESIR-takuurahastosta, jos maksun määrä ylittää ESIR-tilillä EIP:n käytettävissä olevien varojen määrän. EIP:n hallinnoima ESIR-tili on avattu EU:n takauksella katetuista ESIR-toimista ja takaisinperityistä määristä saatavien EU:n tulojen keruuta sekä EU:n takaukseen perustuvien maksujen suorittamista varten. Maksut suoritetaan tilin saldon sallimissa rajoissa. </w:t>
      </w:r>
    </w:p>
    <w:p>
      <w:pPr>
        <w:spacing w:before="240" w:after="240"/>
        <w:jc w:val="both"/>
        <w:rPr>
          <w:noProof/>
          <w:sz w:val="24"/>
          <w:szCs w:val="24"/>
        </w:rPr>
      </w:pPr>
      <w:r>
        <w:rPr>
          <w:noProof/>
          <w:sz w:val="24"/>
          <w:szCs w:val="24"/>
        </w:rPr>
        <w:t>ESIR-takuurahastoa rahoitetaan asteittain sen mukaan, miten EU:n takauksella katetut vastuut kasvavat.</w:t>
      </w:r>
    </w:p>
    <w:p>
      <w:pPr>
        <w:spacing w:before="240" w:after="240"/>
        <w:jc w:val="both"/>
        <w:rPr>
          <w:noProof/>
          <w:sz w:val="24"/>
          <w:szCs w:val="24"/>
        </w:rPr>
      </w:pPr>
      <w:r>
        <w:rPr>
          <w:noProof/>
          <w:sz w:val="24"/>
          <w:szCs w:val="24"/>
        </w:rPr>
        <w:t>ESIR-asetuksen 12 artiklan 4 kohdan mukaan komissio hallinnoi ESIR-takuurahaston varoja suoraan, ja varat sijoitetaan moitteettoman varainhoidon periaatetta ja asianmukaisia vakavaraisuussääntöjä noudattaen.</w:t>
      </w:r>
    </w:p>
    <w:p>
      <w:pPr>
        <w:spacing w:before="240" w:after="240"/>
        <w:jc w:val="both"/>
        <w:rPr>
          <w:noProof/>
          <w:sz w:val="24"/>
          <w:szCs w:val="24"/>
        </w:rPr>
      </w:pPr>
      <w:r>
        <w:rPr>
          <w:noProof/>
          <w:sz w:val="24"/>
          <w:szCs w:val="24"/>
        </w:rPr>
        <w:t>EIP ja EIR ovat vastuussa EU:n takauksella tuettuihin yksittäisiin toimiin liittyvien riskien arvioinnista ja seurannasta. Tämän raportoinnin ja tulevia toimia koskevien johdonmukaisten ja varovaisten oletusten pohjalta komissio huolehtii siitä, että arvioinnin kohteena oleva ESIR-takuurahaston tavoitesumma ja varojen määrä ovat riittävät. EIP ja EIR raportoivat riskeistä ESIR-asetuksen 16 artiklan 3 kohdan mukaisesti komissiolle ja Euroopan tilintarkastustuomioistuimelle maaliskuussa 2019.</w:t>
      </w:r>
    </w:p>
    <w:p>
      <w:pPr>
        <w:spacing w:before="240" w:after="240"/>
        <w:jc w:val="both"/>
        <w:rPr>
          <w:noProof/>
          <w:sz w:val="24"/>
          <w:szCs w:val="24"/>
        </w:rPr>
      </w:pPr>
      <w:r>
        <w:rPr>
          <w:noProof/>
          <w:sz w:val="24"/>
          <w:szCs w:val="24"/>
        </w:rPr>
        <w:t>EIP:n Euroopan parlamentille ja neuvostolle antaman vuosikertomuksen on ESIR-asetuksen 16 artiklan 2 kohdan mukaan sisällettävä tiedot ESIR-rahaston puitteissa toteutettujen rahoitus- ja investointitoimien kokonaisriskistä sekä tapauksista, joissa takaukseen on vedottu.</w:t>
      </w:r>
    </w:p>
    <w:p>
      <w:pPr>
        <w:pStyle w:val="Heading1"/>
        <w:rPr>
          <w:rFonts w:ascii="Times New Roman" w:hAnsi="Times New Roman" w:cs="Times New Roman"/>
          <w:noProof/>
        </w:rPr>
      </w:pPr>
      <w:bookmarkStart w:id="24" w:name="_Toc449686525"/>
      <w:bookmarkStart w:id="25" w:name="_Toc449686556"/>
      <w:bookmarkStart w:id="26" w:name="_Toc449689409"/>
      <w:bookmarkStart w:id="27" w:name="_Toc449686526"/>
      <w:bookmarkStart w:id="28" w:name="_Toc449686557"/>
      <w:bookmarkStart w:id="29" w:name="_Toc449689410"/>
      <w:bookmarkStart w:id="30" w:name="_Toc449689411"/>
      <w:bookmarkStart w:id="31" w:name="_Toc477351966"/>
      <w:bookmarkStart w:id="32" w:name="_Toc477528173"/>
      <w:bookmarkStart w:id="33" w:name="_Toc477855450"/>
      <w:bookmarkStart w:id="34" w:name="_Toc3825652"/>
      <w:bookmarkStart w:id="35" w:name="_Toc8829260"/>
      <w:bookmarkEnd w:id="24"/>
      <w:bookmarkEnd w:id="25"/>
      <w:bookmarkEnd w:id="26"/>
      <w:bookmarkEnd w:id="27"/>
      <w:bookmarkEnd w:id="28"/>
      <w:bookmarkEnd w:id="29"/>
      <w:r>
        <w:rPr>
          <w:rFonts w:ascii="Times New Roman" w:hAnsi="Times New Roman"/>
          <w:noProof/>
        </w:rPr>
        <w:t>Tilinpäätöstiedot</w:t>
      </w:r>
      <w:bookmarkEnd w:id="30"/>
      <w:bookmarkEnd w:id="31"/>
      <w:bookmarkEnd w:id="32"/>
      <w:bookmarkEnd w:id="33"/>
      <w:r>
        <w:rPr>
          <w:rFonts w:ascii="Times New Roman" w:hAnsi="Times New Roman"/>
          <w:noProof/>
        </w:rPr>
        <w:t xml:space="preserve"> ja merkittävät talousarviotapahtumat vuonna 2018</w:t>
      </w:r>
      <w:bookmarkEnd w:id="34"/>
      <w:bookmarkEnd w:id="35"/>
    </w:p>
    <w:p>
      <w:pPr>
        <w:spacing w:before="240" w:after="240"/>
        <w:jc w:val="both"/>
        <w:rPr>
          <w:noProof/>
          <w:sz w:val="24"/>
          <w:szCs w:val="24"/>
        </w:rPr>
      </w:pPr>
      <w:bookmarkStart w:id="36" w:name="_Toc449689413"/>
      <w:bookmarkStart w:id="37" w:name="_Toc449689414"/>
      <w:bookmarkEnd w:id="36"/>
      <w:r>
        <w:rPr>
          <w:noProof/>
          <w:sz w:val="24"/>
          <w:szCs w:val="24"/>
        </w:rPr>
        <w:t>ESIR-rahastoa koskevat taloudelliset tiedot esitetään jäljempänä jaoteltuina neljään jaksoon: 1) ESIR-takuurahaston taloudellinen tilanne 31. joulukuuta 2018, 2) EIP-ryhmän toteuttamat, EU:n takauksella katetut ESIR-toimet 31. joulukuuta 2018, 3) ESIR-takuurahastoon suoritettavat maksut ja 4) EU:n takauksen nojalla esitetyt maksupyynnöt ja takauksen käyttö.</w:t>
      </w:r>
    </w:p>
    <w:p>
      <w:pPr>
        <w:pStyle w:val="Heading2"/>
        <w:rPr>
          <w:rFonts w:ascii="Times New Roman" w:hAnsi="Times New Roman" w:cs="Times New Roman"/>
          <w:noProof/>
        </w:rPr>
      </w:pPr>
      <w:r>
        <w:rPr>
          <w:rFonts w:ascii="Times New Roman" w:hAnsi="Times New Roman"/>
          <w:noProof/>
        </w:rPr>
        <w:t xml:space="preserve"> </w:t>
      </w:r>
      <w:bookmarkStart w:id="38" w:name="_Toc477528174"/>
      <w:bookmarkStart w:id="39" w:name="_Toc477855451"/>
      <w:bookmarkStart w:id="40" w:name="_Toc3825653"/>
      <w:bookmarkStart w:id="41" w:name="_Toc8829261"/>
      <w:r>
        <w:rPr>
          <w:rFonts w:ascii="Times New Roman" w:hAnsi="Times New Roman"/>
          <w:noProof/>
        </w:rPr>
        <w:t xml:space="preserve">ESIR-takuurahaston tilinpäätös 31. joulukuuta </w:t>
      </w:r>
      <w:bookmarkEnd w:id="38"/>
      <w:bookmarkEnd w:id="39"/>
      <w:r>
        <w:rPr>
          <w:rFonts w:ascii="Times New Roman" w:hAnsi="Times New Roman"/>
          <w:noProof/>
        </w:rPr>
        <w:t>2018</w:t>
      </w:r>
      <w:bookmarkEnd w:id="40"/>
      <w:bookmarkEnd w:id="41"/>
    </w:p>
    <w:p>
      <w:pPr>
        <w:spacing w:before="240" w:after="240"/>
        <w:jc w:val="both"/>
        <w:rPr>
          <w:noProof/>
          <w:sz w:val="24"/>
          <w:szCs w:val="24"/>
        </w:rPr>
      </w:pPr>
      <w:r>
        <w:rPr>
          <w:noProof/>
          <w:sz w:val="24"/>
          <w:szCs w:val="24"/>
        </w:rPr>
        <w:t>ESIR-takuurahaston kokonaisvarat</w:t>
      </w:r>
      <w:r>
        <w:rPr>
          <w:rStyle w:val="FootnoteReference"/>
          <w:noProof/>
        </w:rPr>
        <w:footnoteReference w:id="6"/>
      </w:r>
      <w:r>
        <w:rPr>
          <w:noProof/>
          <w:sz w:val="24"/>
          <w:szCs w:val="24"/>
        </w:rPr>
        <w:t xml:space="preserve"> 31. joulukuuta 2018 olivat 5 452 miljoonaa euroa. Varat käsittivät 5 000 miljoonan euron arvopaperisalkun (luokitellaan myytävissä olevaksi), nettonykyarvoltaan positiivisen 2 miljoonan euron USD-valuuttatermiinin (luokitellaan käypään arvoon tulosvaikutteisesti arvostettaviksi rahoitusvaroiksi) sekä 450 miljoonaa euroa käteisvaroja ja muita rahavaroja.</w:t>
      </w:r>
    </w:p>
    <w:p>
      <w:pPr>
        <w:spacing w:before="240" w:after="240"/>
        <w:jc w:val="both"/>
        <w:rPr>
          <w:noProof/>
          <w:sz w:val="24"/>
          <w:szCs w:val="24"/>
        </w:rPr>
      </w:pPr>
      <w:r>
        <w:rPr>
          <w:noProof/>
          <w:sz w:val="24"/>
          <w:szCs w:val="24"/>
        </w:rPr>
        <w:t>Vuoden 2018 tuloslaskelman</w:t>
      </w:r>
      <w:r>
        <w:rPr>
          <w:rStyle w:val="FootnoteReference"/>
          <w:noProof/>
          <w:sz w:val="24"/>
          <w:szCs w:val="24"/>
        </w:rPr>
        <w:footnoteReference w:id="7"/>
      </w:r>
      <w:r>
        <w:rPr>
          <w:noProof/>
          <w:sz w:val="24"/>
          <w:szCs w:val="24"/>
        </w:rPr>
        <w:t xml:space="preserve"> mukaan ESIR-takuurahaston varainhoitovuoden taloudellinen tulos oli –13,9 miljoonaa euroa. Sijoitussalkun dollarimääräiseen osuuteen liittyvältä valuuttariskiltä suojauduttiin johdannaisilla, joiden käyvän arvon muutoksista (positiivinen muutos 28,4 miljoonaa euroa ja negatiivinen muutos </w:t>
      </w:r>
      <w:r>
        <w:rPr>
          <w:noProof/>
          <w:sz w:val="24"/>
          <w:szCs w:val="24"/>
        </w:rPr>
        <w:noBreakHyphen/>
        <w:t>62,9 miljoonaa euroa) aiheutui 34,5 miljoonan euron nettotappio. Sitä kompensoi nettovoitto (17,0 miljoonaa euroa), joka syntyi positiivisista (103,7 miljoonaa euroa) ja negatiivisista (–86,7 miljoonaa euroa) valuuttamääräisten rahoitusvarojen arvonmuutoksista ja korkotuotoista (17,5 miljoonaa euroa). Loput tappiosta muodostui pääasiassa myytävissä olevien arvopaperien myynnin nettotappioista</w:t>
      </w:r>
      <w:r>
        <w:rPr>
          <w:rStyle w:val="FootnoteReference"/>
          <w:noProof/>
          <w:sz w:val="24"/>
          <w:szCs w:val="24"/>
        </w:rPr>
        <w:footnoteReference w:id="8"/>
      </w:r>
      <w:r>
        <w:rPr>
          <w:noProof/>
          <w:sz w:val="24"/>
          <w:szCs w:val="24"/>
        </w:rPr>
        <w:t xml:space="preserve"> (</w:t>
      </w:r>
      <w:r>
        <w:rPr>
          <w:noProof/>
          <w:sz w:val="24"/>
          <w:szCs w:val="24"/>
        </w:rPr>
        <w:noBreakHyphen/>
        <w:t>13,3 miljoonaa euroa) ja säilytyspalkkioista (–0,6 miljoonaa euroa).</w:t>
      </w:r>
      <w:r>
        <w:rPr>
          <w:noProof/>
          <w:sz w:val="24"/>
          <w:szCs w:val="24"/>
        </w:rPr>
        <w:br w:type="page"/>
      </w:r>
    </w:p>
    <w:p>
      <w:pPr>
        <w:pStyle w:val="Heading2"/>
        <w:rPr>
          <w:rFonts w:ascii="Times New Roman" w:hAnsi="Times New Roman" w:cs="Times New Roman"/>
          <w:noProof/>
        </w:rPr>
      </w:pPr>
      <w:r>
        <w:rPr>
          <w:rFonts w:ascii="Times New Roman" w:hAnsi="Times New Roman"/>
          <w:noProof/>
        </w:rPr>
        <w:t xml:space="preserve"> </w:t>
      </w:r>
      <w:bookmarkStart w:id="42" w:name="_Toc477528175"/>
      <w:bookmarkStart w:id="43" w:name="_Toc477855452"/>
      <w:bookmarkStart w:id="44" w:name="_Toc3825654"/>
      <w:bookmarkStart w:id="45" w:name="_Toc8829262"/>
      <w:r>
        <w:rPr>
          <w:rFonts w:ascii="Times New Roman" w:hAnsi="Times New Roman"/>
          <w:noProof/>
        </w:rPr>
        <w:t>EU:n takauksella katetut ESIR-toimet</w:t>
      </w:r>
      <w:bookmarkEnd w:id="42"/>
      <w:bookmarkEnd w:id="43"/>
      <w:bookmarkEnd w:id="44"/>
      <w:bookmarkEnd w:id="45"/>
    </w:p>
    <w:p>
      <w:pPr>
        <w:spacing w:before="240" w:after="200"/>
        <w:jc w:val="both"/>
        <w:rPr>
          <w:noProof/>
          <w:sz w:val="24"/>
          <w:szCs w:val="24"/>
        </w:rPr>
      </w:pPr>
      <w:r>
        <w:rPr>
          <w:noProof/>
          <w:sz w:val="24"/>
          <w:szCs w:val="24"/>
        </w:rPr>
        <w:t>Maksettuihin käynnissä oleviin EIP-ryhmän toteuttamiin ESIR-toimiin liittyvä EU:n takausvastuu oli 31. joulukuuta 2018 yhteensä 15,8 miljardia euroa EU:n takauksen 25,9 miljardin euron lakisääteisestä käytettävissä olevasta nettoenimmäismäärästä</w:t>
      </w:r>
      <w:r>
        <w:rPr>
          <w:rStyle w:val="FootnoteReference"/>
          <w:noProof/>
          <w:sz w:val="24"/>
          <w:szCs w:val="24"/>
        </w:rPr>
        <w:footnoteReference w:id="9"/>
      </w:r>
      <w:r>
        <w:rPr>
          <w:noProof/>
          <w:sz w:val="24"/>
          <w:szCs w:val="24"/>
        </w:rPr>
        <w:t>. Tämä 15,8 miljardin euron määrä esitetään ehdollisena velkana EU:n vuoden 2018 tilinpäätöksen liitetiedoissa.</w:t>
      </w:r>
    </w:p>
    <w:p>
      <w:pPr>
        <w:spacing w:before="240" w:after="200"/>
        <w:jc w:val="both"/>
        <w:rPr>
          <w:noProof/>
          <w:sz w:val="24"/>
          <w:szCs w:val="24"/>
        </w:rPr>
      </w:pPr>
      <w:r>
        <w:rPr>
          <w:noProof/>
          <w:sz w:val="24"/>
          <w:szCs w:val="24"/>
        </w:rPr>
        <w:t>Vuonna 2018 EIP:n hallinnoimat infrastruktuuri- ja innovointi-ikkunaan kuuluvat ESIR-toimet tuottivat EU:lle tuloja nettomääräisesti 112,7 miljoonaa euroa. Tästä määrästä kirjattiin 31. joulukuuta 2018 EU:n vuoden 2018 tilinpäätökseen komissiolle 38,9 miljoonan euron</w:t>
      </w:r>
      <w:r>
        <w:rPr>
          <w:rStyle w:val="FootnoteReference"/>
          <w:noProof/>
          <w:sz w:val="24"/>
          <w:szCs w:val="24"/>
        </w:rPr>
        <w:footnoteReference w:id="10"/>
      </w:r>
      <w:r>
        <w:rPr>
          <w:noProof/>
          <w:sz w:val="24"/>
          <w:szCs w:val="24"/>
        </w:rPr>
        <w:t xml:space="preserve"> nettosaaminen EIP:ltä. </w:t>
      </w:r>
      <w:r>
        <w:rPr>
          <w:noProof/>
          <w:sz w:val="24"/>
        </w:rPr>
        <w:t>ESIR-toimet, jotka liittyvät infrastruktuuri- ja innovointi-ikkunaan kuuluvaan maksupyyntöön, on kuvattu kohdassa 3.4.</w:t>
      </w:r>
    </w:p>
    <w:p>
      <w:pPr>
        <w:spacing w:before="240" w:after="200"/>
        <w:jc w:val="both"/>
        <w:rPr>
          <w:rFonts w:eastAsiaTheme="minorHAnsi"/>
          <w:noProof/>
          <w:sz w:val="24"/>
          <w:szCs w:val="24"/>
        </w:rPr>
      </w:pPr>
      <w:r>
        <w:rPr>
          <w:noProof/>
          <w:sz w:val="24"/>
          <w:szCs w:val="24"/>
        </w:rPr>
        <w:t>EU:lle aiheutui vuonna 2018 pk-yritysikkunaan kuuluvista ESIR-toimista 30,3 miljoonan euron kustannukset. Tästä määrästä EU:n vuoden 2018 tilinpäätökseen kirjatut 21,9 miljoonaa euroa ovat EIR:n hallinnollisia maksuja, jotka maksetaan EIR:lle 30. kesäkuuta 2019 tai sen jälkeen.</w:t>
      </w:r>
    </w:p>
    <w:p>
      <w:pPr>
        <w:pStyle w:val="Heading2"/>
        <w:rPr>
          <w:rFonts w:ascii="Times New Roman" w:hAnsi="Times New Roman" w:cs="Times New Roman"/>
          <w:noProof/>
        </w:rPr>
      </w:pPr>
      <w:bookmarkStart w:id="46" w:name="_Toc3825655"/>
      <w:bookmarkStart w:id="47" w:name="_Toc449689412"/>
      <w:bookmarkStart w:id="48" w:name="_Toc477528176"/>
      <w:bookmarkStart w:id="49" w:name="_Toc477855453"/>
      <w:bookmarkStart w:id="50" w:name="_Toc8829263"/>
      <w:r>
        <w:rPr>
          <w:rFonts w:ascii="Times New Roman" w:hAnsi="Times New Roman"/>
          <w:noProof/>
        </w:rPr>
        <w:t xml:space="preserve">ESIR-takuurahastoon suoritettavat </w:t>
      </w:r>
      <w:bookmarkEnd w:id="46"/>
      <w:r>
        <w:rPr>
          <w:rFonts w:ascii="Times New Roman" w:hAnsi="Times New Roman"/>
          <w:noProof/>
        </w:rPr>
        <w:t>maksut</w:t>
      </w:r>
      <w:bookmarkEnd w:id="47"/>
      <w:bookmarkEnd w:id="48"/>
      <w:bookmarkEnd w:id="49"/>
      <w:bookmarkEnd w:id="50"/>
    </w:p>
    <w:p>
      <w:pPr>
        <w:spacing w:before="120" w:after="100"/>
        <w:jc w:val="both"/>
        <w:rPr>
          <w:noProof/>
          <w:sz w:val="24"/>
          <w:szCs w:val="24"/>
        </w:rPr>
      </w:pPr>
      <w:r>
        <w:rPr>
          <w:noProof/>
          <w:sz w:val="24"/>
          <w:szCs w:val="24"/>
        </w:rPr>
        <w:t xml:space="preserve">Vuonna 2018 sidottiin ESIR-takuurahastoon suoritettavia maksuja varten yhteensä 2 069 miljoonan euron talousarviomäärärahat. Tästä määrästä 1 905 miljoonan euron talousarviomäärärahat sidottiin komission päätöksen C(2018) 307 mukaisesti. </w:t>
      </w:r>
      <w:r>
        <w:rPr>
          <w:noProof/>
          <w:sz w:val="24"/>
        </w:rPr>
        <w:t>Lisäksi budjettikohdasta ”Varaukset rahoitustukea varten” asetettiin käyttöön maksusitoumusmäärärahoja 105 miljoonaa euroa.</w:t>
      </w:r>
      <w:r>
        <w:rPr>
          <w:noProof/>
          <w:sz w:val="24"/>
          <w:szCs w:val="24"/>
        </w:rPr>
        <w:t xml:space="preserve"> </w:t>
      </w:r>
      <w:r>
        <w:rPr>
          <w:noProof/>
          <w:sz w:val="24"/>
        </w:rPr>
        <w:t>Käyttötarkoitukseensa sidottuina tuloina asetettiin käyttöön 59 miljoonaa euroa.</w:t>
      </w:r>
    </w:p>
    <w:p>
      <w:pPr>
        <w:spacing w:before="100" w:after="200"/>
        <w:jc w:val="both"/>
        <w:rPr>
          <w:noProof/>
          <w:sz w:val="24"/>
        </w:rPr>
      </w:pPr>
      <w:r>
        <w:rPr>
          <w:noProof/>
          <w:sz w:val="24"/>
          <w:szCs w:val="24"/>
        </w:rPr>
        <w:t xml:space="preserve">ESIR-takuurahastoon maksettiin vuoden aikana yhteensä 2 014 miljoonaa euroa. </w:t>
      </w:r>
      <w:r>
        <w:rPr>
          <w:noProof/>
          <w:sz w:val="24"/>
        </w:rPr>
        <w:t>Suurin osa tästä määrästä oli EU:n yleisen talousarvion maksumäärärahoja. Käyttötarkoitukseensa sidottuina tuloina saatiin 59 miljoonaa euroa (53,4 miljoonaa euroa ESIR-tuloista ja 5,6 miljoonaa euroa Marguerite-rahaston tuloista), ja 154,9 miljoonaa euroa siirrettiin lisämaksumäärärahoina varainhoitovuoden lopussa.</w:t>
      </w:r>
    </w:p>
    <w:p>
      <w:pPr>
        <w:pStyle w:val="Heading2"/>
        <w:rPr>
          <w:rFonts w:ascii="Times New Roman" w:hAnsi="Times New Roman" w:cs="Times New Roman"/>
          <w:noProof/>
        </w:rPr>
      </w:pPr>
      <w:bookmarkStart w:id="51" w:name="_Toc3825656"/>
      <w:bookmarkStart w:id="52" w:name="_Toc8829264"/>
      <w:r>
        <w:rPr>
          <w:rFonts w:ascii="Times New Roman" w:hAnsi="Times New Roman"/>
          <w:noProof/>
        </w:rPr>
        <w:t>EU:n takauksen nojalla esitetyt maksupyynnöt ja takauksen käyttö</w:t>
      </w:r>
      <w:bookmarkEnd w:id="51"/>
      <w:bookmarkEnd w:id="52"/>
    </w:p>
    <w:p>
      <w:pPr>
        <w:spacing w:before="240" w:after="120"/>
        <w:jc w:val="both"/>
        <w:rPr>
          <w:noProof/>
          <w:sz w:val="24"/>
        </w:rPr>
      </w:pPr>
      <w:r>
        <w:rPr>
          <w:noProof/>
          <w:sz w:val="24"/>
        </w:rPr>
        <w:t>EU:n takauksesta pyydettiin maksamaan ESIR-sopimuksen 8.1 artiklan a kohdan mukaisesti 97,1 miljoonaa euroa. Maksupyyntö liittyi infrastruktuuri- ja innovointi-ikkunaan kuuluvaan toimeen liittyvään maksulaiminlyöntiin. EIP on ESIR-sopimuksen 11 artiklan mukaisesti perinyt ensi alkuun takaisin 18,6 miljoonaa euroa, jolloin maksettava määrä väheni 78,5 miljoonaan euroon. Määrä maksettiin ESIR-tililtä (17,7 miljoonaa euroa) ja ESIR-takuurahastosta (60,8 miljoonaa euroa). Tämän jälkeen perittiin takaisin 1,6 miljoonaa euroa. EIP vaati tähän maksulaiminlyöntiin liittyen 1,0 miljoonaa euroa takaisinperintäkuluja varten ja 0,6 miljoonaa euroa korvattavia hallintokuluja varten.</w:t>
      </w:r>
    </w:p>
    <w:p>
      <w:pPr>
        <w:spacing w:before="240"/>
        <w:jc w:val="both"/>
        <w:rPr>
          <w:noProof/>
          <w:sz w:val="24"/>
        </w:rPr>
      </w:pPr>
      <w:r>
        <w:rPr>
          <w:noProof/>
          <w:sz w:val="24"/>
          <w:szCs w:val="24"/>
        </w:rPr>
        <w:t>Vuonna 2018 EIP:lle maksettiin 0,6 miljoonaa euroa varainhankintakustannuksiin</w:t>
      </w:r>
      <w:r>
        <w:rPr>
          <w:rStyle w:val="FootnoteReference"/>
          <w:noProof/>
          <w:sz w:val="24"/>
          <w:szCs w:val="24"/>
        </w:rPr>
        <w:footnoteReference w:id="11"/>
      </w:r>
      <w:r>
        <w:rPr>
          <w:noProof/>
          <w:sz w:val="24"/>
          <w:szCs w:val="24"/>
        </w:rPr>
        <w:t xml:space="preserve"> ja 10,7 miljoonaa euroa arvonoikaisuihin</w:t>
      </w:r>
      <w:r>
        <w:rPr>
          <w:rStyle w:val="FootnoteReference"/>
          <w:noProof/>
          <w:sz w:val="24"/>
          <w:szCs w:val="24"/>
        </w:rPr>
        <w:footnoteReference w:id="12"/>
      </w:r>
      <w:r>
        <w:rPr>
          <w:noProof/>
          <w:sz w:val="24"/>
          <w:szCs w:val="24"/>
        </w:rPr>
        <w:t>.</w:t>
      </w:r>
    </w:p>
    <w:p>
      <w:pPr>
        <w:pStyle w:val="Heading1"/>
        <w:rPr>
          <w:rFonts w:ascii="Times New Roman" w:hAnsi="Times New Roman" w:cs="Times New Roman"/>
          <w:noProof/>
        </w:rPr>
      </w:pPr>
      <w:bookmarkStart w:id="53" w:name="_Toc477351967"/>
      <w:bookmarkStart w:id="54" w:name="_Toc477528177"/>
      <w:bookmarkStart w:id="55" w:name="_Toc477855454"/>
      <w:bookmarkStart w:id="56" w:name="_Toc3825657"/>
      <w:bookmarkStart w:id="57" w:name="_Toc8829265"/>
      <w:r>
        <w:rPr>
          <w:rFonts w:ascii="Times New Roman" w:hAnsi="Times New Roman"/>
          <w:noProof/>
        </w:rPr>
        <w:t xml:space="preserve">ESIR-takuurahaston hallinnointi vuonna </w:t>
      </w:r>
      <w:bookmarkEnd w:id="37"/>
      <w:bookmarkEnd w:id="53"/>
      <w:bookmarkEnd w:id="54"/>
      <w:bookmarkEnd w:id="55"/>
      <w:r>
        <w:rPr>
          <w:rFonts w:ascii="Times New Roman" w:hAnsi="Times New Roman"/>
          <w:noProof/>
        </w:rPr>
        <w:t>2018</w:t>
      </w:r>
      <w:bookmarkEnd w:id="56"/>
      <w:bookmarkEnd w:id="57"/>
    </w:p>
    <w:p>
      <w:pPr>
        <w:pStyle w:val="Heading2"/>
        <w:rPr>
          <w:rFonts w:ascii="Times New Roman" w:hAnsi="Times New Roman" w:cs="Times New Roman"/>
          <w:noProof/>
        </w:rPr>
      </w:pPr>
      <w:bookmarkStart w:id="58" w:name="_Toc477528178"/>
      <w:bookmarkStart w:id="59" w:name="_Toc477855455"/>
      <w:bookmarkStart w:id="60" w:name="_Toc3825658"/>
      <w:bookmarkStart w:id="61" w:name="_Toc8829266"/>
      <w:r>
        <w:rPr>
          <w:rFonts w:ascii="Times New Roman" w:hAnsi="Times New Roman"/>
          <w:noProof/>
        </w:rPr>
        <w:t>Varainhoito</w:t>
      </w:r>
      <w:bookmarkEnd w:id="58"/>
      <w:bookmarkEnd w:id="59"/>
      <w:bookmarkEnd w:id="60"/>
      <w:bookmarkEnd w:id="61"/>
    </w:p>
    <w:p>
      <w:pPr>
        <w:spacing w:before="240" w:after="240"/>
        <w:jc w:val="both"/>
        <w:rPr>
          <w:noProof/>
          <w:sz w:val="24"/>
          <w:szCs w:val="24"/>
        </w:rPr>
      </w:pPr>
      <w:r>
        <w:rPr>
          <w:noProof/>
          <w:sz w:val="24"/>
        </w:rPr>
        <w:t>ESIR-takuurahaston sijoitussalkku on sijoitettu ESIR-takuurahaston varainhoidon suuntaviivoista 21. tammikuuta 2016 annetussa komission päätöksessä C(2016)165 vahvistettujen varainhoidon periaatteiden mukaisesti.</w:t>
      </w:r>
    </w:p>
    <w:p>
      <w:pPr>
        <w:spacing w:before="240" w:after="240"/>
        <w:jc w:val="both"/>
        <w:rPr>
          <w:noProof/>
          <w:sz w:val="24"/>
          <w:szCs w:val="24"/>
        </w:rPr>
      </w:pPr>
      <w:r>
        <w:rPr>
          <w:noProof/>
          <w:sz w:val="24"/>
          <w:szCs w:val="24"/>
        </w:rPr>
        <w:t>Suuntaviivoissa edellytetään, että sijoitussalkun varoilla on oltava riittävä likviditeetti sellaisten tapausten varalta, joissa EU:n takaukseen vedotaan. Samalla on kuitenkin pyrittävä optimoimaan tuotto ja riskitaso siten, että turvallisuus ja vakaus säilyvät korkealla tasolla.</w:t>
      </w:r>
    </w:p>
    <w:p>
      <w:pPr>
        <w:spacing w:before="240" w:after="240"/>
        <w:jc w:val="both"/>
        <w:rPr>
          <w:noProof/>
          <w:sz w:val="24"/>
          <w:szCs w:val="24"/>
        </w:rPr>
      </w:pPr>
      <w:r>
        <w:rPr>
          <w:noProof/>
          <w:sz w:val="24"/>
          <w:szCs w:val="24"/>
        </w:rPr>
        <w:t xml:space="preserve">Rahastoa varten hyväksyttiin sijoitus- ja riskinhallintastrategiat, joissa on otettu huomioon sijoitustavoitteet ja markkinoiden näkymät. Rahaston sijoituspolitiikalla pyrittiin lisäämään hajauttamista erilaisiin kiinteätuottoisiin omaisuusluokkiin. </w:t>
      </w:r>
    </w:p>
    <w:p>
      <w:pPr>
        <w:pStyle w:val="Heading2"/>
        <w:rPr>
          <w:rFonts w:ascii="Times New Roman" w:hAnsi="Times New Roman" w:cs="Times New Roman"/>
          <w:noProof/>
        </w:rPr>
      </w:pPr>
      <w:bookmarkStart w:id="62" w:name="_Toc477528179"/>
      <w:bookmarkStart w:id="63" w:name="_Toc477855456"/>
      <w:bookmarkStart w:id="64" w:name="_Toc3825659"/>
      <w:bookmarkStart w:id="65" w:name="_Toc8829267"/>
      <w:r>
        <w:rPr>
          <w:rFonts w:ascii="Times New Roman" w:hAnsi="Times New Roman"/>
          <w:noProof/>
        </w:rPr>
        <w:t xml:space="preserve">Markkinoiden kehitys vuonna </w:t>
      </w:r>
      <w:bookmarkEnd w:id="62"/>
      <w:bookmarkEnd w:id="63"/>
      <w:r>
        <w:rPr>
          <w:rFonts w:ascii="Times New Roman" w:hAnsi="Times New Roman"/>
          <w:noProof/>
        </w:rPr>
        <w:t>2018</w:t>
      </w:r>
      <w:bookmarkEnd w:id="64"/>
      <w:bookmarkEnd w:id="65"/>
    </w:p>
    <w:p>
      <w:pPr>
        <w:spacing w:before="240" w:after="240"/>
        <w:jc w:val="both"/>
        <w:rPr>
          <w:noProof/>
          <w:sz w:val="24"/>
          <w:szCs w:val="24"/>
        </w:rPr>
      </w:pPr>
      <w:r>
        <w:rPr>
          <w:noProof/>
          <w:sz w:val="24"/>
          <w:szCs w:val="24"/>
        </w:rPr>
        <w:t xml:space="preserve">Vuosi 2018 oli sijoittajille haastava, sillä sijoitusten tuotto oli yleisesti negatiivinen tai ennätyksellisen alhainen, minkä lisäksi haasteena olivat markkinoiden huomattava volatiliteetti ja epävarmuustekijät. </w:t>
      </w:r>
      <w:r>
        <w:rPr>
          <w:noProof/>
          <w:sz w:val="24"/>
        </w:rPr>
        <w:t>Volatiiliin ympäristöön vaikuttaneita avaintekijöitä olivat euroalueen ja Yhdysvaltain rahapolitiikan asteittainen kiristyminen, kun kasvun odotettiin jatkuvan ja inflaation kiihtyvän, kauppasota, Italian tilanne ja talousnäkymien synkkeneminen vuoden loppupuolella.</w:t>
      </w:r>
      <w:r>
        <w:rPr>
          <w:noProof/>
          <w:sz w:val="24"/>
          <w:szCs w:val="24"/>
        </w:rPr>
        <w:t xml:space="preserve"> </w:t>
      </w:r>
      <w:r>
        <w:rPr>
          <w:noProof/>
          <w:sz w:val="24"/>
        </w:rPr>
        <w:t>Rahapolitiikan puolella Euroopan keskuspankki (EKP) ensin syyskuussa vähensi rahan määrän lisäämiseen tähtääviä kuukausittaisia omaisuuserien netto-ostoja 30 miljardista eurosta 15 miljardiin euroon ja sen jälkeen vuoden 2018 lopussa lopetti netto-ostot.</w:t>
      </w:r>
      <w:r>
        <w:rPr>
          <w:noProof/>
          <w:sz w:val="24"/>
          <w:szCs w:val="24"/>
        </w:rPr>
        <w:t xml:space="preserve"> </w:t>
      </w:r>
      <w:r>
        <w:rPr>
          <w:noProof/>
          <w:sz w:val="24"/>
        </w:rPr>
        <w:t>Yhdysvaltain keskuspankki toteutti vuoden aikana neljä 25 peruspisteen korotusta, joilla fed funds -tavoitekorko nousi 2,25–2,5 prosenttiin vuoden loppuun mennessä.</w:t>
      </w:r>
    </w:p>
    <w:p>
      <w:pPr>
        <w:spacing w:before="120" w:after="120"/>
        <w:jc w:val="both"/>
        <w:rPr>
          <w:noProof/>
          <w:sz w:val="24"/>
          <w:szCs w:val="24"/>
        </w:rPr>
      </w:pPr>
      <w:r>
        <w:rPr>
          <w:noProof/>
          <w:sz w:val="24"/>
        </w:rPr>
        <w:t>Euroopan kiinteätuottoisilla markkinoilla tuotot kasvoivat huomattavasti vuoden 2018 alussa, mutta olivat yleisesti alimmillaan vuoden lopussa, mikä johtui talouskasvun ja -näkymien heikkenemisestä, öljyn hintojen laskusta ja keskipitkän aikavälin ohjauskorko-odotusten alenemisesta.</w:t>
      </w:r>
      <w:r>
        <w:rPr>
          <w:noProof/>
          <w:sz w:val="24"/>
          <w:szCs w:val="24"/>
        </w:rPr>
        <w:t xml:space="preserve"> Luottomarginaalit kasvoivat vuoden aikana, ja kasvu nopeutui joulukuussa, kun osakemarkkinoiden kehitys heikkeni ja EKP lopetti omaisuuserien netto-ostot. Myös euroalueen lyhytaikaisten joukkolainojen tuotot pienenivät, mutta vähäisemmässä määrin, mikä johti tuottokäyrien tasoittumiseen kautta linjan. Euroalueen talouden ilmapiiriä kuvaava indeksi, joka kertoo sekä kotitalouksien että yritysten mielialasta, heikkeni enemmän kuin analyytikot ennustivat, alimmilleen lähes kahteen vuoteen. Indeksi heikkeni laajasti kaikilla toimialoilla ja kaikissa maissa. Reuna-alueiden ja Saksan liittovaltion liikkeeseen laskemien joukkolainojen korkoero kapeni joulukuussa kautta linjan. Italian valtion joukkolainojen tuottoero pieneni yli 30 peruspisteellä 250 peruspisteeseen kuun lopussa. Tähän vaikutti se, että Italia pääsi Euroopan komission kanssa yhteisymmärrykseen talousarviostaan.</w:t>
      </w:r>
      <w:bookmarkStart w:id="66" w:name="_Toc477528181"/>
      <w:bookmarkStart w:id="67" w:name="_Toc477855458"/>
      <w:bookmarkStart w:id="68" w:name="_Toc3825660"/>
    </w:p>
    <w:p>
      <w:pPr>
        <w:pStyle w:val="Heading2"/>
        <w:rPr>
          <w:rFonts w:ascii="Times New Roman" w:hAnsi="Times New Roman" w:cs="Times New Roman"/>
          <w:noProof/>
        </w:rPr>
      </w:pPr>
      <w:bookmarkStart w:id="69" w:name="_Toc8829268"/>
      <w:r>
        <w:rPr>
          <w:rFonts w:ascii="Times New Roman" w:hAnsi="Times New Roman"/>
          <w:noProof/>
        </w:rPr>
        <w:t>Salkun koostumus ja keskeiset riskit</w:t>
      </w:r>
      <w:bookmarkEnd w:id="66"/>
      <w:bookmarkEnd w:id="67"/>
      <w:bookmarkEnd w:id="68"/>
      <w:bookmarkEnd w:id="69"/>
    </w:p>
    <w:p>
      <w:pPr>
        <w:spacing w:before="240" w:after="240"/>
        <w:jc w:val="both"/>
        <w:rPr>
          <w:noProof/>
          <w:sz w:val="24"/>
          <w:szCs w:val="24"/>
        </w:rPr>
      </w:pPr>
      <w:r>
        <w:rPr>
          <w:noProof/>
          <w:sz w:val="24"/>
          <w:szCs w:val="24"/>
        </w:rPr>
        <w:t xml:space="preserve">Sijoitussalkku käsitti 31. joulukuuta 2018 pääasiassa valtioiden liikkeeseen laskemia arvopapereita (27 % markkina-arvosta, kun normisalkussa vastaava osuus on 46 %) sekä valtiotasoa alempien elinten, ylikansallisten organisaatioiden ja virastojen sekä EU:n ulkopuolisten valtioiden liikkeeseen laskemia arvopapereita (18 % markkina-arvosta, kun normisalkussa vastaava osuus on 12 %) ja katettuja joukkovelkakirjoja (25 % markkina-arvosta, kun normisalkussa vastaava osuus on 20 %). Loput olivat pääasiassa yritysten ja rahoituslaitosten liikkeeseen laskemia vakuudettomia joukkovelkakirjoja. Noin 9 % salkusta sijoitettiin likvideihin ja korkean luokituksen saaneisiin (AA/AAA) dollarimääräisiin sijoitustuotteisiin. Nämä sijoitukset on suojattu valuuttariskiltä. Vuoden 2018 lopussa salkussa oli ympäristö-, sosiaali- ja hallintotapakriteerit täyttäviä joukkovelkakirjoja yli kolme kertaa tavoitetta enemmän. </w:t>
      </w:r>
    </w:p>
    <w:p>
      <w:pPr>
        <w:spacing w:before="240" w:after="240"/>
        <w:jc w:val="both"/>
        <w:rPr>
          <w:noProof/>
          <w:sz w:val="24"/>
          <w:szCs w:val="24"/>
        </w:rPr>
      </w:pPr>
      <w:r>
        <w:rPr>
          <w:noProof/>
          <w:sz w:val="24"/>
          <w:szCs w:val="24"/>
        </w:rPr>
        <w:t>Salkun duraatio</w:t>
      </w:r>
      <w:r>
        <w:rPr>
          <w:rStyle w:val="FootnoteReference"/>
          <w:noProof/>
          <w:sz w:val="24"/>
          <w:szCs w:val="24"/>
        </w:rPr>
        <w:footnoteReference w:id="13"/>
      </w:r>
      <w:r>
        <w:rPr>
          <w:noProof/>
          <w:sz w:val="24"/>
          <w:szCs w:val="24"/>
        </w:rPr>
        <w:t xml:space="preserve"> oli vuoden 2018 lopussa 2,41 vuotta. Keskimääräinen luottoluokitus on A–.</w:t>
      </w:r>
    </w:p>
    <w:p>
      <w:pPr>
        <w:spacing w:before="240" w:after="240"/>
        <w:jc w:val="both"/>
        <w:rPr>
          <w:noProof/>
          <w:sz w:val="24"/>
          <w:szCs w:val="24"/>
        </w:rPr>
      </w:pPr>
      <w:r>
        <w:rPr>
          <w:noProof/>
          <w:sz w:val="24"/>
          <w:szCs w:val="24"/>
        </w:rPr>
        <w:t>Suurin osa salkusta on sijoitettu likvideihin arvopapereihin, ja riittävä osuus (21 % salkun kokonaisarvosta) erääntyy alle 12 kuukauden kuluessa.</w:t>
      </w:r>
    </w:p>
    <w:p>
      <w:pPr>
        <w:spacing w:before="240" w:after="240"/>
        <w:jc w:val="both"/>
        <w:rPr>
          <w:noProof/>
          <w:sz w:val="24"/>
          <w:szCs w:val="24"/>
        </w:rPr>
      </w:pPr>
      <w:r>
        <w:rPr>
          <w:noProof/>
          <w:sz w:val="24"/>
          <w:szCs w:val="24"/>
        </w:rPr>
        <w:t>Salkun profiili (duraatio, luottoriski ja likviditeetti) on kalibroitu EU:n takauksen kattamista ESIR-toimista aiheutuvien ennakoitujen rahavirtojen mukaisesti (esim. arvioidut EU:n takaukseen perustuvat maksut, tulot).</w:t>
      </w:r>
    </w:p>
    <w:p>
      <w:pPr>
        <w:pStyle w:val="Heading2"/>
        <w:rPr>
          <w:rFonts w:ascii="Times New Roman" w:hAnsi="Times New Roman" w:cs="Times New Roman"/>
          <w:noProof/>
        </w:rPr>
      </w:pPr>
      <w:bookmarkStart w:id="70" w:name="_Toc477528182"/>
      <w:bookmarkStart w:id="71" w:name="_Toc477855459"/>
      <w:bookmarkStart w:id="72" w:name="_Toc3825661"/>
      <w:bookmarkStart w:id="73" w:name="_Toc8829269"/>
      <w:r>
        <w:rPr>
          <w:rFonts w:ascii="Times New Roman" w:hAnsi="Times New Roman"/>
          <w:noProof/>
        </w:rPr>
        <w:t>Tulos</w:t>
      </w:r>
      <w:bookmarkEnd w:id="70"/>
      <w:bookmarkEnd w:id="71"/>
      <w:bookmarkEnd w:id="72"/>
      <w:bookmarkEnd w:id="73"/>
    </w:p>
    <w:p>
      <w:pPr>
        <w:spacing w:before="240" w:after="240"/>
        <w:jc w:val="both"/>
        <w:rPr>
          <w:noProof/>
          <w:sz w:val="24"/>
          <w:szCs w:val="24"/>
        </w:rPr>
      </w:pPr>
      <w:r>
        <w:rPr>
          <w:noProof/>
          <w:sz w:val="24"/>
          <w:szCs w:val="24"/>
        </w:rPr>
        <w:t>Vuositulos on laskettu aikapainotettuna, jotta salkun koko (joka kasvoi huomattavasti vuoden aikana) ei vaikuttaisi siihen.</w:t>
      </w:r>
    </w:p>
    <w:p>
      <w:pPr>
        <w:spacing w:before="240" w:after="240"/>
        <w:jc w:val="both"/>
        <w:rPr>
          <w:noProof/>
          <w:sz w:val="24"/>
          <w:szCs w:val="24"/>
        </w:rPr>
      </w:pPr>
      <w:r>
        <w:rPr>
          <w:noProof/>
          <w:sz w:val="24"/>
          <w:szCs w:val="24"/>
        </w:rPr>
        <w:t>Hyvin haastavassa markkinaympäristössä, jolle oli ominaista yleisesti negatiivinen tai ennätyksellisen alhainen sijoitusten tuotto sekä markkinoiden huomattava volatiliteetti ja epävarmuustekijät, rahaston absoluuttinen tulos vuonna 2018 oli –0,312 %. Tämä tuotto vastaa ESIR-rahaston vuositulokselle asetettua viitearvoa (–0,305 %), ja se saavutettiin tilanteessa, jossa korot olivat euroalueella negatiivisia (etenkin markkinoiden ”luottoriskittöminä” ja likvideinä pitämien eurooppalaisten arvopapereiden korot) ja Yhdysvalloissa korkoja nostettiin useita kertoja.</w:t>
      </w:r>
    </w:p>
    <w:p>
      <w:pPr>
        <w:pStyle w:val="Heading1"/>
        <w:rPr>
          <w:rFonts w:ascii="Times New Roman" w:hAnsi="Times New Roman" w:cs="Times New Roman"/>
          <w:noProof/>
        </w:rPr>
      </w:pPr>
      <w:bookmarkStart w:id="74" w:name="_Toc449689415"/>
      <w:bookmarkStart w:id="75" w:name="_Toc477351968"/>
      <w:bookmarkStart w:id="76" w:name="_Toc477528183"/>
      <w:bookmarkStart w:id="77" w:name="_Toc477855460"/>
      <w:bookmarkStart w:id="78" w:name="_Toc3825662"/>
      <w:bookmarkStart w:id="79" w:name="_Toc8829270"/>
      <w:r>
        <w:rPr>
          <w:rFonts w:ascii="Times New Roman" w:hAnsi="Times New Roman"/>
          <w:noProof/>
        </w:rPr>
        <w:t>Arvio tavoitesumman riittävyydestä ja ESIR-takuurahaston varojen määrästä</w:t>
      </w:r>
      <w:bookmarkEnd w:id="74"/>
      <w:bookmarkEnd w:id="75"/>
      <w:bookmarkEnd w:id="76"/>
      <w:bookmarkEnd w:id="77"/>
      <w:bookmarkEnd w:id="78"/>
      <w:bookmarkEnd w:id="79"/>
    </w:p>
    <w:p>
      <w:pPr>
        <w:spacing w:before="200" w:after="180"/>
        <w:jc w:val="both"/>
        <w:rPr>
          <w:noProof/>
          <w:sz w:val="24"/>
          <w:szCs w:val="24"/>
        </w:rPr>
      </w:pPr>
      <w:r>
        <w:rPr>
          <w:noProof/>
          <w:sz w:val="24"/>
          <w:szCs w:val="24"/>
        </w:rPr>
        <w:t xml:space="preserve">Allekirjoitetut ESIR-toimet olivat 31. joulukuuta 2018 yhteensä 53,6 miljardia euroa ja kattoivat 28 jäsenvaltiota. Tästä summasta 39,1 miljardia euroa kuuluu infrastruktuuri- ja innovointi-ikkunaan (407 toimea) ja 14,5 miljardia euroa pk-yritysikkunaan (470 toimea). Kaiken kaikkiaan tämä merkitsee huomattavaa lisäystä verrattuna vuoteen 2017, jonka lopussa allekirjoitettujen toimien kokonaissumma oli 37,4 miljardia euroa. </w:t>
      </w:r>
    </w:p>
    <w:p>
      <w:pPr>
        <w:spacing w:before="200" w:after="180"/>
        <w:jc w:val="both"/>
        <w:rPr>
          <w:noProof/>
          <w:sz w:val="24"/>
          <w:szCs w:val="24"/>
        </w:rPr>
      </w:pPr>
      <w:r>
        <w:rPr>
          <w:noProof/>
          <w:sz w:val="24"/>
          <w:szCs w:val="24"/>
        </w:rPr>
        <w:t xml:space="preserve">EU:n takauksen kattamien jäljellä olevien maksettujen vastuiden kokonaismäärä oli 31. joulukuuta 2018 lähes 15,8 miljardia euroa, kun se oli vuonna 2017 ollut 10,1 miljardia euroa. </w:t>
      </w:r>
    </w:p>
    <w:p>
      <w:pPr>
        <w:spacing w:before="200" w:after="180"/>
        <w:jc w:val="both"/>
        <w:rPr>
          <w:noProof/>
          <w:sz w:val="24"/>
          <w:szCs w:val="24"/>
        </w:rPr>
      </w:pPr>
      <w:r>
        <w:rPr>
          <w:noProof/>
          <w:sz w:val="24"/>
          <w:szCs w:val="24"/>
        </w:rPr>
        <w:t>EU:n talousarvioon kohdistuvat vastuut, jotka johtuvat EU:n takauksen kattamista, allekirjoitetuista (maksetuista ja vielä maksamatta olevista) toimista mahdollisesti aiheutuvista maksuista, olivat 19,8 miljardia euroa.</w:t>
      </w:r>
    </w:p>
    <w:p>
      <w:pPr>
        <w:spacing w:before="200" w:after="180"/>
        <w:jc w:val="both"/>
        <w:rPr>
          <w:noProof/>
          <w:sz w:val="24"/>
          <w:szCs w:val="24"/>
        </w:rPr>
      </w:pPr>
      <w:r>
        <w:rPr>
          <w:noProof/>
          <w:sz w:val="24"/>
          <w:szCs w:val="24"/>
        </w:rPr>
        <w:t>Infrastruktuuri- ja innovointi-ikkunaan sisältyvät, EU:n takauksen kattamat jäljellä olevat maksetut vastuut olivat yhteensä 14,8 miljardia euroa, josta 14,2 miljardia euroa liittyi vieraan pääoman ehtoisiin toimiin ja 0,6 miljardia euroa oman pääoman ehtoisiin toimiin.</w:t>
      </w:r>
    </w:p>
    <w:p>
      <w:pPr>
        <w:spacing w:before="200" w:after="180"/>
        <w:jc w:val="both"/>
        <w:rPr>
          <w:noProof/>
          <w:sz w:val="24"/>
          <w:szCs w:val="24"/>
        </w:rPr>
      </w:pPr>
      <w:r>
        <w:rPr>
          <w:noProof/>
          <w:sz w:val="24"/>
          <w:szCs w:val="24"/>
        </w:rPr>
        <w:t>Jos näistä infrastruktuuri- ja innovointi-ikkunaan kuuluvista toimista aiheutuu tappioita, ne katetaan EU:n takauksesta ESIR-sopimuksen ehtojen mukaisesti. Infrastruktuuri- ja innovointi-ikkunassa EU:n takaus myönnetään vieraan pääoman ehtoisille toimille (IIW Debt Portfolios) ja oman pääoman ehtoisille kansallisten kehityspankkien toimille (IIW NPB Equity Portfolio) salkun suuririskisimpään osaan kohdistuvana takauksena. Tavanomaisille oman pääoman ehtoisille toimille (IIW Standard Equity Portfolio) EU:n takaus annetaan täysimääräisenä takauksena sillä edellytyksellä, että EIP sijoittaa vastaavan määrän varoja omalla riskillä pari passu -periaatteella.</w:t>
      </w:r>
    </w:p>
    <w:p>
      <w:pPr>
        <w:spacing w:before="200" w:after="180"/>
        <w:jc w:val="both"/>
        <w:rPr>
          <w:noProof/>
          <w:sz w:val="24"/>
          <w:szCs w:val="24"/>
        </w:rPr>
      </w:pPr>
      <w:r>
        <w:rPr>
          <w:noProof/>
          <w:sz w:val="24"/>
          <w:szCs w:val="24"/>
        </w:rPr>
        <w:t>Pk-yritysikkunaan sisältyvät, EU:n takauksella katetut vastuut olivat 31. joulukuuta 2018 yhteensä 0,995 miljardia euroa, josta 0,880 miljardia euroa liittyi takaustoimiin ja 0,115 miljardia euroa oman pääoman ehtoisiin toimiin.</w:t>
      </w:r>
      <w:r>
        <w:rPr>
          <w:rStyle w:val="FootnoteReference"/>
          <w:noProof/>
          <w:sz w:val="24"/>
          <w:szCs w:val="24"/>
        </w:rPr>
        <w:footnoteReference w:id="14"/>
      </w:r>
    </w:p>
    <w:p>
      <w:pPr>
        <w:spacing w:before="200" w:after="180"/>
        <w:jc w:val="both"/>
        <w:rPr>
          <w:noProof/>
          <w:sz w:val="24"/>
          <w:szCs w:val="24"/>
        </w:rPr>
      </w:pPr>
      <w:r>
        <w:rPr>
          <w:noProof/>
          <w:sz w:val="24"/>
          <w:szCs w:val="24"/>
        </w:rPr>
        <w:t>Jos näistä pk-yritysikkunaan kuuluvista toimista aiheutuu tappioita, ne katetaan ensisijaisesti pk-yritysten InnovFin-takausjärjestelmästä, COSME-ohjelman lainatakausjärjestelystä, kulttuurialan ja luovien toimialojen takausjärjestelystä ja EaSI-ohjelman rahoituksen takuuvälineestä. Pk-yritysikkunassa oman pääoman ehtoisen tuotteen osalta mahdollisesti aiheutuvat tappiot katettaisiin ESIR-rahaston puitteissa EU:n takauksesta ja InnovFin Equity -välineen suuririskisimmästä osasta (alaikkunassa 2).</w:t>
      </w:r>
    </w:p>
    <w:p>
      <w:pPr>
        <w:spacing w:before="200" w:after="180"/>
        <w:jc w:val="both"/>
        <w:rPr>
          <w:noProof/>
          <w:sz w:val="24"/>
          <w:szCs w:val="24"/>
        </w:rPr>
      </w:pPr>
      <w:r>
        <w:rPr>
          <w:noProof/>
          <w:sz w:val="24"/>
          <w:szCs w:val="24"/>
        </w:rPr>
        <w:t>ESIR-takuurahaston tavoitesumma on 35 prosenttia EU:n koko takausvelvoitteesta.</w:t>
      </w:r>
      <w:r>
        <w:rPr>
          <w:rStyle w:val="FootnoteReference"/>
          <w:noProof/>
          <w:sz w:val="24"/>
          <w:szCs w:val="24"/>
        </w:rPr>
        <w:footnoteReference w:id="15"/>
      </w:r>
      <w:r>
        <w:rPr>
          <w:noProof/>
          <w:sz w:val="24"/>
          <w:szCs w:val="24"/>
        </w:rPr>
        <w:t xml:space="preserve"> EU:n takauksen piiriin kuuluvien tuotteiden riskinarviointi osoittaa, että unionin talousarvio on yleisesti ottaen riittävästi suojattu mahdollisilta EU:n takaukseen kohdistuvilta maksuvaatimuksilta tällä rahoitusosuustavoitteella, ottaen huomioon EIP:n toimiin liittyvät takaisinperinnät, tulot ja takaisin maksettavat varat. Näin ollen 35 prosentin rahoitusosuustavoitetta pidetään riittävänä.</w:t>
      </w:r>
    </w:p>
    <w:p>
      <w:pPr>
        <w:spacing w:before="200" w:after="180"/>
        <w:jc w:val="both"/>
        <w:rPr>
          <w:noProof/>
          <w:sz w:val="24"/>
          <w:szCs w:val="24"/>
        </w:rPr>
      </w:pPr>
      <w:r>
        <w:rPr>
          <w:noProof/>
          <w:sz w:val="24"/>
          <w:szCs w:val="24"/>
        </w:rPr>
        <w:t>ESIR-takuurahasto on vuoteen 2022 asti kehitysvaiheessa, joten lisärahoitustarvetta arvioidaan myöhemmin.</w:t>
      </w:r>
    </w:p>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rPr>
    </w:pPr>
  </w:p>
  <w:p>
    <w:pPr>
      <w:pStyle w:val="Footer"/>
      <w:jc w:val="center"/>
      <w:rPr>
        <w:caps/>
        <w:noProof/>
      </w:rPr>
    </w:pPr>
    <w:r>
      <w:rPr>
        <w:caps/>
      </w:rPr>
      <w:fldChar w:fldCharType="begin"/>
    </w:r>
    <w:r>
      <w:rPr>
        <w:caps/>
      </w:rPr>
      <w:instrText xml:space="preserve"> PAGE   \* MERGEFORMAT </w:instrText>
    </w:r>
    <w:r>
      <w:rPr>
        <w:caps/>
      </w:rPr>
      <w:fldChar w:fldCharType="separate"/>
    </w:r>
    <w:r>
      <w:rPr>
        <w:caps/>
        <w:noProof/>
      </w:rPr>
      <w:t>1</w:t>
    </w:r>
    <w:r>
      <w:rPr>
        <w:cap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426" w:hanging="426"/>
      </w:pPr>
      <w:r>
        <w:rPr>
          <w:rStyle w:val="FootnoteReference"/>
        </w:rPr>
        <w:footnoteRef/>
      </w:r>
      <w:r>
        <w:tab/>
        <w:t>EUVL L 169, 1.7.2015, s. 1.</w:t>
      </w:r>
    </w:p>
  </w:footnote>
  <w:footnote w:id="2">
    <w:p>
      <w:pPr>
        <w:pStyle w:val="FootnoteText"/>
        <w:ind w:left="426" w:hanging="426"/>
      </w:pPr>
      <w:r>
        <w:rPr>
          <w:rStyle w:val="FootnoteReference"/>
        </w:rPr>
        <w:footnoteRef/>
      </w:r>
      <w:r>
        <w:tab/>
        <w:t>EUVL L 345, 27.12.2017, s. 34.</w:t>
      </w:r>
    </w:p>
  </w:footnote>
  <w:footnote w:id="3">
    <w:p>
      <w:pPr>
        <w:pStyle w:val="FootnoteText"/>
        <w:ind w:left="426" w:hanging="426"/>
        <w:rPr>
          <w:lang w:val="pt-PT"/>
        </w:rPr>
      </w:pPr>
      <w:r>
        <w:rPr>
          <w:rStyle w:val="FootnoteReference"/>
        </w:rPr>
        <w:footnoteRef/>
      </w:r>
      <w:r>
        <w:tab/>
        <w:t xml:space="preserve">Tämä kertomus on neljäs ESIR-takuurahastoa koskeva kertomus. </w:t>
      </w:r>
      <w:r>
        <w:rPr>
          <w:lang w:val="pt-PT"/>
        </w:rPr>
        <w:t>Aiemmat kertomukset, ks. COM(2016) 353 final, COM(2017) 326 final ja COM(2018) 345 final.</w:t>
      </w:r>
    </w:p>
  </w:footnote>
  <w:footnote w:id="4">
    <w:p>
      <w:pPr>
        <w:pStyle w:val="FootnoteText"/>
        <w:ind w:left="426" w:hanging="426"/>
      </w:pPr>
      <w:r>
        <w:rPr>
          <w:rStyle w:val="FootnoteReference"/>
        </w:rPr>
        <w:footnoteRef/>
      </w:r>
      <w:r>
        <w:tab/>
        <w:t>EU:n takauksen määrää nostettiin ESIR 2.0 -muutoksella 16 miljardista eurosta 26 miljardiin euroon.</w:t>
      </w:r>
    </w:p>
  </w:footnote>
  <w:footnote w:id="5">
    <w:p>
      <w:pPr>
        <w:pStyle w:val="FootnoteText"/>
        <w:ind w:left="426" w:hanging="426"/>
      </w:pPr>
      <w:r>
        <w:rPr>
          <w:rStyle w:val="FootnoteReference"/>
        </w:rPr>
        <w:footnoteRef/>
      </w:r>
      <w:r>
        <w:tab/>
        <w:t>EIP-ryhmän takauksen määrää nostettiin ESIR 2.0 -muutoksella 5 miljardista eurosta 7,5 miljardiin euroon.</w:t>
      </w:r>
    </w:p>
  </w:footnote>
  <w:footnote w:id="6">
    <w:p>
      <w:pPr>
        <w:pStyle w:val="FootnoteText"/>
        <w:ind w:left="426" w:hanging="426"/>
        <w:jc w:val="both"/>
      </w:pPr>
      <w:r>
        <w:rPr>
          <w:rStyle w:val="FootnoteReference"/>
        </w:rPr>
        <w:footnoteRef/>
      </w:r>
      <w:r>
        <w:rPr>
          <w:rStyle w:val="FootnoteReference"/>
        </w:rPr>
        <w:t xml:space="preserve"> </w:t>
      </w:r>
      <w:r>
        <w:tab/>
        <w:t>ESIR-takuurahaston tarkastettu tilinpäätös esitetään komission yksiköiden valmisteluasiakirjassa, joka liittyy ESIR-takuurahastoa koskevaan kertomukseen.</w:t>
      </w:r>
    </w:p>
  </w:footnote>
  <w:footnote w:id="7">
    <w:p>
      <w:pPr>
        <w:pStyle w:val="FootnoteText"/>
        <w:ind w:left="426" w:hanging="426"/>
        <w:jc w:val="both"/>
      </w:pPr>
      <w:r>
        <w:rPr>
          <w:rStyle w:val="FootnoteReference"/>
        </w:rPr>
        <w:footnoteRef/>
      </w:r>
      <w:r>
        <w:t xml:space="preserve"> </w:t>
      </w:r>
      <w:r>
        <w:tab/>
        <w:t>Ks. ESIR-takuurahastoa koskevaan kertomukseen liittyvän komission yksiköiden valmisteluasiakirja, s. 6.</w:t>
      </w:r>
    </w:p>
  </w:footnote>
  <w:footnote w:id="8">
    <w:p>
      <w:pPr>
        <w:pStyle w:val="FootnoteText"/>
        <w:ind w:left="426" w:hanging="426"/>
        <w:jc w:val="both"/>
      </w:pPr>
      <w:r>
        <w:rPr>
          <w:rStyle w:val="FootnoteReference"/>
        </w:rPr>
        <w:footnoteRef/>
      </w:r>
      <w:r>
        <w:tab/>
        <w:t>Nettomäärä muodostuu 4,3 miljoonan euron voitosta ja 17,6 miljoonan euron tappiosta.</w:t>
      </w:r>
    </w:p>
  </w:footnote>
  <w:footnote w:id="9">
    <w:p>
      <w:pPr>
        <w:pStyle w:val="FootnoteText"/>
        <w:ind w:left="426" w:hanging="426"/>
        <w:jc w:val="both"/>
      </w:pPr>
      <w:r>
        <w:rPr>
          <w:rStyle w:val="FootnoteReference"/>
        </w:rPr>
        <w:footnoteRef/>
      </w:r>
      <w:r>
        <w:t xml:space="preserve"> </w:t>
      </w:r>
      <w:r>
        <w:tab/>
        <w:t xml:space="preserve">ESIR 2.0 -muutoksen 11 artiklan mukaan EU:n takaus ei saa milloinkaan olla suurempi kuin 26 miljardia euroa eikä ennen 6. heinäkuuta 2018 suurempi kuin 16 miljardia euroa. EU:n takauksen nojalla esitetyt maksupyynnöt, takauksen käyttö ja pk-yritysikkunaan kuuluvia yrityslainasalkkujen takaustuotteita varten tehdyt varaukset vähennetään EU:n takauksen enimmäismäärästä. </w:t>
      </w:r>
    </w:p>
  </w:footnote>
  <w:footnote w:id="10">
    <w:p>
      <w:pPr>
        <w:pStyle w:val="FootnoteText"/>
        <w:ind w:left="426" w:hanging="426"/>
        <w:jc w:val="both"/>
        <w:rPr>
          <w:rStyle w:val="FootnoteReference"/>
        </w:rPr>
      </w:pPr>
      <w:r>
        <w:rPr>
          <w:rStyle w:val="FootnoteReference"/>
        </w:rPr>
        <w:footnoteRef/>
      </w:r>
      <w:r>
        <w:rPr>
          <w:rStyle w:val="FootnoteReference"/>
        </w:rPr>
        <w:t xml:space="preserve"> </w:t>
      </w:r>
      <w:r>
        <w:rPr>
          <w:rStyle w:val="FootnoteReference"/>
        </w:rPr>
        <w:tab/>
      </w:r>
      <w:r>
        <w:t>Ilman EIP:lle vuonna 2019 maksukyvyttömyystapahtuman seurauksena maksettavia 0,5 miljoonan euron takaisinperintäkuluja.</w:t>
      </w:r>
    </w:p>
  </w:footnote>
  <w:footnote w:id="11">
    <w:p>
      <w:pPr>
        <w:pStyle w:val="FootnoteText"/>
        <w:ind w:left="426" w:hanging="426"/>
        <w:jc w:val="both"/>
      </w:pPr>
      <w:r>
        <w:rPr>
          <w:rStyle w:val="FootnoteReference"/>
        </w:rPr>
        <w:footnoteRef/>
      </w:r>
      <w:r>
        <w:t xml:space="preserve"> </w:t>
      </w:r>
      <w:r>
        <w:tab/>
        <w:t>Ks. ESIR-sopimuksen 8.1 artiklan d kohta. Tähän määrään eivät sisälly edellä mainittuun maksupyyntöön liittyvät 1,6 miljoonan euron kulut.</w:t>
      </w:r>
    </w:p>
  </w:footnote>
  <w:footnote w:id="12">
    <w:p>
      <w:pPr>
        <w:pStyle w:val="FootnoteText"/>
        <w:ind w:left="426" w:hanging="426"/>
      </w:pPr>
      <w:r>
        <w:rPr>
          <w:rStyle w:val="FootnoteReference"/>
        </w:rPr>
        <w:footnoteRef/>
      </w:r>
      <w:r>
        <w:t xml:space="preserve"> </w:t>
      </w:r>
      <w:r>
        <w:tab/>
        <w:t>Ks. ESIR-sopimuksen 8.1 artiklan b kohta.</w:t>
      </w:r>
    </w:p>
  </w:footnote>
  <w:footnote w:id="13">
    <w:p>
      <w:pPr>
        <w:pStyle w:val="FootnoteText"/>
        <w:ind w:left="426" w:hanging="426"/>
        <w:jc w:val="both"/>
      </w:pPr>
      <w:r>
        <w:rPr>
          <w:rStyle w:val="FootnoteReference"/>
        </w:rPr>
        <w:footnoteRef/>
      </w:r>
      <w:r>
        <w:t xml:space="preserve"> </w:t>
      </w:r>
      <w:r>
        <w:tab/>
        <w:t>Duraatiota kuvaava luku viittaa muunnettuun duraatioon, joka mittaa joukkovelkakirjan hintaherkkyyttä koronmuutoksille. Tämä luku perustuu olettamukseen, että arvopaperin hinta ja korkotaso ovat kääntäen verrannolliset.</w:t>
      </w:r>
    </w:p>
  </w:footnote>
  <w:footnote w:id="14">
    <w:p>
      <w:pPr>
        <w:pStyle w:val="FootnoteText"/>
        <w:ind w:left="426" w:hanging="426"/>
        <w:jc w:val="both"/>
        <w:rPr>
          <w:rStyle w:val="FootnoteReference"/>
        </w:rPr>
      </w:pPr>
      <w:r>
        <w:rPr>
          <w:rStyle w:val="FootnoteReference"/>
        </w:rPr>
        <w:footnoteRef/>
      </w:r>
      <w:r>
        <w:rPr>
          <w:rStyle w:val="FootnoteReference"/>
        </w:rPr>
        <w:tab/>
      </w:r>
      <w:r>
        <w:t>Kuten käy ilmi 31. joulukuuta 2018 tehdystä EU:n tilinpäätöksestä, johon eivät sisälly sellaiset takaussopimukset, joiden voimassaolo alkaa vuonna 2019, COSME-ohjelmaan sisältyviä takausoperaatioita koskevat sidotut ja vielä maksamattomat määrät eivätkä oman pääoman ehtoisia toimia koskevat sidotut ja vielä maksamattomat määrät. Kaikkien viimeksi mainittujen luokkien sisällyttäminen tilinpäätökseen tarkoittaisi sitä, että EU:n takauksen mahdollisesti kattamien (maksettujen ja vielä maksamatta olevien) vastuiden määrä olisi 2,3 miljardia euroa.</w:t>
      </w:r>
    </w:p>
  </w:footnote>
  <w:footnote w:id="15">
    <w:p>
      <w:pPr>
        <w:pStyle w:val="FootnoteText"/>
        <w:ind w:left="426" w:hanging="426"/>
        <w:jc w:val="both"/>
      </w:pPr>
      <w:r>
        <w:rPr>
          <w:rStyle w:val="FootnoteReference"/>
        </w:rPr>
        <w:footnoteRef/>
      </w:r>
      <w:r>
        <w:t xml:space="preserve"> </w:t>
      </w:r>
      <w:r>
        <w:tab/>
        <w:t xml:space="preserve">Ks. </w:t>
      </w:r>
      <w:hyperlink r:id="rId1" w:history="1">
        <w:r>
          <w:rPr>
            <w:rStyle w:val="Hyperlink"/>
            <w:color w:val="auto"/>
            <w:u w:val="none"/>
          </w:rPr>
          <w:t>ESIR-asetuksen</w:t>
        </w:r>
      </w:hyperlink>
      <w:r>
        <w:t xml:space="preserve"> 12 artiklan 5 kohta.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17ED"/>
    <w:multiLevelType w:val="multilevel"/>
    <w:tmpl w:val="4AD42D2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2E6C419-FB1E-4DA2-BA90-0B2B63211142"/>
    <w:docVar w:name="LW_COVERPAGE_TYPE" w:val="1"/>
    <w:docVar w:name="LW_CROSSREFERENCE" w:val="{SWD(2019) 188 final}"/>
    <w:docVar w:name="LW_DocType" w:val="NORMAL"/>
    <w:docVar w:name="LW_EMISSION" w:val="28.5.2019"/>
    <w:docVar w:name="LW_EMISSION_ISODATE" w:val="2019-05-28"/>
    <w:docVar w:name="LW_EMISSION_LOCATION" w:val="BRX"/>
    <w:docVar w:name="LW_EMISSION_PREFIX" w:val="Bryssel "/>
    <w:docVar w:name="LW_EMISSION_SUFFIX" w:val=" "/>
    <w:docVar w:name="LW_ID_DOCTYPE_NONLW" w:val="CP-035"/>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OPAN PARLAMENTILLE, NEUVOSTOLLE JA TILINTARKASTUSTUOMIOISTUIMELLE _x000d__x000d__x000d__x000b_EUROOPAN STRATEGISTEN INVESTOINTIEN RAHASTON TAKUURAHASTON HALLINNOINNISTA VUONNA 2018 "/>
    <w:docVar w:name="LW_TYPE.DOC.CP" w:val="KOMISSION KERTOM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autoRedefine/>
    <w:uiPriority w:val="9"/>
    <w:qFormat/>
    <w:pPr>
      <w:keepNext/>
      <w:keepLines/>
      <w:numPr>
        <w:numId w:val="1"/>
      </w:numPr>
      <w:spacing w:before="480"/>
      <w:outlineLvl w:val="0"/>
    </w:pPr>
    <w:rPr>
      <w:rFonts w:asciiTheme="majorHAnsi" w:eastAsiaTheme="majorEastAsia" w:hAnsiTheme="majorHAnsi" w:cstheme="majorBidi"/>
      <w:b/>
      <w:bCs/>
      <w:smallCaps/>
      <w:color w:val="000000" w:themeColor="text1"/>
      <w:sz w:val="28"/>
      <w:szCs w:val="28"/>
      <w:lang w:eastAsia="de-DE"/>
    </w:rPr>
  </w:style>
  <w:style w:type="paragraph" w:styleId="Heading2">
    <w:name w:val="heading 2"/>
    <w:basedOn w:val="Normal"/>
    <w:next w:val="Normal"/>
    <w:link w:val="Heading2Char"/>
    <w:autoRedefine/>
    <w:uiPriority w:val="9"/>
    <w:unhideWhenUsed/>
    <w:qFormat/>
    <w:pPr>
      <w:keepNext/>
      <w:keepLines/>
      <w:numPr>
        <w:ilvl w:val="1"/>
        <w:numId w:val="1"/>
      </w:numPr>
      <w:spacing w:before="200"/>
      <w:jc w:val="both"/>
      <w:outlineLvl w:val="1"/>
    </w:pPr>
    <w:rPr>
      <w:rFonts w:asciiTheme="majorHAnsi" w:eastAsiaTheme="majorEastAsia" w:hAnsiTheme="majorHAnsi" w:cstheme="majorBidi"/>
      <w:bCs/>
      <w:smallCap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28"/>
      <w:szCs w:val="28"/>
      <w:lang w:eastAsia="de-DE"/>
    </w:rPr>
  </w:style>
  <w:style w:type="character" w:customStyle="1" w:styleId="Heading2Char">
    <w:name w:val="Heading 2 Char"/>
    <w:basedOn w:val="DefaultParagraphFont"/>
    <w:link w:val="Heading2"/>
    <w:uiPriority w:val="9"/>
    <w:rPr>
      <w:rFonts w:asciiTheme="majorHAnsi" w:eastAsiaTheme="majorEastAsia" w:hAnsiTheme="majorHAnsi" w:cstheme="majorBidi"/>
      <w:bCs/>
      <w:smallCaps/>
      <w:color w:val="000000" w:themeColor="text1"/>
      <w:sz w:val="26"/>
      <w:szCs w:val="2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link w:val="TOCHeadingChar"/>
    <w:uiPriority w:val="39"/>
    <w:unhideWhenUsed/>
    <w:qFormat/>
    <w:pPr>
      <w:widowControl/>
      <w:numPr>
        <w:numId w:val="0"/>
      </w:numPr>
      <w:autoSpaceDE/>
      <w:autoSpaceDN/>
      <w:adjustRightInd/>
      <w:spacing w:before="240" w:line="259" w:lineRule="auto"/>
      <w:outlineLvl w:val="9"/>
    </w:pPr>
    <w:rPr>
      <w:b w:val="0"/>
      <w:bCs w:val="0"/>
      <w:smallCaps w:val="0"/>
      <w:color w:val="2E74B5"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 w:val="24"/>
    </w:rPr>
  </w:style>
  <w:style w:type="character" w:customStyle="1" w:styleId="TOCHeadingChar">
    <w:name w:val="TOC Heading Char"/>
    <w:basedOn w:val="Heading1Char"/>
    <w:link w:val="TOCHeading"/>
    <w:uiPriority w:val="39"/>
    <w:rPr>
      <w:rFonts w:asciiTheme="majorHAnsi" w:eastAsiaTheme="majorEastAsia" w:hAnsiTheme="majorHAnsi" w:cstheme="majorBidi"/>
      <w:b w:val="0"/>
      <w:bCs w:val="0"/>
      <w:smallCaps w:val="0"/>
      <w:color w:val="2E74B5" w:themeColor="accent1" w:themeShade="BF"/>
      <w:sz w:val="32"/>
      <w:szCs w:val="32"/>
      <w:lang w:val="fi-FI" w:eastAsia="de-DE"/>
    </w:rPr>
  </w:style>
  <w:style w:type="character" w:customStyle="1" w:styleId="FooterCoverPageChar">
    <w:name w:val="Footer Cover Page Char"/>
    <w:basedOn w:val="TOCHeadingChar"/>
    <w:link w:val="FooterCoverPage"/>
    <w:rPr>
      <w:rFonts w:ascii="Times New Roman" w:eastAsia="Times New Roman" w:hAnsi="Times New Roman" w:cs="Times New Roman"/>
      <w:b w:val="0"/>
      <w:bCs w:val="0"/>
      <w:smallCaps w:val="0"/>
      <w:color w:val="2E74B5" w:themeColor="accent1" w:themeShade="BF"/>
      <w:sz w:val="24"/>
      <w:szCs w:val="20"/>
      <w:lang w:val="fi-FI"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HeadingChar"/>
    <w:link w:val="FooterSensitivity"/>
    <w:rPr>
      <w:rFonts w:ascii="Times New Roman" w:eastAsia="Times New Roman" w:hAnsi="Times New Roman" w:cs="Times New Roman"/>
      <w:b/>
      <w:bCs w:val="0"/>
      <w:smallCaps w:val="0"/>
      <w:color w:val="2E74B5" w:themeColor="accent1" w:themeShade="BF"/>
      <w:sz w:val="32"/>
      <w:szCs w:val="20"/>
      <w:lang w:val="fi-FI" w:eastAsia="en-GB"/>
    </w:rPr>
  </w:style>
  <w:style w:type="paragraph" w:customStyle="1" w:styleId="HeaderCoverPage">
    <w:name w:val="Header Cover Page"/>
    <w:basedOn w:val="Normal"/>
    <w:link w:val="HeaderCoverPageChar"/>
    <w:pPr>
      <w:tabs>
        <w:tab w:val="center" w:pos="4535"/>
        <w:tab w:val="right" w:pos="9071"/>
      </w:tabs>
      <w:spacing w:after="120"/>
      <w:jc w:val="both"/>
    </w:pPr>
    <w:rPr>
      <w:sz w:val="24"/>
    </w:rPr>
  </w:style>
  <w:style w:type="character" w:customStyle="1" w:styleId="HeaderCoverPageChar">
    <w:name w:val="Header Cover Page Char"/>
    <w:basedOn w:val="TOCHeadingChar"/>
    <w:link w:val="HeaderCoverPage"/>
    <w:rPr>
      <w:rFonts w:ascii="Times New Roman" w:eastAsia="Times New Roman" w:hAnsi="Times New Roman" w:cs="Times New Roman"/>
      <w:b w:val="0"/>
      <w:bCs w:val="0"/>
      <w:smallCaps w:val="0"/>
      <w:color w:val="2E74B5" w:themeColor="accent1" w:themeShade="BF"/>
      <w:sz w:val="24"/>
      <w:szCs w:val="20"/>
      <w:lang w:val="fi-FI"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bCs w:val="0"/>
      <w:smallCaps w:val="0"/>
      <w:color w:val="2E74B5" w:themeColor="accent1" w:themeShade="BF"/>
      <w:sz w:val="32"/>
      <w:szCs w:val="20"/>
      <w:lang w:val="fi-FI"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autoRedefine/>
    <w:uiPriority w:val="9"/>
    <w:qFormat/>
    <w:pPr>
      <w:keepNext/>
      <w:keepLines/>
      <w:numPr>
        <w:numId w:val="1"/>
      </w:numPr>
      <w:spacing w:before="480"/>
      <w:outlineLvl w:val="0"/>
    </w:pPr>
    <w:rPr>
      <w:rFonts w:asciiTheme="majorHAnsi" w:eastAsiaTheme="majorEastAsia" w:hAnsiTheme="majorHAnsi" w:cstheme="majorBidi"/>
      <w:b/>
      <w:bCs/>
      <w:smallCaps/>
      <w:color w:val="000000" w:themeColor="text1"/>
      <w:sz w:val="28"/>
      <w:szCs w:val="28"/>
      <w:lang w:eastAsia="de-DE"/>
    </w:rPr>
  </w:style>
  <w:style w:type="paragraph" w:styleId="Heading2">
    <w:name w:val="heading 2"/>
    <w:basedOn w:val="Normal"/>
    <w:next w:val="Normal"/>
    <w:link w:val="Heading2Char"/>
    <w:autoRedefine/>
    <w:uiPriority w:val="9"/>
    <w:unhideWhenUsed/>
    <w:qFormat/>
    <w:pPr>
      <w:keepNext/>
      <w:keepLines/>
      <w:numPr>
        <w:ilvl w:val="1"/>
        <w:numId w:val="1"/>
      </w:numPr>
      <w:spacing w:before="200"/>
      <w:jc w:val="both"/>
      <w:outlineLvl w:val="1"/>
    </w:pPr>
    <w:rPr>
      <w:rFonts w:asciiTheme="majorHAnsi" w:eastAsiaTheme="majorEastAsia" w:hAnsiTheme="majorHAnsi" w:cstheme="majorBidi"/>
      <w:bCs/>
      <w:smallCap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28"/>
      <w:szCs w:val="28"/>
      <w:lang w:eastAsia="de-DE"/>
    </w:rPr>
  </w:style>
  <w:style w:type="character" w:customStyle="1" w:styleId="Heading2Char">
    <w:name w:val="Heading 2 Char"/>
    <w:basedOn w:val="DefaultParagraphFont"/>
    <w:link w:val="Heading2"/>
    <w:uiPriority w:val="9"/>
    <w:rPr>
      <w:rFonts w:asciiTheme="majorHAnsi" w:eastAsiaTheme="majorEastAsia" w:hAnsiTheme="majorHAnsi" w:cstheme="majorBidi"/>
      <w:bCs/>
      <w:smallCaps/>
      <w:color w:val="000000" w:themeColor="text1"/>
      <w:sz w:val="26"/>
      <w:szCs w:val="2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link w:val="TOCHeadingChar"/>
    <w:uiPriority w:val="39"/>
    <w:unhideWhenUsed/>
    <w:qFormat/>
    <w:pPr>
      <w:widowControl/>
      <w:numPr>
        <w:numId w:val="0"/>
      </w:numPr>
      <w:autoSpaceDE/>
      <w:autoSpaceDN/>
      <w:adjustRightInd/>
      <w:spacing w:before="240" w:line="259" w:lineRule="auto"/>
      <w:outlineLvl w:val="9"/>
    </w:pPr>
    <w:rPr>
      <w:b w:val="0"/>
      <w:bCs w:val="0"/>
      <w:smallCaps w:val="0"/>
      <w:color w:val="2E74B5"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 w:val="24"/>
    </w:rPr>
  </w:style>
  <w:style w:type="character" w:customStyle="1" w:styleId="TOCHeadingChar">
    <w:name w:val="TOC Heading Char"/>
    <w:basedOn w:val="Heading1Char"/>
    <w:link w:val="TOCHeading"/>
    <w:uiPriority w:val="39"/>
    <w:rPr>
      <w:rFonts w:asciiTheme="majorHAnsi" w:eastAsiaTheme="majorEastAsia" w:hAnsiTheme="majorHAnsi" w:cstheme="majorBidi"/>
      <w:b w:val="0"/>
      <w:bCs w:val="0"/>
      <w:smallCaps w:val="0"/>
      <w:color w:val="2E74B5" w:themeColor="accent1" w:themeShade="BF"/>
      <w:sz w:val="32"/>
      <w:szCs w:val="32"/>
      <w:lang w:val="fi-FI" w:eastAsia="de-DE"/>
    </w:rPr>
  </w:style>
  <w:style w:type="character" w:customStyle="1" w:styleId="FooterCoverPageChar">
    <w:name w:val="Footer Cover Page Char"/>
    <w:basedOn w:val="TOCHeadingChar"/>
    <w:link w:val="FooterCoverPage"/>
    <w:rPr>
      <w:rFonts w:ascii="Times New Roman" w:eastAsia="Times New Roman" w:hAnsi="Times New Roman" w:cs="Times New Roman"/>
      <w:b w:val="0"/>
      <w:bCs w:val="0"/>
      <w:smallCaps w:val="0"/>
      <w:color w:val="2E74B5" w:themeColor="accent1" w:themeShade="BF"/>
      <w:sz w:val="24"/>
      <w:szCs w:val="20"/>
      <w:lang w:val="fi-FI"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HeadingChar"/>
    <w:link w:val="FooterSensitivity"/>
    <w:rPr>
      <w:rFonts w:ascii="Times New Roman" w:eastAsia="Times New Roman" w:hAnsi="Times New Roman" w:cs="Times New Roman"/>
      <w:b/>
      <w:bCs w:val="0"/>
      <w:smallCaps w:val="0"/>
      <w:color w:val="2E74B5" w:themeColor="accent1" w:themeShade="BF"/>
      <w:sz w:val="32"/>
      <w:szCs w:val="20"/>
      <w:lang w:val="fi-FI" w:eastAsia="en-GB"/>
    </w:rPr>
  </w:style>
  <w:style w:type="paragraph" w:customStyle="1" w:styleId="HeaderCoverPage">
    <w:name w:val="Header Cover Page"/>
    <w:basedOn w:val="Normal"/>
    <w:link w:val="HeaderCoverPageChar"/>
    <w:pPr>
      <w:tabs>
        <w:tab w:val="center" w:pos="4535"/>
        <w:tab w:val="right" w:pos="9071"/>
      </w:tabs>
      <w:spacing w:after="120"/>
      <w:jc w:val="both"/>
    </w:pPr>
    <w:rPr>
      <w:sz w:val="24"/>
    </w:rPr>
  </w:style>
  <w:style w:type="character" w:customStyle="1" w:styleId="HeaderCoverPageChar">
    <w:name w:val="Header Cover Page Char"/>
    <w:basedOn w:val="TOCHeadingChar"/>
    <w:link w:val="HeaderCoverPage"/>
    <w:rPr>
      <w:rFonts w:ascii="Times New Roman" w:eastAsia="Times New Roman" w:hAnsi="Times New Roman" w:cs="Times New Roman"/>
      <w:b w:val="0"/>
      <w:bCs w:val="0"/>
      <w:smallCaps w:val="0"/>
      <w:color w:val="2E74B5" w:themeColor="accent1" w:themeShade="BF"/>
      <w:sz w:val="24"/>
      <w:szCs w:val="20"/>
      <w:lang w:val="fi-FI"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bCs w:val="0"/>
      <w:smallCaps w:val="0"/>
      <w:color w:val="2E74B5" w:themeColor="accent1" w:themeShade="BF"/>
      <w:sz w:val="32"/>
      <w:szCs w:val="20"/>
      <w:lang w:val="fi-FI"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europa.eu/eli/reg/2015/1017/2017-1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D58136-20CF-47C5-874F-0A13058B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1968</Words>
  <Characters>16062</Characters>
  <Application>Microsoft Office Word</Application>
  <DocSecurity>0</DocSecurity>
  <Lines>247</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23</cp:revision>
  <cp:lastPrinted>2019-05-03T14:46:00Z</cp:lastPrinted>
  <dcterms:created xsi:type="dcterms:W3CDTF">2019-05-13T11:41:00Z</dcterms:created>
  <dcterms:modified xsi:type="dcterms:W3CDTF">2019-05-22T15:47:00Z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