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9F3EA43-F21C-4F18-A1F0-2161ACD20100"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OBRAZLOŽENJE</w:t>
      </w:r>
    </w:p>
    <w:p>
      <w:pPr>
        <w:pStyle w:val="ManualHeading1"/>
        <w:rPr>
          <w:noProof/>
        </w:rPr>
      </w:pPr>
      <w:r>
        <w:rPr>
          <w:noProof/>
        </w:rPr>
        <w:t>1.</w:t>
      </w:r>
      <w:r>
        <w:rPr>
          <w:noProof/>
        </w:rPr>
        <w:tab/>
        <w:t>Predmet prijedloga</w:t>
      </w:r>
    </w:p>
    <w:p>
      <w:pPr>
        <w:rPr>
          <w:rFonts w:eastAsia="Arial Unicode MS"/>
          <w:noProof/>
          <w:color w:val="000000" w:themeColor="text1"/>
        </w:rPr>
      </w:pPr>
      <w:r>
        <w:rPr>
          <w:noProof/>
        </w:rPr>
        <w:t>Ovaj Prijedlog odnosi se na odluku o utvrđivanju stajališta koje treba zauzeti u ime Unije na općoj skupštini OIV-a 19. srpnja 2019. u vezi s predviđenim usvajanjem rezolucija OIV-a koje mogu proizvoditi pravne učinke na pravo Unije.</w:t>
      </w:r>
    </w:p>
    <w:p>
      <w:pPr>
        <w:pStyle w:val="ManualHeading1"/>
        <w:rPr>
          <w:noProof/>
        </w:rPr>
      </w:pPr>
      <w:r>
        <w:rPr>
          <w:noProof/>
        </w:rPr>
        <w:t>2.</w:t>
      </w:r>
      <w:r>
        <w:rPr>
          <w:noProof/>
        </w:rPr>
        <w:tab/>
        <w:t>Kontekst prijedloga</w:t>
      </w:r>
    </w:p>
    <w:p>
      <w:pPr>
        <w:pStyle w:val="ManualHeading2"/>
        <w:rPr>
          <w:noProof/>
        </w:rPr>
      </w:pPr>
      <w:r>
        <w:rPr>
          <w:noProof/>
        </w:rPr>
        <w:t>2.1.</w:t>
      </w:r>
      <w:r>
        <w:rPr>
          <w:noProof/>
        </w:rPr>
        <w:tab/>
        <w:t>Posebni status EU-a u okviru OIV-a</w:t>
      </w:r>
    </w:p>
    <w:p>
      <w:pPr>
        <w:rPr>
          <w:rFonts w:eastAsia="Arial Unicode MS"/>
          <w:noProof/>
        </w:rPr>
      </w:pPr>
      <w:r>
        <w:rPr>
          <w:noProof/>
        </w:rPr>
        <w:t>OIV trenutačno ima 47 država članica, među kojima je 20 država članica Unije. EU nije član OIV-a. Međutim OIV je 20. listopada 2017. Uniji dodijelio posebni status predviđen člankom 4. Poslovnika OIV-a, koji joj omogućuje sudjelovanje u radu komisija, potkomisija i stručnih skupina te nazočnost na sastancima opće skupštine i izvršnog odbora.</w:t>
      </w:r>
    </w:p>
    <w:p>
      <w:pPr>
        <w:pStyle w:val="ManualHeading2"/>
        <w:rPr>
          <w:noProof/>
          <w:color w:val="000000" w:themeColor="text1"/>
        </w:rPr>
      </w:pPr>
      <w:r>
        <w:rPr>
          <w:noProof/>
        </w:rPr>
        <w:t>2.2.</w:t>
      </w:r>
      <w:r>
        <w:rPr>
          <w:noProof/>
        </w:rPr>
        <w:tab/>
        <w:t>OIV</w:t>
      </w:r>
    </w:p>
    <w:p>
      <w:pPr>
        <w:rPr>
          <w:rFonts w:eastAsia="Arial Unicode MS"/>
          <w:noProof/>
        </w:rPr>
      </w:pPr>
      <w:r>
        <w:rPr>
          <w:noProof/>
        </w:rPr>
        <w:t>Međunarodna organizacija za vinarstvo i vinogradarstvo (OIV) međuvladina je znanstvena i tehnička organizacija aktivna u sektoru vinogradarstva, vina, pića na bazi vina, stolnog grožđa, grožđica i ostalih proizvoda od vinove loze. Ciljevi su OIV-a: i. izvještavati članice o mjerama kojima se pitanja od interesa za proizvođače, potrošače i druge sudionike u sektoru vinogradarstva i vinarskih proizvoda eventualno mogu razmatrati, ii. pomagati drugim međunarodnim organizacijama koje se bave normizacijom te iii. pridonositi međunarodnom usklađivanju postojeće prakse i normi.</w:t>
      </w:r>
    </w:p>
    <w:p>
      <w:pPr>
        <w:pStyle w:val="ManualHeading2"/>
        <w:rPr>
          <w:noProof/>
          <w:color w:val="000000" w:themeColor="text1"/>
        </w:rPr>
      </w:pPr>
      <w:r>
        <w:rPr>
          <w:noProof/>
        </w:rPr>
        <w:t>2.3.</w:t>
      </w:r>
      <w:r>
        <w:rPr>
          <w:noProof/>
        </w:rPr>
        <w:tab/>
        <w:t>Predviđeni akt OIV-a</w:t>
      </w:r>
    </w:p>
    <w:p>
      <w:pPr>
        <w:rPr>
          <w:noProof/>
        </w:rPr>
      </w:pPr>
      <w:r>
        <w:rPr>
          <w:noProof/>
        </w:rPr>
        <w:t>Sljedeća opća skupština OIV-a održat će se u Švicarskoj 19. srpnja 2019. Na temelju rasprava održanih tijekom sastanka stručnih skupina u ožujku i travnju 2019. u Parizu može se očekivati da će se na dnevni red opće skupštine za usvajanje uvrstiti sljedeće rezolucije s pravnim učinkom na pravo EU-a:</w:t>
      </w:r>
    </w:p>
    <w:p>
      <w:pPr>
        <w:pStyle w:val="Tiret0"/>
        <w:numPr>
          <w:ilvl w:val="0"/>
          <w:numId w:val="9"/>
        </w:numPr>
        <w:rPr>
          <w:noProof/>
        </w:rPr>
      </w:pPr>
      <w:r>
        <w:rPr>
          <w:noProof/>
        </w:rPr>
        <w:t>nacrt rezolucije OENO-MICRO 16-594A o uvođenju novog enološkog postupka i nacrt rezolucije OENO-MICRO 17-611 o ažuriranju ciljeva postojećeg enološkog postupka. U skladu s člankom 80. stavkom 3. točkom (a) i člankom 90. stavkom 2. Uredbe (EU) br. 1308/2013</w:t>
      </w:r>
      <w:r>
        <w:rPr>
          <w:rStyle w:val="FootnoteReference"/>
          <w:noProof/>
        </w:rPr>
        <w:footnoteReference w:id="1"/>
      </w:r>
      <w:r>
        <w:rPr>
          <w:noProof/>
        </w:rPr>
        <w:t xml:space="preserve"> te člankom 9. Uredbe (EZ) br. 606/2009</w:t>
      </w:r>
      <w:r>
        <w:rPr>
          <w:rStyle w:val="FootnoteReference"/>
          <w:noProof/>
        </w:rPr>
        <w:footnoteReference w:id="2"/>
      </w:r>
      <w:r>
        <w:rPr>
          <w:noProof/>
        </w:rPr>
        <w:t xml:space="preserve"> te će rezolucije imati pravni učinak na pravo Unije,</w:t>
      </w:r>
    </w:p>
    <w:p>
      <w:pPr>
        <w:pStyle w:val="Tiret0"/>
        <w:rPr>
          <w:noProof/>
        </w:rPr>
      </w:pPr>
      <w:r>
        <w:rPr>
          <w:noProof/>
        </w:rPr>
        <w:t>nacrti rezolucija OENO-TECHNO 15-586, 17-612 i 17-613 o ažuriranju primjena i ciljeva odgovarajućih enoloških postupaka, nacrt rezolucije OENO-TECHNO 18-633 o dodavanju upotrebe nove tvari za izvođenje postojećeg enološkog postupka i nacrt rezolucije OENO-TECHNO 17-616 o utvrđivanju novog enološkog postupka za proizvodnju vina. U skladu s člankom 80. stavkom 3. točkom (a) i člankom 90. stavkom 2. Uredbe (EU) br. 1308/2013 te će rezolucije imati pravni učinak na pravo Unije,</w:t>
      </w:r>
    </w:p>
    <w:p>
      <w:pPr>
        <w:pStyle w:val="Tiret0"/>
        <w:rPr>
          <w:noProof/>
        </w:rPr>
      </w:pPr>
      <w:r>
        <w:rPr>
          <w:noProof/>
        </w:rPr>
        <w:t>nacrti rezolucija OENO-SPECIF 17-617, 18-646 i 18-650 o ažuriranju monografija kojima se utvrđuju specifikacije čistoće i identifikacije tvari koje se upotrebljavaju u enološkim postupcima. U skladu s člankom 80. stavkom 3. točkom (a) i člankom 90. stavkom 2. Uredbe (EU) br. 1308/2013 te člankom 9. Uredbe (EZ) br. 606/2009 te će rezolucije imati pravni učinak na pravo Unije,</w:t>
      </w:r>
    </w:p>
    <w:p>
      <w:pPr>
        <w:pStyle w:val="Tiret0"/>
        <w:rPr>
          <w:noProof/>
        </w:rPr>
      </w:pPr>
      <w:r>
        <w:rPr>
          <w:noProof/>
        </w:rPr>
        <w:t>nacrti rezolucija OENO-SCMA 16-596, 17-619 i 17-621, nacrt rezolucije OENO-SCMA 17-622 o utvrđivanju novih metoda analize i nacrt rezolucije OENO-SCMA 18-638 o utvrđivanju nove metode analize i nove granične vrijednosti olova u vinu. U skladu s člankom 80. stavkom 3. točkom (a) i člankom 80. stavkom 5. Uredbe (EU) br. 1308/2013 te će rezolucije imati pravni učinak na pravo Unije,</w:t>
      </w:r>
    </w:p>
    <w:p>
      <w:pPr>
        <w:pBdr>
          <w:top w:val="nil"/>
          <w:left w:val="nil"/>
          <w:bottom w:val="nil"/>
          <w:right w:val="nil"/>
          <w:between w:val="nil"/>
          <w:bar w:val="nil"/>
        </w:pBdr>
        <w:spacing w:before="0" w:after="240"/>
        <w:rPr>
          <w:noProof/>
        </w:rPr>
      </w:pPr>
      <w:r>
        <w:rPr>
          <w:noProof/>
        </w:rPr>
        <w:t>Kao i u prošlosti može se očekivati da će se dnevni red sastanka opće skupštine OIV-a mijenjati te da će se na njega uvrstiti dodatne rezolucije koje proizvode pravne učinke na pravo Unije. Kako bi se osigurala učinkovitost rada opće skupštine OIV-a uz poštovanje pravila Ugovorâ, Komisija će pravovremeno dopuniti ili izmijeniti ovaj Prijedlog da Vijeću omogući donošenje stajališta koje treba zauzeti i za te rezolucije.</w:t>
      </w:r>
    </w:p>
    <w:p>
      <w:pPr>
        <w:pStyle w:val="ManualHeading1"/>
        <w:rPr>
          <w:noProof/>
        </w:rPr>
      </w:pPr>
      <w:r>
        <w:rPr>
          <w:noProof/>
        </w:rPr>
        <w:t>3.</w:t>
      </w:r>
      <w:r>
        <w:rPr>
          <w:noProof/>
        </w:rPr>
        <w:tab/>
        <w:t>Stajalište koje treba zauzeti u ime Unije</w:t>
      </w:r>
    </w:p>
    <w:p>
      <w:pPr>
        <w:rPr>
          <w:noProof/>
        </w:rPr>
      </w:pPr>
      <w:r>
        <w:rPr>
          <w:noProof/>
        </w:rPr>
        <w:t>O nacrtima rezolucija koji će biti podneseni na glasovanje na sljedećoj glavnoj skupštini OIV-a opsežno su raspravljali znanstvenici i stručnjaci iz sektora vina. Odlukama se pridonosi međunarodnom usklađivanju normi za vino i njima će se utvrditi okvir kojim će se osigurati pošteno tržišno natjecanje u trgovini proizvodima u vinarstvu. Stoga bi ih trebalo poduprijeti.</w:t>
      </w:r>
    </w:p>
    <w:p>
      <w:pPr>
        <w:pStyle w:val="ManualHeading1"/>
        <w:rPr>
          <w:noProof/>
        </w:rPr>
      </w:pPr>
      <w:r>
        <w:rPr>
          <w:noProof/>
        </w:rPr>
        <w:t>4.</w:t>
      </w:r>
      <w:r>
        <w:rPr>
          <w:noProof/>
        </w:rPr>
        <w:tab/>
        <w:t>Pravna osnova</w:t>
      </w:r>
    </w:p>
    <w:p>
      <w:pPr>
        <w:pStyle w:val="ManualHeading2"/>
        <w:rPr>
          <w:noProof/>
        </w:rPr>
      </w:pPr>
      <w:r>
        <w:rPr>
          <w:noProof/>
        </w:rPr>
        <w:t>4.1.</w:t>
      </w:r>
      <w:r>
        <w:rPr>
          <w:noProof/>
        </w:rPr>
        <w:tab/>
        <w:t>Postupovna pravna osnova</w:t>
      </w:r>
    </w:p>
    <w:p>
      <w:pPr>
        <w:pStyle w:val="ManualHeading3"/>
        <w:rPr>
          <w:noProof/>
        </w:rPr>
      </w:pPr>
      <w:r>
        <w:rPr>
          <w:noProof/>
        </w:rPr>
        <w:t>4.1.1.</w:t>
      </w:r>
      <w:r>
        <w:rPr>
          <w:noProof/>
        </w:rPr>
        <w:tab/>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Članak 218. stavak 9. UFEU-a primjenjuje se neovisno o tome je li Unija članica tijela ili stranka sporazuma</w:t>
      </w:r>
      <w:r>
        <w:rPr>
          <w:rStyle w:val="FootnoteReference"/>
          <w:noProof/>
        </w:rPr>
        <w:footnoteReference w:id="3"/>
      </w:r>
      <w:r>
        <w:rPr>
          <w:noProof/>
        </w:rPr>
        <w:t>.</w:t>
      </w:r>
    </w:p>
    <w:p>
      <w:pPr>
        <w:rPr>
          <w:noProof/>
        </w:rPr>
      </w:pPr>
      <w:r>
        <w:rPr>
          <w:noProof/>
        </w:rPr>
        <w:t>Pojam „akti koji proizvode pravne učinke” obuhvaća akte koji proizvode pravne učinke na temelju propisa međunarodnog prava koji se primjenjuju na predmetno tijelo. Obuhvaća i instrumente koji nemaju obvezujući učinak na temelju međunarodnog prava, ali „mogu presudno utjecati na sadržaj propisa koje donese zakonodavac Unije”</w:t>
      </w:r>
      <w:r>
        <w:rPr>
          <w:rStyle w:val="FootnoteReference"/>
          <w:noProof/>
        </w:rPr>
        <w:footnoteReference w:id="4"/>
      </w:r>
      <w:r>
        <w:rPr>
          <w:noProof/>
        </w:rPr>
        <w:t>.</w:t>
      </w:r>
    </w:p>
    <w:p>
      <w:pPr>
        <w:pStyle w:val="ManualHeading3"/>
        <w:rPr>
          <w:noProof/>
        </w:rPr>
      </w:pPr>
      <w:r>
        <w:rPr>
          <w:noProof/>
        </w:rPr>
        <w:t>4.1.2.</w:t>
      </w:r>
      <w:r>
        <w:rPr>
          <w:noProof/>
        </w:rPr>
        <w:tab/>
        <w:t>Primjena u predmetnom slučaju</w:t>
      </w:r>
    </w:p>
    <w:p>
      <w:pPr>
        <w:rPr>
          <w:rFonts w:eastAsia="Times New Roman"/>
          <w:noProof/>
          <w:szCs w:val="24"/>
        </w:rPr>
      </w:pPr>
      <w:r>
        <w:rPr>
          <w:noProof/>
        </w:rPr>
        <w:t xml:space="preserve">Međunarodna organizacija za vinarstvo i vinogradarstvo (OIV) međuvladina je znanstvena i tehnička organizacija aktivna u sektoru vinogradarstva, vina, pića na bazi vina, stolnog grožđa, grožđica i ostalih proizvoda od vinove loze. OIV trenutačno ima 46 država članica, među kojima je 20 država članica Unije. EU nije član OIV-a. Međutim OIV je 20. listopada 2017. Uniji dodijelio posebni status predviđen člankom 4. Poslovnika OIV-a, koji joj omogućuje sudjelovanje u radu komisija, potkomisija i stručnih skupina te nazočnost na sastancima opće skupštine i izvršnog odbora. </w:t>
      </w:r>
    </w:p>
    <w:p>
      <w:pPr>
        <w:rPr>
          <w:noProof/>
        </w:rPr>
      </w:pPr>
      <w:r>
        <w:rPr>
          <w:noProof/>
        </w:rPr>
        <w:t xml:space="preserve">U skladu s Uredbom (EU) br. 1308/2013 Europskog parlamenta i Vijeća i Uredbom Komisije (EZ) br. 606/2009 određene rezolucije koje je usvojio i objavio OIV imaju pravni učinak na pravo Unije. Stoga bi Vijeće trebalo donijeti stajalište Unije u pogledu tih rezolucija u vezi s pitanjima iz područja njezine nadležnosti te bi ga države članice koje su članice OIV-a trebale izraziti na sastancima OIV-a djelujući zajednički u interesu Unije. </w:t>
      </w:r>
    </w:p>
    <w:p>
      <w:pPr>
        <w:rPr>
          <w:noProof/>
        </w:rPr>
      </w:pPr>
      <w:r>
        <w:rPr>
          <w:noProof/>
        </w:rPr>
        <w:t>Stoga je postupovna pravna osnova predložene odluke članak 218. stavak 9. UFEU-a.</w:t>
      </w:r>
    </w:p>
    <w:p>
      <w:pPr>
        <w:pStyle w:val="ManualHeading2"/>
        <w:rPr>
          <w:noProof/>
        </w:rPr>
      </w:pPr>
      <w:r>
        <w:rPr>
          <w:noProof/>
        </w:rPr>
        <w:t>4.2.</w:t>
      </w:r>
      <w:r>
        <w:rPr>
          <w:noProof/>
        </w:rPr>
        <w:tab/>
        <w:t>Materijalnopravna osnova</w:t>
      </w:r>
    </w:p>
    <w:p>
      <w:pPr>
        <w:pStyle w:val="ManualHeading3"/>
        <w:rPr>
          <w:noProof/>
        </w:rPr>
      </w:pPr>
      <w:r>
        <w:rPr>
          <w:noProof/>
        </w:rPr>
        <w:t>4.2.1.</w:t>
      </w:r>
      <w:r>
        <w:rPr>
          <w:noProof/>
        </w:rPr>
        <w:tab/>
        <w:t>Načela</w:t>
      </w:r>
    </w:p>
    <w:p>
      <w:pPr>
        <w:rPr>
          <w:noProof/>
        </w:rPr>
      </w:pPr>
      <w:r>
        <w:rPr>
          <w:noProof/>
        </w:rPr>
        <w:t>Materijalnopravna osnova za odluku na temelju članka 218. stavka 9. UFEU-a prije svega ovisi o cilju i sadržaju predviđenog akta o kojemu se donosi stajalište u ime Unije. Ako predviđeni akt ima dva cilja ili dva elementa te ako se može utvrditi da je jedan od tih dvaju ciljeva ili elemenata glavni, a drugi samo sporedan, odluka na temelju članka 218. stavka 9. UFEU-a mora se temeljiti na jednoj materijalnopravnoj osnovi, to jest onoj koju zahtijeva glavni ili prevladavajući cilj ili element.</w:t>
      </w:r>
    </w:p>
    <w:p>
      <w:pPr>
        <w:pStyle w:val="ManualHeading3"/>
        <w:rPr>
          <w:noProof/>
        </w:rPr>
      </w:pPr>
      <w:r>
        <w:rPr>
          <w:noProof/>
        </w:rPr>
        <w:t>4.2.2.</w:t>
      </w:r>
      <w:r>
        <w:rPr>
          <w:noProof/>
        </w:rPr>
        <w:tab/>
        <w:t>Primjena u predmetnom slučaju</w:t>
      </w:r>
    </w:p>
    <w:p>
      <w:pPr>
        <w:rPr>
          <w:noProof/>
          <w:color w:val="000000" w:themeColor="text1"/>
        </w:rPr>
      </w:pPr>
      <w:r>
        <w:rPr>
          <w:noProof/>
          <w:color w:val="000000" w:themeColor="text1"/>
        </w:rPr>
        <w:t>Glavni cilj predviđenih nacrta rezolucija odnosi se na usklađivanje normi za vino, a time i na provedbu zajedničke poljoprivredne politike. Stoga je materijalnopravna osnova predložene odluke članak 43. UFEU-a.</w:t>
      </w:r>
    </w:p>
    <w:p>
      <w:pPr>
        <w:pStyle w:val="ManualHeading2"/>
        <w:rPr>
          <w:noProof/>
        </w:rPr>
      </w:pPr>
      <w:r>
        <w:rPr>
          <w:noProof/>
        </w:rPr>
        <w:t>4.3.</w:t>
      </w:r>
      <w:r>
        <w:rPr>
          <w:noProof/>
        </w:rPr>
        <w:tab/>
        <w:t>Zaključak</w:t>
      </w:r>
    </w:p>
    <w:p>
      <w:pPr>
        <w:rPr>
          <w:noProof/>
          <w:color w:val="000000" w:themeColor="text1"/>
        </w:rPr>
      </w:pPr>
      <w:r>
        <w:rPr>
          <w:noProof/>
          <w:color w:val="000000" w:themeColor="text1"/>
        </w:rPr>
        <w:t>Pravna osnova predložene odluke trebao bi biti članak 43. UFEU-a u vezi s člankom 218. stavkom 9. UFEU-a.</w:t>
      </w:r>
    </w:p>
    <w:p>
      <w:pPr>
        <w:pStyle w:val="ManualHeading1"/>
        <w:rPr>
          <w:noProof/>
        </w:rPr>
      </w:pPr>
      <w:r>
        <w:rPr>
          <w:noProof/>
        </w:rPr>
        <w:t>5.</w:t>
      </w:r>
      <w:r>
        <w:rPr>
          <w:noProof/>
        </w:rPr>
        <w:tab/>
        <w:t>Objava predviđenog akta</w:t>
      </w:r>
    </w:p>
    <w:p>
      <w:pPr>
        <w:rPr>
          <w:noProof/>
          <w:color w:val="000000" w:themeColor="text1"/>
        </w:rPr>
      </w:pPr>
      <w:r>
        <w:rPr>
          <w:noProof/>
        </w:rPr>
        <w:t>Nije primjenjivo.</w:t>
      </w:r>
    </w:p>
    <w:p>
      <w:pPr>
        <w:rPr>
          <w:noProof/>
          <w:color w:val="000000" w:themeColor="text1"/>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t>2019/0121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treba zauzeti u ime Europske unije u Međunarodnoj organizaciji za vinogradarstvo i vinarstvo (OIV)</w:t>
      </w:r>
    </w:p>
    <w:p>
      <w:pPr>
        <w:pStyle w:val="Institutionquiagit"/>
        <w:rPr>
          <w:b/>
          <w:noProof/>
        </w:rPr>
      </w:pPr>
      <w:r>
        <w:rPr>
          <w:b/>
          <w:noProof/>
        </w:rPr>
        <w:t>VIJEĆE EUROPSKE UNIJE,</w:t>
      </w:r>
    </w:p>
    <w:p>
      <w:pPr>
        <w:rPr>
          <w:noProof/>
        </w:rPr>
      </w:pPr>
      <w:r>
        <w:rPr>
          <w:noProof/>
        </w:rPr>
        <w:t>uzimajući u obzir Ugovor o funkcioniranju Europske unije, a posebno njegov članak 43.,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rPr>
          <w:noProof/>
        </w:rPr>
        <w:t>(1)</w:t>
      </w:r>
      <w:r>
        <w:rPr>
          <w:noProof/>
        </w:rPr>
        <w:tab/>
        <w:t>Na svojoj sljedećoj općoj skupštini 19. srpnja 2019. Međunarodna organizacija za vinogradarstvo i vinarstvo (OIV) razmotrit će i možda usvojiti rezolucije koje će utjecati na pravo Unije. EU nije član OIV-a. Međutim OIV je 20. listopada 2017. Uniji dodijelio posebni status predviđen člankom 4. Poslovnika OIV-a.</w:t>
      </w:r>
    </w:p>
    <w:p>
      <w:pPr>
        <w:pStyle w:val="ManualConsidrant"/>
        <w:rPr>
          <w:noProof/>
        </w:rPr>
      </w:pPr>
      <w:r>
        <w:rPr>
          <w:noProof/>
        </w:rPr>
        <w:t>(2)</w:t>
      </w:r>
      <w:r>
        <w:rPr>
          <w:noProof/>
        </w:rPr>
        <w:tab/>
        <w:t>20 država članica EU-a članice su OIV-a. Te države članice imaju mogućnost predlagati izmjene nacrta rezolucija OIV-a i od njih će se tražiti da na sljedećoj općoj skupštini OIV-a koja će se održati 19. srpnja 2019. usvoje neke od nacrta rezolucija OIV-a.</w:t>
      </w:r>
    </w:p>
    <w:p>
      <w:pPr>
        <w:pStyle w:val="ManualConsidrant"/>
        <w:rPr>
          <w:noProof/>
        </w:rPr>
      </w:pPr>
      <w:r>
        <w:rPr>
          <w:noProof/>
        </w:rPr>
        <w:t>(3)</w:t>
      </w:r>
      <w:r>
        <w:rPr>
          <w:noProof/>
        </w:rPr>
        <w:tab/>
        <w:t>Stoga bi Vijeće trebalo donijeti stajalište Unije u pogledu tih rezolucija u vezi s pitanjima iz područja njezine nadležnosti te bi ga države članice koje su članice OIV-a trebale izraziti na sastancima OIV-a djelujući zajednički u interesu Unije.</w:t>
      </w:r>
    </w:p>
    <w:p>
      <w:pPr>
        <w:pStyle w:val="ManualConsidrant"/>
        <w:rPr>
          <w:noProof/>
        </w:rPr>
      </w:pPr>
      <w:r>
        <w:rPr>
          <w:noProof/>
        </w:rPr>
        <w:t>(4)</w:t>
      </w:r>
      <w:r>
        <w:rPr>
          <w:noProof/>
        </w:rPr>
        <w:tab/>
        <w:t>U skladu s Uredbom (EU) br. 1308/2013 Europskog parlamenta i Vijeća</w:t>
      </w:r>
      <w:r>
        <w:rPr>
          <w:rStyle w:val="FootnoteReference"/>
          <w:noProof/>
        </w:rPr>
        <w:footnoteReference w:id="5"/>
      </w:r>
      <w:r>
        <w:rPr>
          <w:noProof/>
        </w:rPr>
        <w:t xml:space="preserve"> i Uredbom Komisije (EZ) br. 606/2009</w:t>
      </w:r>
      <w:r>
        <w:rPr>
          <w:rStyle w:val="FootnoteReference"/>
          <w:noProof/>
        </w:rPr>
        <w:footnoteReference w:id="6"/>
      </w:r>
      <w:r>
        <w:rPr>
          <w:noProof/>
        </w:rPr>
        <w:t xml:space="preserve"> određene rezolucije koje je usvojio i objavio OIV utječu na pravo Unije.</w:t>
      </w:r>
    </w:p>
    <w:p>
      <w:pPr>
        <w:pStyle w:val="ManualConsidrant"/>
        <w:rPr>
          <w:noProof/>
        </w:rPr>
      </w:pPr>
      <w:r>
        <w:rPr>
          <w:noProof/>
        </w:rPr>
        <w:t>(5)</w:t>
      </w:r>
      <w:r>
        <w:rPr>
          <w:noProof/>
        </w:rPr>
        <w:tab/>
        <w:t>Člankom 80. stavkom 3. točkom (a) Uredbe (EU) br. 1308/2013 određeno je da Komisija pri odobravanju enoloških postupaka uzima u obzir enološke postupke i metode analize koje je preporučio i objavio OIV.</w:t>
      </w:r>
    </w:p>
    <w:p>
      <w:pPr>
        <w:pStyle w:val="ManualConsidrant"/>
        <w:rPr>
          <w:noProof/>
        </w:rPr>
      </w:pPr>
      <w:r>
        <w:rPr>
          <w:noProof/>
        </w:rPr>
        <w:t>(6)</w:t>
      </w:r>
      <w:r>
        <w:rPr>
          <w:noProof/>
        </w:rPr>
        <w:tab/>
        <w:t>Člankom 80. stavkom 5. Uredbe (EU) br. 1308/2013 određeno je da Komisija pri utvrđivanju metoda analize za određivanje sastava proizvoda vinarstva te metode temelji na svim relevantnim metodama koje je preporučio i objavio OIV, osim ako bi one bile neučinkovite ili neprimjerene s obzirom na postizanje cilja Unije.</w:t>
      </w:r>
    </w:p>
    <w:p>
      <w:pPr>
        <w:pStyle w:val="ManualConsidrant"/>
        <w:rPr>
          <w:noProof/>
        </w:rPr>
      </w:pPr>
      <w:r>
        <w:rPr>
          <w:noProof/>
        </w:rPr>
        <w:t>(7)</w:t>
      </w:r>
      <w:r>
        <w:rPr>
          <w:noProof/>
        </w:rPr>
        <w:tab/>
        <w:t>Člankom 90. stavkom 2. Uredbe (EU) br. 1308/2013 određeno je da proizvodi vinarstva koji se uvoze u Uniju moraju biti proizvedeni u skladu s enološkim postupcima koje je odobrila Unija na temelju te uredbe ili, prije tog odobrenja, u skladu s enološkim postupcima koje je preporučio i objavio OIV.</w:t>
      </w:r>
    </w:p>
    <w:p>
      <w:pPr>
        <w:pStyle w:val="ManualConsidrant"/>
        <w:rPr>
          <w:noProof/>
        </w:rPr>
      </w:pPr>
      <w:r>
        <w:rPr>
          <w:noProof/>
        </w:rPr>
        <w:t>(8)</w:t>
      </w:r>
      <w:r>
        <w:rPr>
          <w:noProof/>
        </w:rPr>
        <w:tab/>
        <w:t>Ako Komisija nije utvrdila specifikacije za čistoću i identifikaciju tvari koje se koriste u enološkim postupcima, člankom 9. Uredbe (EZ) br. 606/2009 određuje se da se koriste specifikacije koje je utvrdio i objavio OIV.</w:t>
      </w:r>
    </w:p>
    <w:p>
      <w:pPr>
        <w:pStyle w:val="ManualConsidrant"/>
        <w:rPr>
          <w:noProof/>
        </w:rPr>
      </w:pPr>
      <w:r>
        <w:rPr>
          <w:noProof/>
        </w:rPr>
        <w:t>(9)</w:t>
      </w:r>
      <w:r>
        <w:rPr>
          <w:noProof/>
        </w:rPr>
        <w:tab/>
        <w:t>Nacrtom rezolucije OENO-MICRO 16-594A utvrđuje se novi enološki postupak. Nacrtom rezolucije OENO-MICRO 17-611 ažuriraju se ciljevi postojećeg enološkog postupka. U skladu s člankom 80. stavkom 3. točkom (a) i člankom 90. stavkom 2. Uredbe (EU) br. 1308/2013 te člankom 9. Uredbe (EZ) br. 606/2009 te će rezolucije imati pravni učinak na pravo Unije.</w:t>
      </w:r>
    </w:p>
    <w:p>
      <w:pPr>
        <w:pStyle w:val="ManualConsidrant"/>
        <w:rPr>
          <w:noProof/>
        </w:rPr>
      </w:pPr>
      <w:r>
        <w:rPr>
          <w:noProof/>
        </w:rPr>
        <w:t>(10)</w:t>
      </w:r>
      <w:r>
        <w:rPr>
          <w:noProof/>
        </w:rPr>
        <w:tab/>
        <w:t>Nacrtima rezolucija OENO-TECHNO 15-586, 17-612 i 17-613 ažuriraju se primjene i ciljevi odgovarajućih enoloških postupaka. Nacrtom rezolucije OENO-TECHNO 18-633 dodaje se upotreba nove tvari za izvođenje postojećeg enološkog postupka. Nacrtom rezolucije OENO-TECHNO 17-616 utvrđuje se novi enološki postupak za proizvodnju vina. U skladu s člankom 80. stavkom 3. točkom (a) i člankom 90. stavkom 2. Uredbe (EU) br. 1308/2013 te će rezolucije imati pravni učinak na pravo Unije.</w:t>
      </w:r>
    </w:p>
    <w:p>
      <w:pPr>
        <w:pStyle w:val="ManualConsidrant"/>
        <w:rPr>
          <w:noProof/>
        </w:rPr>
      </w:pPr>
      <w:r>
        <w:rPr>
          <w:noProof/>
        </w:rPr>
        <w:t>(11)</w:t>
      </w:r>
      <w:r>
        <w:rPr>
          <w:noProof/>
        </w:rPr>
        <w:tab/>
        <w:t>Nacrtima rezolucija OENO-SPECIF 17-617, 18-646 i 18-650 ažuriraju se monografije kojima se utvrđuju specifikacije čistoće i identifikacije tvari koje se upotrebljavaju u enološkim postupcima. U skladu s člankom 80. stavkom 3. točkom (a) i člankom 90. stavkom 2. Uredbe (EU) br. 1308/2013 te člankom 9. Uredbe (EZ) br. 606/2009 te će rezolucije imati pravni učinak na pravo Unije.</w:t>
      </w:r>
    </w:p>
    <w:p>
      <w:pPr>
        <w:pStyle w:val="ManualConsidrant"/>
        <w:rPr>
          <w:noProof/>
        </w:rPr>
      </w:pPr>
      <w:r>
        <w:rPr>
          <w:noProof/>
        </w:rPr>
        <w:t>(12)</w:t>
      </w:r>
      <w:r>
        <w:rPr>
          <w:noProof/>
        </w:rPr>
        <w:tab/>
        <w:t>Nacrtima rezolucija OENO-SCMA 16-596, 17-619, 17-621 i 17-622 utvrđuju se nove metode analize. Nacrtom rezolucije OENO-SCMA 18-638 utvrđuje se nova metoda analize i nova granična vrijednost olova u vinu. U skladu s člankom 80. stavkom 3. točkom (a) i člankom 80. stavkom 5. Uredbe (EU) br. 1308/2013 te će rezolucije imati pravni učinak na pravo Unije,</w:t>
      </w:r>
    </w:p>
    <w:p>
      <w:pPr>
        <w:pStyle w:val="ManualConsidrant"/>
        <w:rPr>
          <w:noProof/>
        </w:rPr>
      </w:pPr>
      <w:r>
        <w:rPr>
          <w:noProof/>
        </w:rPr>
        <w:t>(13)</w:t>
      </w:r>
      <w:r>
        <w:rPr>
          <w:noProof/>
        </w:rPr>
        <w:tab/>
        <w:t>O tim nacrtima rezolucija opsežno su raspravljali znanstvenici i stručnjaci iz sektora vina. Njima se pridonosi međunarodnom usklađivanju normi za vino i njima će se utvrditi okvir kojim će se osigurati pošteno tržišno natjecanje u trgovini proizvodima vinarstva. Stoga bi ih trebalo poduprijeti.</w:t>
      </w:r>
    </w:p>
    <w:p>
      <w:pPr>
        <w:pStyle w:val="ManualConsidrant"/>
        <w:rPr>
          <w:noProof/>
        </w:rPr>
      </w:pPr>
      <w:r>
        <w:rPr>
          <w:noProof/>
        </w:rPr>
        <w:t>(14)</w:t>
      </w:r>
      <w:r>
        <w:rPr>
          <w:noProof/>
        </w:rPr>
        <w:tab/>
        <w:t>Kako bi se omogućila potrebna fleksibilnost tijekom pregovora prije sjednice opće skupštine OIV-a, potrebno je ovlastiti države članice koje su članice OIV-a da se slože s izmjenama tih rezolucija, uz uvjet da navedene izmjene ne promijene njihovu bit,</w:t>
      </w:r>
    </w:p>
    <w:p>
      <w:pPr>
        <w:pStyle w:val="Formuledadoption"/>
        <w:rPr>
          <w:noProof/>
        </w:rPr>
      </w:pPr>
      <w:r>
        <w:rPr>
          <w:noProof/>
        </w:rPr>
        <w:t>DONIJELO JE OVU ODLUKU:</w:t>
      </w:r>
    </w:p>
    <w:p>
      <w:pPr>
        <w:pStyle w:val="Titrearticle"/>
        <w:rPr>
          <w:noProof/>
        </w:rPr>
      </w:pPr>
      <w:r>
        <w:rPr>
          <w:noProof/>
        </w:rPr>
        <w:t>Članak 1.</w:t>
      </w:r>
    </w:p>
    <w:p>
      <w:pPr>
        <w:rPr>
          <w:noProof/>
        </w:rPr>
      </w:pPr>
      <w:r>
        <w:rPr>
          <w:noProof/>
        </w:rPr>
        <w:t>Stajalište koje treba zauzeti u ime Unije na općoj skupštini OIV-a 19. srpnja 2019. navedeno je u Prilogu i izražavaju ga države članice koje su članice OIV-a djelujući zajednički u interesu Unije.</w:t>
      </w:r>
    </w:p>
    <w:p>
      <w:pPr>
        <w:rPr>
          <w:noProof/>
        </w:rPr>
      </w:pPr>
      <w:r>
        <w:rPr>
          <w:noProof/>
        </w:rPr>
        <w:br w:type="page"/>
      </w:r>
    </w:p>
    <w:p>
      <w:pPr>
        <w:rPr>
          <w:noProof/>
        </w:rPr>
      </w:pPr>
    </w:p>
    <w:p>
      <w:pPr>
        <w:pStyle w:val="Titrearticle"/>
        <w:keepNext w:val="0"/>
        <w:rPr>
          <w:noProof/>
        </w:rPr>
      </w:pPr>
      <w:r>
        <w:rPr>
          <w:noProof/>
        </w:rPr>
        <w:t>Članak 2.</w:t>
      </w:r>
    </w:p>
    <w:p>
      <w:pPr>
        <w:pStyle w:val="ManualNumPar1"/>
        <w:rPr>
          <w:noProof/>
        </w:rPr>
      </w:pPr>
      <w:r>
        <w:rPr>
          <w:noProof/>
        </w:rPr>
        <w:t>1.</w:t>
      </w:r>
      <w:r>
        <w:rPr>
          <w:noProof/>
        </w:rPr>
        <w:tab/>
        <w:t>Ako postoji vjerojatnost da će na stajalište iz članka 1. utjecati novi znanstveni ili tehnički podaci izneseni prije ili tijekom sastanka opće skupštine OIV-a, države članice koje su članice OIV-a zatražit će da se odgodi glasovanje na sastanku opće skupštine OIV-a dok se ne utvrdi stajalište Unije na temelju tih novih podataka.</w:t>
      </w:r>
    </w:p>
    <w:p>
      <w:pPr>
        <w:pStyle w:val="ManualNumPar1"/>
        <w:rPr>
          <w:noProof/>
        </w:rPr>
      </w:pPr>
      <w:r>
        <w:rPr>
          <w:noProof/>
        </w:rPr>
        <w:t>2.</w:t>
      </w:r>
      <w:r>
        <w:rPr>
          <w:noProof/>
        </w:rPr>
        <w:tab/>
        <w:t>Države članice koje su članice OIV-a mogu se nakon usklađivanja, naročito na licu mjesta, i bez daljnje odluke Vijeća o stajalištu Unije, djelujući zajednički u interesu Unije, složiti s izmjenama nacrta rezolucija iz Priloga kojima se ne mijenja njihova bit.</w:t>
      </w:r>
    </w:p>
    <w:p>
      <w:pPr>
        <w:pStyle w:val="Titrearticle"/>
        <w:rPr>
          <w:noProof/>
        </w:rPr>
      </w:pPr>
      <w:r>
        <w:rPr>
          <w:noProof/>
        </w:rPr>
        <w:t>Članak 3.</w:t>
      </w:r>
    </w:p>
    <w:p>
      <w:pPr>
        <w:rPr>
          <w:noProof/>
        </w:rPr>
      </w:pPr>
      <w:r>
        <w:rPr>
          <w:noProof/>
        </w:rPr>
        <w:t>Ova je Odluka upućena državama članicama.</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(EU) br. 1308/2013 Europskog parlamenta i Vijeća od 17. prosinca 2013. o uspostavljanju zajedničke organizacije tržišta poljoprivrednih proizvoda i stavljanju izvan snage uredbi Vijeća (EEZ) br. 922/72, (EEZ) br. 234/79, (EZ) br. 1037/2001 i (EZ) br. 1234/2007 (SL L 347, 20.12.2013., str. 671.).</w:t>
      </w:r>
    </w:p>
  </w:footnote>
  <w:footnote w:id="2">
    <w:p>
      <w:pPr>
        <w:pStyle w:val="FootnoteText"/>
      </w:pPr>
      <w:r>
        <w:rPr>
          <w:rStyle w:val="FootnoteReference"/>
        </w:rPr>
        <w:footnoteRef/>
      </w:r>
      <w:r>
        <w:tab/>
        <w:t>Uredba Komisije (EZ) br. 606/2009 od 10. srpnja 2009. o utvrđivanju određenih detaljnih pravila za provedbu Uredbe Vijeća (EZ) br. 479/2008 u pogledu kategorija proizvoda od vinove loze, enoloških postupaka i primjenjivih ograničenja (SL L 193, 24.7.2009., str. 1.).</w:t>
      </w:r>
    </w:p>
  </w:footnote>
  <w:footnote w:id="3">
    <w:p>
      <w:pPr>
        <w:pStyle w:val="FootnoteText"/>
      </w:pPr>
      <w:r>
        <w:rPr>
          <w:rStyle w:val="FootnoteReference"/>
        </w:rPr>
        <w:footnoteRef/>
      </w:r>
      <w:r>
        <w:tab/>
        <w:t>Presuda Suda od 7. listopada 2014., Njemačka protiv Vijeća, C-399/12, ECLI:EU:C:2014:2258, točka 64.</w:t>
      </w:r>
    </w:p>
  </w:footnote>
  <w:footnote w:id="4">
    <w:p>
      <w:pPr>
        <w:pStyle w:val="FootnoteText"/>
      </w:pPr>
      <w:r>
        <w:rPr>
          <w:rStyle w:val="FootnoteReference"/>
        </w:rPr>
        <w:footnoteRef/>
      </w:r>
      <w:r>
        <w:tab/>
        <w:t>Presuda Suda Europske unije od 7. listopada 2014., Njemačka protiv Vijeća, C-399/12, ECLI: EU:C:2014:2258, točke od 61. do 64.</w:t>
      </w:r>
    </w:p>
  </w:footnote>
  <w:footnote w:id="5">
    <w:p>
      <w:pPr>
        <w:pStyle w:val="FootnoteText"/>
      </w:pPr>
      <w:r>
        <w:rPr>
          <w:rStyle w:val="FootnoteReference"/>
        </w:rPr>
        <w:footnoteRef/>
      </w:r>
      <w:r>
        <w:tab/>
        <w:t>Uredba (EU) br. 1308/2013 Europskog parlamenta i Vijeća od 17. prosinca 2013. o uspostavljanju zajedničke organizacije tržišta poljoprivrednih proizvoda i stavljanju izvan snage uredbi Vijeća (EEZ) br. 922/72, (EEZ) br. 234/79, (EZ) br. 1037/2001 i (EZ) br. 1234/2007 (SL L 347, 20.12.2013., str. 671.).</w:t>
      </w:r>
    </w:p>
  </w:footnote>
  <w:footnote w:id="6">
    <w:p>
      <w:pPr>
        <w:pStyle w:val="FootnoteText"/>
      </w:pPr>
      <w:r>
        <w:rPr>
          <w:rStyle w:val="FootnoteReference"/>
        </w:rPr>
        <w:footnoteRef/>
      </w:r>
      <w:r>
        <w:tab/>
        <w:t>Uredba Komisije (EZ) br. 606/2009 od 10. srpnja 2009. o utvrđivanju određenih detaljnih pravila za provedbu Uredbe Vijeća (EZ) br. 479/2008 u pogledu kategorija proizvoda od vinove loze, enoloških postupaka i primjenjivih ograničenja (SL L 193, 24.7.2009.,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AB0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FEABE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DA83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9F8E4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B201B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9A24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425866"/>
    <w:lvl w:ilvl="0">
      <w:start w:val="1"/>
      <w:numFmt w:val="decimal"/>
      <w:pStyle w:val="ListNumber"/>
      <w:lvlText w:val="%1."/>
      <w:lvlJc w:val="left"/>
      <w:pPr>
        <w:tabs>
          <w:tab w:val="num" w:pos="360"/>
        </w:tabs>
        <w:ind w:left="360" w:hanging="360"/>
      </w:pPr>
    </w:lvl>
  </w:abstractNum>
  <w:abstractNum w:abstractNumId="7">
    <w:nsid w:val="FFFFFF89"/>
    <w:multiLevelType w:val="singleLevel"/>
    <w:tmpl w:val="B4D03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9 09:52: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9F3EA43-F21C-4F18-A1F0-2161ACD20100"/>
    <w:docVar w:name="LW_COVERPAGE_TYPE" w:val="1"/>
    <w:docVar w:name="LW_CROSSREFERENCE" w:val="&lt;UNUSED&gt;"/>
    <w:docVar w:name="LW_DocType" w:val="COM"/>
    <w:docVar w:name="LW_EMISSION" w:val="4.6.2019."/>
    <w:docVar w:name="LW_EMISSION_ISODATE" w:val="2019-06-04"/>
    <w:docVar w:name="LW_EMISSION_LOCATION" w:val="BRX"/>
    <w:docVar w:name="LW_EMISSION_PREFIX" w:val="Bruxelle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121"/>
    <w:docVar w:name="LW_REF.II.NEW.CP_YEAR" w:val="2019"/>
    <w:docVar w:name="LW_REF.INST.NEW" w:val="COM"/>
    <w:docVar w:name="LW_REF.INST.NEW_ADOPTED" w:val="final"/>
    <w:docVar w:name="LW_REF.INST.NEW_TEXT" w:val="(2019) 2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stajali\u353?tu koje treba zauzeti u ime Europske unije u Me\u273?unarodnoj organizaciji za vinogradarstvo i vinarstvo (OIV)"/>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0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AC5D-E392-4073-9ADC-54E428FD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1897</Words>
  <Characters>10587</Characters>
  <Application>Microsoft Office Word</Application>
  <DocSecurity>0</DocSecurity>
  <Lines>192</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2019-04-11T09:16:00Z</cp:lastPrinted>
  <dcterms:created xsi:type="dcterms:W3CDTF">2019-05-27T09:56:00Z</dcterms:created>
  <dcterms:modified xsi:type="dcterms:W3CDTF">2019-05-29T07:52:00Z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