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6BCAD53-88C2-46FF-B5BE-EBF652C1556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Fråga som behandlas i förslaget</w:t>
      </w:r>
    </w:p>
    <w:p>
      <w:pPr>
        <w:rPr>
          <w:rFonts w:eastAsia="Arial Unicode MS"/>
          <w:noProof/>
          <w:color w:val="000000" w:themeColor="text1"/>
        </w:rPr>
      </w:pPr>
      <w:r>
        <w:rPr>
          <w:noProof/>
        </w:rPr>
        <w:t>Detta förslag avser ett beslut om fastställande av den ståndpunkt som ska intas på unionens vägnar i OIV:s generalförsamling den 19 juli 2019 i samband med det planerade antagandet av OIV:s resolutioner som kan påverka EU:s lagstiftning.</w:t>
      </w:r>
    </w:p>
    <w:p>
      <w:pPr>
        <w:pStyle w:val="ManualHeading1"/>
        <w:rPr>
          <w:noProof/>
        </w:rPr>
      </w:pPr>
      <w:r>
        <w:rPr>
          <w:noProof/>
        </w:rPr>
        <w:t>2.</w:t>
      </w:r>
      <w:r>
        <w:rPr>
          <w:noProof/>
        </w:rPr>
        <w:tab/>
        <w:t>Bakgrund till förslaget</w:t>
      </w:r>
    </w:p>
    <w:p>
      <w:pPr>
        <w:pStyle w:val="ManualHeading2"/>
        <w:rPr>
          <w:noProof/>
        </w:rPr>
      </w:pPr>
      <w:r>
        <w:rPr>
          <w:noProof/>
        </w:rPr>
        <w:t>2.1</w:t>
      </w:r>
      <w:r>
        <w:rPr>
          <w:noProof/>
        </w:rPr>
        <w:tab/>
        <w:t>EU:s särskilda status i OIV</w:t>
      </w:r>
    </w:p>
    <w:p>
      <w:pPr>
        <w:rPr>
          <w:rFonts w:eastAsia="Arial Unicode MS"/>
          <w:noProof/>
        </w:rPr>
      </w:pPr>
      <w:r>
        <w:rPr>
          <w:noProof/>
        </w:rPr>
        <w:t>Fyrtiosju stater är för närvarande medlemmar i OIV och av dessa är tjugo medlemsstater i Europeiska unionen. Europeiska unionen är inte medlem i OIV. Den 20 oktober 2017 beviljade OIV emellertid unionen den särskilda status som föreskrivs i artikel 4 i OIV:s arbetsordning som gör det möjligt för unionen att delta i arbetet i utskott, underutskott och expertgrupper och i generalförsamlingens och den verkställande kommitténs möten.</w:t>
      </w:r>
    </w:p>
    <w:p>
      <w:pPr>
        <w:pStyle w:val="ManualHeading2"/>
        <w:rPr>
          <w:noProof/>
          <w:color w:val="000000" w:themeColor="text1"/>
        </w:rPr>
      </w:pPr>
      <w:r>
        <w:rPr>
          <w:noProof/>
        </w:rPr>
        <w:t>2.2</w:t>
      </w:r>
      <w:r>
        <w:rPr>
          <w:noProof/>
        </w:rPr>
        <w:tab/>
        <w:t>OIV</w:t>
      </w:r>
    </w:p>
    <w:p>
      <w:pPr>
        <w:rPr>
          <w:rFonts w:eastAsia="Arial Unicode MS"/>
          <w:noProof/>
        </w:rPr>
      </w:pPr>
      <w:r>
        <w:rPr>
          <w:noProof/>
        </w:rPr>
        <w:t>Internationella vinorganisationen (OIV) är en mellanstatlig organisation med vetenskaplig och teknisk inriktning som är verksam på områdena vinodling, vin, vinbaserade drycker, bordsdruvor, russin och andra vinodlingsprodukter. OIV:s uppgift är att i) sprida information om åtgärder som gör det möjligt att beakta producenters, konsumenters och andra aktörers intressen inom vinodlings- och vinproduktsektorn, ii) bistå andra internationella organisationer som är verksamma inom standardisering och iii) bidra till harmonisering på internationell nivå av befintliga metoder och standarder.</w:t>
      </w:r>
    </w:p>
    <w:p>
      <w:pPr>
        <w:pStyle w:val="ManualHeading2"/>
        <w:rPr>
          <w:noProof/>
          <w:color w:val="000000" w:themeColor="text1"/>
        </w:rPr>
      </w:pPr>
      <w:r>
        <w:rPr>
          <w:noProof/>
        </w:rPr>
        <w:t>2.3</w:t>
      </w:r>
      <w:r>
        <w:rPr>
          <w:noProof/>
        </w:rPr>
        <w:tab/>
        <w:t>Akt som planeras av OIV</w:t>
      </w:r>
    </w:p>
    <w:p>
      <w:pPr>
        <w:rPr>
          <w:noProof/>
        </w:rPr>
      </w:pPr>
      <w:r>
        <w:rPr>
          <w:noProof/>
        </w:rPr>
        <w:t>OIV:s nästa generalförsamling anordnas i Schweiz den 19 juli 2019. I det sammanhanget och på grundval av de diskussioner som fördes inom expertgruppen i mars och april 2019 i Paris är det rimligt att anta att följande resolutioner som påverkar EU-lagstiftningen kommer att tas upp för omröstning på generalförsamlingens dagordning:</w:t>
      </w:r>
    </w:p>
    <w:p>
      <w:pPr>
        <w:pStyle w:val="Tiret0"/>
        <w:numPr>
          <w:ilvl w:val="0"/>
          <w:numId w:val="9"/>
        </w:numPr>
        <w:rPr>
          <w:noProof/>
        </w:rPr>
      </w:pPr>
      <w:r>
        <w:rPr>
          <w:noProof/>
        </w:rPr>
        <w:t>Utkastet till resolution OENO-MICRO 16-594A om fastställande av en ny oenologisk metod och utkastet till resolution OENO-MICRO 17–611 om uppdatering av målen för en befintlig oenologisk metod. Resolutionerna påverkar EU-lagstiftningen i enlighet med artiklarna 80.3 a och 90.2 i förordning (EU) nr 1308/2013</w:t>
      </w:r>
      <w:r>
        <w:rPr>
          <w:rStyle w:val="FootnoteReference"/>
          <w:noProof/>
        </w:rPr>
        <w:footnoteReference w:id="1"/>
      </w:r>
      <w:r>
        <w:rPr>
          <w:noProof/>
        </w:rPr>
        <w:t xml:space="preserve"> och artikel 9 i förordning (EG) nr 606/2009</w:t>
      </w:r>
      <w:r>
        <w:rPr>
          <w:rStyle w:val="FootnoteReference"/>
          <w:noProof/>
        </w:rPr>
        <w:footnoteReference w:id="2"/>
      </w:r>
      <w:r>
        <w:rPr>
          <w:noProof/>
        </w:rPr>
        <w:t>.</w:t>
      </w:r>
    </w:p>
    <w:p>
      <w:pPr>
        <w:pStyle w:val="Tiret0"/>
        <w:rPr>
          <w:noProof/>
        </w:rPr>
      </w:pPr>
      <w:r>
        <w:rPr>
          <w:noProof/>
        </w:rPr>
        <w:t>Utkasten till resolutionerna OENO-TECHNO 15-586, 17-612, 17-613 om uppdatering av tillämpningarna och målen för motsvarande oenologiska metoder, utkastet till resolution OENO-TECHNO 18-633 om tillägg av ett nytt ämne för användning i den befintliga oenologiska metoden och utkastet till resolution OENO-TECHNO 17-616 om fastställande av en ny oenologisk metod för vinframställning. Resolutionerna påverkar EU-lagstiftningen i enlighet med artiklarna 80.3 a och 90.2 i förordning (EU) nr 1308/2013.</w:t>
      </w:r>
    </w:p>
    <w:p>
      <w:pPr>
        <w:pStyle w:val="Tiret0"/>
        <w:rPr>
          <w:noProof/>
        </w:rPr>
      </w:pPr>
      <w:r>
        <w:rPr>
          <w:noProof/>
        </w:rPr>
        <w:lastRenderedPageBreak/>
        <w:t>Utkasten till resolutionerna OENO-SPECIF 17-617, 18-646 och 18-650 om uppdatering av monografierna som fastställer specifikationerna för renhet och identitet för de ämnen som ingår i oenologiska metoder. Resolutionerna påverkar EU-lagstiftningen i enlighet med artiklarna 80.3 a och 90.2 i förordning (EU) nr 1308/2013 och artikel 9 i förordning (EG) nr 606/2009.</w:t>
      </w:r>
    </w:p>
    <w:p>
      <w:pPr>
        <w:pStyle w:val="Tiret0"/>
        <w:rPr>
          <w:noProof/>
        </w:rPr>
      </w:pPr>
      <w:r>
        <w:rPr>
          <w:noProof/>
        </w:rPr>
        <w:t>Utkasten till resolutionerna OENO-SCMA 16-596, 17-619, 17-621 och utkastet till resolution OENO-SCMA 17-622 om fastställande av nya analysmetoder. OENO-SCMA 18-638 om fastställande av en ny analysmetod och ett nytt gränsvärde för förekomsten av bly i vin. Resolutionerna påverkar EU-lagstiftningen i enlighet med artikel 80.3 a och 80.5 i förordning (EU) nr 1308/2013.</w:t>
      </w:r>
    </w:p>
    <w:p>
      <w:pPr>
        <w:pBdr>
          <w:top w:val="nil"/>
          <w:left w:val="nil"/>
          <w:bottom w:val="nil"/>
          <w:right w:val="nil"/>
          <w:between w:val="nil"/>
          <w:bar w:val="nil"/>
        </w:pBdr>
        <w:spacing w:before="0" w:after="240"/>
        <w:rPr>
          <w:noProof/>
        </w:rPr>
      </w:pPr>
      <w:r>
        <w:rPr>
          <w:noProof/>
        </w:rPr>
        <w:t>Som under tidigare år är det möjligt att dagordningen för OIV:s generalförsamlings möte ändras och att andra resolutioner som påverkar EU:s lagstiftning läggs till. För att sörja för att generalförsamlingen kan arbeta effektivt och för att se till att fördragens bestämmelser iakttas kommer kommissionen att i god tid komplettera eller ändra detta förslag så att rådet kan anta ståndpunkter även för eventuella tillkommande resolutioner.</w:t>
      </w:r>
    </w:p>
    <w:p>
      <w:pPr>
        <w:pStyle w:val="ManualHeading1"/>
        <w:rPr>
          <w:noProof/>
        </w:rPr>
      </w:pPr>
      <w:r>
        <w:rPr>
          <w:noProof/>
        </w:rPr>
        <w:t>3.</w:t>
      </w:r>
      <w:r>
        <w:rPr>
          <w:noProof/>
        </w:rPr>
        <w:tab/>
        <w:t>Den ståndpunkt som ska intas på unionens vägnar</w:t>
      </w:r>
    </w:p>
    <w:p>
      <w:pPr>
        <w:rPr>
          <w:noProof/>
        </w:rPr>
      </w:pPr>
      <w:r>
        <w:rPr>
          <w:noProof/>
        </w:rPr>
        <w:t>De utkast till resolutioner som lagts fram för omröstning vid OIV:s nästa generalförsamling har diskuterats ingående mellan vetenskapliga och tekniska experter i vinsektorn. De bidrar till harmonisering inom ramen för en internationell standard för vin och kommer att skapa en ram som sörjer för rättvisa konkurrensförhållanden inom handel med vinprodukter. De bör därför tillstyrkas.</w:t>
      </w:r>
    </w:p>
    <w:p>
      <w:pPr>
        <w:pStyle w:val="ManualHeading1"/>
        <w:rPr>
          <w:noProof/>
        </w:rPr>
      </w:pPr>
      <w:r>
        <w:rPr>
          <w:noProof/>
        </w:rPr>
        <w:t>4.</w:t>
      </w:r>
      <w:r>
        <w:rPr>
          <w:noProof/>
        </w:rPr>
        <w:tab/>
        <w:t>Rättslig grund</w:t>
      </w:r>
    </w:p>
    <w:p>
      <w:pPr>
        <w:pStyle w:val="ManualHeading2"/>
        <w:rPr>
          <w:noProof/>
        </w:rPr>
      </w:pPr>
      <w:r>
        <w:rPr>
          <w:noProof/>
        </w:rPr>
        <w:t>4.1</w:t>
      </w:r>
      <w:r>
        <w:rPr>
          <w:noProof/>
        </w:rPr>
        <w:tab/>
        <w:t>Förfarandemässig rättslig grund</w:t>
      </w:r>
    </w:p>
    <w:p>
      <w:pPr>
        <w:pStyle w:val="ManualHeading3"/>
        <w:rPr>
          <w:noProof/>
        </w:rPr>
      </w:pPr>
      <w:r>
        <w:rPr>
          <w:noProof/>
        </w:rPr>
        <w:t>4.1.1</w:t>
      </w:r>
      <w:r>
        <w:rPr>
          <w:noProof/>
        </w:rPr>
        <w:tab/>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Artikel 218.9 i EUF-fördraget är tillämplig oberoende av om unionen är medlem i organet eller part i avtalet</w:t>
      </w:r>
      <w:r>
        <w:rPr>
          <w:rStyle w:val="FootnoteReference"/>
          <w:noProof/>
        </w:rPr>
        <w:footnoteReference w:id="3"/>
      </w:r>
      <w:r>
        <w:rPr>
          <w:noProof/>
        </w:rPr>
        <w:t>.</w:t>
      </w:r>
    </w:p>
    <w:p>
      <w:pPr>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4"/>
      </w:r>
      <w:r>
        <w:rPr>
          <w:noProof/>
        </w:rPr>
        <w:t>.</w:t>
      </w:r>
    </w:p>
    <w:p>
      <w:pPr>
        <w:pStyle w:val="ManualHeading3"/>
        <w:rPr>
          <w:noProof/>
        </w:rPr>
      </w:pPr>
      <w:r>
        <w:rPr>
          <w:noProof/>
        </w:rPr>
        <w:t>4.1.2</w:t>
      </w:r>
      <w:r>
        <w:rPr>
          <w:noProof/>
        </w:rPr>
        <w:tab/>
        <w:t>Tillämpning i det aktuella fallet</w:t>
      </w:r>
    </w:p>
    <w:p>
      <w:pPr>
        <w:rPr>
          <w:rFonts w:eastAsia="Times New Roman"/>
          <w:noProof/>
          <w:szCs w:val="24"/>
        </w:rPr>
      </w:pPr>
      <w:r>
        <w:rPr>
          <w:noProof/>
        </w:rPr>
        <w:t xml:space="preserve">Internationella vinorganisationen (OIV) är en mellanstatlig organisation med vetenskaplig och teknisk inriktning som är verksam på områdena vinodling, vin, vinbaserade drycker, bordsdruvor, russin och andra vinodlingsprodukter. Fyrtiosex stater är för närvarande medlemmar i OIV och av dessa är tjugo medlemsstater i Europeiska unionen. Europeiska </w:t>
      </w:r>
      <w:r>
        <w:rPr>
          <w:noProof/>
        </w:rPr>
        <w:lastRenderedPageBreak/>
        <w:t xml:space="preserve">unionen är inte medlem i OIV. Den 20 oktober 2017 beviljade OIV emellertid unionen den särskilda status som föreskrivs i artikel 4 i OIV:s arbetsordning som gör det möjligt för unionen att delta i arbetet i utskott, underutskott och expertgrupper och i generalförsamlingens och den verkställande kommitténs möten. </w:t>
      </w:r>
    </w:p>
    <w:p>
      <w:pPr>
        <w:rPr>
          <w:noProof/>
        </w:rPr>
      </w:pPr>
      <w:r>
        <w:rPr>
          <w:noProof/>
        </w:rPr>
        <w:t xml:space="preserve">I enlighet med Europaparlamentets och rådets förordning (EU) nr 1308/2013 och kommissionens förordning (EG) nr 606/2009 påverkas EU-lagstiftningen av vissa av de resolutioner som antas och offentliggörs av OIV. Unionens ståndpunkt när det gäller dessa resolutioner i ärenden inom dess behörighet bör därför fastställas av rådet och framföras vid OIV:s möten av de medlemsstater som är medlemmar av OIV och som agerar samfällt i unionens intresse. </w:t>
      </w:r>
    </w:p>
    <w:p>
      <w:pPr>
        <w:rPr>
          <w:noProof/>
        </w:rPr>
      </w:pPr>
      <w:r>
        <w:rPr>
          <w:noProof/>
        </w:rPr>
        <w:t>Den förfarandemässiga rättsliga grunden för det föreslagna beslutet är därför artikel 218.9 i EUF-fördraget.</w:t>
      </w:r>
    </w:p>
    <w:p>
      <w:pPr>
        <w:pStyle w:val="ManualHeading2"/>
        <w:rPr>
          <w:noProof/>
        </w:rPr>
      </w:pPr>
      <w:r>
        <w:rPr>
          <w:noProof/>
        </w:rPr>
        <w:t>4.2</w:t>
      </w:r>
      <w:r>
        <w:rPr>
          <w:noProof/>
        </w:rPr>
        <w:tab/>
        <w:t>Materiell rättslig grund</w:t>
      </w:r>
    </w:p>
    <w:p>
      <w:pPr>
        <w:pStyle w:val="ManualHeading3"/>
        <w:rPr>
          <w:noProof/>
        </w:rPr>
      </w:pPr>
      <w:r>
        <w:rPr>
          <w:noProof/>
        </w:rPr>
        <w:t>4.2.1</w:t>
      </w:r>
      <w:r>
        <w:rPr>
          <w:noProof/>
        </w:rPr>
        <w:tab/>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rPr>
          <w:noProof/>
        </w:rPr>
        <w:t>4.2.2</w:t>
      </w:r>
      <w:r>
        <w:rPr>
          <w:noProof/>
        </w:rPr>
        <w:tab/>
        <w:t>Tillämpning i det aktuella fallet</w:t>
      </w:r>
    </w:p>
    <w:p>
      <w:pPr>
        <w:rPr>
          <w:noProof/>
          <w:color w:val="000000" w:themeColor="text1"/>
        </w:rPr>
      </w:pPr>
      <w:r>
        <w:rPr>
          <w:noProof/>
          <w:color w:val="000000" w:themeColor="text1"/>
        </w:rPr>
        <w:t xml:space="preserve">Det huvudsakliga syftet med de planerade utkasten till resolutioner rör harmonisering av standarder för vin och därmed genomförandet av den gemensamma jordbrukspolitiken. </w:t>
      </w:r>
      <w:r>
        <w:rPr>
          <w:noProof/>
        </w:rPr>
        <w:t>Den materiella rättsliga grunden för det föreslagna beslutet omfattar därför artikel 43 i EUF-fördraget.</w:t>
      </w:r>
    </w:p>
    <w:p>
      <w:pPr>
        <w:pStyle w:val="ManualHeading2"/>
        <w:rPr>
          <w:noProof/>
        </w:rPr>
      </w:pPr>
      <w:r>
        <w:rPr>
          <w:noProof/>
        </w:rPr>
        <w:t>4.3</w:t>
      </w:r>
      <w:r>
        <w:rPr>
          <w:noProof/>
        </w:rPr>
        <w:tab/>
        <w:t>Slutsats</w:t>
      </w:r>
    </w:p>
    <w:p>
      <w:pPr>
        <w:rPr>
          <w:noProof/>
          <w:color w:val="000000" w:themeColor="text1"/>
        </w:rPr>
      </w:pPr>
      <w:r>
        <w:rPr>
          <w:noProof/>
        </w:rPr>
        <w:t>Den rättsliga grunden för förslaget till beslut bör vara artikel 43 jämförd med artikel 218.9 i EUF-fördraget.</w:t>
      </w:r>
    </w:p>
    <w:p>
      <w:pPr>
        <w:pStyle w:val="ManualHeading1"/>
        <w:rPr>
          <w:noProof/>
        </w:rPr>
      </w:pPr>
      <w:r>
        <w:rPr>
          <w:noProof/>
        </w:rPr>
        <w:t>5.</w:t>
      </w:r>
      <w:r>
        <w:rPr>
          <w:noProof/>
        </w:rPr>
        <w:tab/>
        <w:t>Offentliggörande av den planerade akten</w:t>
      </w:r>
    </w:p>
    <w:p>
      <w:pPr>
        <w:rPr>
          <w:noProof/>
          <w:color w:val="000000" w:themeColor="text1"/>
        </w:rPr>
      </w:pPr>
      <w:r>
        <w:rPr>
          <w:noProof/>
        </w:rPr>
        <w:t>Ej tillämpligt</w:t>
      </w:r>
    </w:p>
    <w:p>
      <w:pPr>
        <w:rPr>
          <w:noProof/>
          <w:color w:val="000000" w:themeColor="text1"/>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2019/0121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Internationella vinorganisationen (OIV)</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43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rPr>
          <w:noProof/>
        </w:rPr>
        <w:t>(1)</w:t>
      </w:r>
      <w:r>
        <w:rPr>
          <w:noProof/>
        </w:rPr>
        <w:tab/>
        <w:t>Internationella vinorganisationen (OIV) kommer att granska och eventuellt anta resolutioner som påverkar EU-lagstiftningen vid sin nästa generalförsamling den 19 juli 2019. Europeiska unionen är inte medlem i OIV. Den 20 oktober 2017 beviljade OIV emellertid unionen den särskilda status som föreskrivs i artikel 4 i OIV:s arbetsordning.</w:t>
      </w:r>
    </w:p>
    <w:p>
      <w:pPr>
        <w:pStyle w:val="ManualConsidrant"/>
        <w:rPr>
          <w:noProof/>
        </w:rPr>
      </w:pPr>
      <w:r>
        <w:rPr>
          <w:noProof/>
        </w:rPr>
        <w:t>(2)</w:t>
      </w:r>
      <w:r>
        <w:rPr>
          <w:noProof/>
        </w:rPr>
        <w:tab/>
        <w:t>Tjugo av unionens medlemsstater är medlemmar i OIV. De medlemsstaterna kan föreslå ändringar i OIV:s utkast till resolutioner och vid OIV:s nästa generalförsamling den 19 juli 2019 kommer de att ombes att anta vissa av utkasten till resolutioner.</w:t>
      </w:r>
    </w:p>
    <w:p>
      <w:pPr>
        <w:pStyle w:val="ManualConsidrant"/>
        <w:rPr>
          <w:noProof/>
        </w:rPr>
      </w:pPr>
      <w:r>
        <w:rPr>
          <w:noProof/>
        </w:rPr>
        <w:t>(3)</w:t>
      </w:r>
      <w:r>
        <w:rPr>
          <w:noProof/>
        </w:rPr>
        <w:tab/>
        <w:t>Unionens ståndpunkt när det gäller dessa resolutioner i ärenden inom dess behörighet bör därför fastställas av rådet och framföras vid OIV:s möten av de medlemsstater som är medlemmar av OIV och som agerar samfällt i unionens intresse.</w:t>
      </w:r>
    </w:p>
    <w:p>
      <w:pPr>
        <w:pStyle w:val="ManualConsidrant"/>
        <w:rPr>
          <w:noProof/>
        </w:rPr>
      </w:pPr>
      <w:r>
        <w:rPr>
          <w:noProof/>
        </w:rPr>
        <w:t>(4)</w:t>
      </w:r>
      <w:r>
        <w:rPr>
          <w:noProof/>
        </w:rPr>
        <w:tab/>
        <w:t>I enlighet med Europaparlamentets och rådets förordning (EU) nr 1308/2013</w:t>
      </w:r>
      <w:r>
        <w:rPr>
          <w:rStyle w:val="FootnoteReference"/>
          <w:noProof/>
        </w:rPr>
        <w:footnoteReference w:id="5"/>
      </w:r>
      <w:r>
        <w:rPr>
          <w:noProof/>
        </w:rPr>
        <w:t xml:space="preserve"> och kommissionens förordning (EG) nr 606/2009</w:t>
      </w:r>
      <w:r>
        <w:rPr>
          <w:rStyle w:val="FootnoteReference"/>
          <w:noProof/>
        </w:rPr>
        <w:footnoteReference w:id="6"/>
      </w:r>
      <w:r>
        <w:rPr>
          <w:noProof/>
        </w:rPr>
        <w:t xml:space="preserve"> påverkas EU-lagstiftningen av vissa av de resolutioner som antas och offentliggörs av OIV.</w:t>
      </w:r>
    </w:p>
    <w:p>
      <w:pPr>
        <w:pStyle w:val="ManualConsidrant"/>
        <w:rPr>
          <w:noProof/>
        </w:rPr>
      </w:pPr>
      <w:r>
        <w:rPr>
          <w:noProof/>
        </w:rPr>
        <w:t>(5)</w:t>
      </w:r>
      <w:r>
        <w:rPr>
          <w:noProof/>
        </w:rPr>
        <w:tab/>
        <w:t>Enligt artikel 80.3 a i förordning (EU) nr 1308/2013 ska kommissionen beakta de oenologiska metoder och analysmetoder som har rekommenderats och offentliggjorts av OIV när den lämnar tillstånd till oenologiska metoder.</w:t>
      </w:r>
    </w:p>
    <w:p>
      <w:pPr>
        <w:pStyle w:val="ManualConsidrant"/>
        <w:rPr>
          <w:noProof/>
        </w:rPr>
      </w:pPr>
      <w:r>
        <w:rPr>
          <w:noProof/>
        </w:rPr>
        <w:t>(6)</w:t>
      </w:r>
      <w:r>
        <w:rPr>
          <w:noProof/>
        </w:rPr>
        <w:tab/>
        <w:t>I artikel 80.5 i förordning (EU) nr 1308/2013 föreskrivs det att när kommissionen fastställer analysmetoder för fastställande av vinprodukters sammansättning ska dessa metoder baseras på en relevant metod som rekommenderats och offentliggjorts av OIV, utom om en sådan metod skulle vara ineffektiv eller olämplig med tanke på det mål som unionen önskar uppnå.</w:t>
      </w:r>
    </w:p>
    <w:p>
      <w:pPr>
        <w:pStyle w:val="ManualConsidrant"/>
        <w:rPr>
          <w:noProof/>
        </w:rPr>
      </w:pPr>
      <w:r>
        <w:rPr>
          <w:noProof/>
        </w:rPr>
        <w:lastRenderedPageBreak/>
        <w:t>(7)</w:t>
      </w:r>
      <w:r>
        <w:rPr>
          <w:noProof/>
        </w:rPr>
        <w:tab/>
        <w:t>Enligt artikel 90.2 i förordning (EU) nr 1308/2013 ska de vinprodukter som importeras till unionen framställas med de oenologiska metoder som godkänts av unionen enligt den förordningen eller, om det gäller tiden före tillståndet, enligt de oenologiska metoder som rekommenderas och offentliggörs av OIV.</w:t>
      </w:r>
    </w:p>
    <w:p>
      <w:pPr>
        <w:pStyle w:val="ManualConsidrant"/>
        <w:rPr>
          <w:noProof/>
        </w:rPr>
      </w:pPr>
      <w:r>
        <w:rPr>
          <w:noProof/>
        </w:rPr>
        <w:t>(8)</w:t>
      </w:r>
      <w:r>
        <w:rPr>
          <w:noProof/>
        </w:rPr>
        <w:tab/>
        <w:t>I artikel 9 i förordning (EG) nr 606/2009 föreskrivs det att om specifikationer för renhet och identitet för ämnen som ingår i oenologiska metoder inte fastställs av kommissionen ska de specifikationer som fastställs och offentliggörs av OIV tillämpas.</w:t>
      </w:r>
    </w:p>
    <w:p>
      <w:pPr>
        <w:pStyle w:val="ManualConsidrant"/>
        <w:rPr>
          <w:noProof/>
        </w:rPr>
      </w:pPr>
      <w:r>
        <w:rPr>
          <w:noProof/>
        </w:rPr>
        <w:t>(9)</w:t>
      </w:r>
      <w:r>
        <w:rPr>
          <w:noProof/>
        </w:rPr>
        <w:tab/>
        <w:t>Utkastet till resolution OENO-MICRO 16-594A fastställer en ny oenologisk metod. Utkastet till resolution OENO-MICRO 17–611 uppdaterar målen för en befintlig oenologisk metod. Resolutionerna påverkar EU-lagstiftningen i enlighet med artiklarna 80.3 a och 90.2 i förordning (EU) nr 1308/2013 och artikel 9 i förordning (EG) nr 606/2009.</w:t>
      </w:r>
    </w:p>
    <w:p>
      <w:pPr>
        <w:pStyle w:val="ManualConsidrant"/>
        <w:rPr>
          <w:noProof/>
        </w:rPr>
      </w:pPr>
      <w:r>
        <w:rPr>
          <w:noProof/>
        </w:rPr>
        <w:t>(10)</w:t>
      </w:r>
      <w:r>
        <w:rPr>
          <w:noProof/>
        </w:rPr>
        <w:tab/>
        <w:t>Utkasten till resolutionerna OENO-TECHNO 15-586, 17-612 och 17-613 uppdaterar tillämpningarna och målen för de motsvarande oenologiska metoderna. Utkastet till resolution OENO-TECHNO 18-633 lägger till ett nytt ämne för användning i den befintliga oenologiska metoden. Utkastet till resolution OENO-TECHNO 17-616 fastställer en ny oenologisk metod för vinframställning. Resolutionerna påverkar EU-lagstiftningen i enlighet med artiklarna 80.3 a och 90.2 i förordning (EU) nr 1308/2013.</w:t>
      </w:r>
    </w:p>
    <w:p>
      <w:pPr>
        <w:pStyle w:val="ManualConsidrant"/>
        <w:rPr>
          <w:noProof/>
        </w:rPr>
      </w:pPr>
      <w:r>
        <w:rPr>
          <w:noProof/>
        </w:rPr>
        <w:t>(11)</w:t>
      </w:r>
      <w:r>
        <w:rPr>
          <w:noProof/>
        </w:rPr>
        <w:tab/>
        <w:t>Utkasten till resolutionerna OENO-SPECIF 17-617, 18-646 och 18-650 uppdaterar monografierna som fastställer specifikationerna för renhet och identitet för de ämnen som ingår i oenologiska metoder. Resolutionerna påverkar EU-lagstiftningen i enlighet med artiklarna 80.3 a och 90.2 i förordning (EU) nr 1308/2013 och artikel 9 i förordning (EG) nr 606/2009.</w:t>
      </w:r>
    </w:p>
    <w:p>
      <w:pPr>
        <w:pStyle w:val="ManualConsidrant"/>
        <w:rPr>
          <w:noProof/>
        </w:rPr>
      </w:pPr>
      <w:r>
        <w:rPr>
          <w:noProof/>
        </w:rPr>
        <w:t>(12)</w:t>
      </w:r>
      <w:r>
        <w:rPr>
          <w:noProof/>
        </w:rPr>
        <w:tab/>
        <w:t>Utkasten till resolutionerna OENO-SCMA 16-596, 17-619, 17-621 och 17-622 fastställer nya analysmetoder. Utkastet till resolution OENO-SCMA 18-638 fastställer en ny analysmetod och ett nytt gränsvärde för förekomsten av bly i vin. Resolutionerna påverkar EU-lagstiftningen i enlighet med artikel 80.3 a och 80.5 i förordning (EU) nr 1308/2013.</w:t>
      </w:r>
    </w:p>
    <w:p>
      <w:pPr>
        <w:pStyle w:val="ManualConsidrant"/>
        <w:rPr>
          <w:noProof/>
        </w:rPr>
      </w:pPr>
      <w:r>
        <w:rPr>
          <w:noProof/>
        </w:rPr>
        <w:t>(13)</w:t>
      </w:r>
      <w:r>
        <w:rPr>
          <w:noProof/>
        </w:rPr>
        <w:tab/>
        <w:t>Dessa utkast till resolutioner har varit föremål för ingående diskussioner mellan vetenskapliga och tekniska experter inom vinsektorn. De bidrar till harmonisering inom ramen för internationella standarder för vin och kommer att skapa en ram som sörjer för rättvisa konkurrensförhållanden inom handel med vinprodukter. De bör därför tillstyrkas.</w:t>
      </w:r>
    </w:p>
    <w:p>
      <w:pPr>
        <w:pStyle w:val="ManualConsidrant"/>
        <w:rPr>
          <w:noProof/>
        </w:rPr>
      </w:pPr>
      <w:r>
        <w:rPr>
          <w:noProof/>
        </w:rPr>
        <w:t>(14)</w:t>
      </w:r>
      <w:r>
        <w:rPr>
          <w:noProof/>
        </w:rPr>
        <w:tab/>
        <w:t>För att möjliggöra den flexibilitet som krävs under förhandlingarna inför OIV:s generalförsamling bör de medlemsstater som är medlemmar av OIV ha behörighet att godkänna ändringar av dessa resolutioner, under förutsättning att dessa ändringar inte medför några ändringar av sakinnehållet.</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Den ståndpunkt som ska intas på unionens vägnar vid Internationella vinorganisationens (OIV) generalförsamling den 19 juli 2019 fastställs i bilagan till detta beslut och ska uttryckas av de medlemsstater som är medlemmar av OIV och som ska agera samfälligt i unionens intresse.</w:t>
      </w:r>
    </w:p>
    <w:p>
      <w:pPr>
        <w:rPr>
          <w:noProof/>
        </w:rPr>
      </w:pPr>
      <w:r>
        <w:rPr>
          <w:noProof/>
        </w:rPr>
        <w:lastRenderedPageBreak/>
        <w:br w:type="page"/>
      </w:r>
    </w:p>
    <w:p>
      <w:pPr>
        <w:rPr>
          <w:noProof/>
        </w:rPr>
      </w:pPr>
    </w:p>
    <w:p>
      <w:pPr>
        <w:pStyle w:val="Titrearticle"/>
        <w:keepNext w:val="0"/>
        <w:rPr>
          <w:noProof/>
        </w:rPr>
      </w:pPr>
      <w:r>
        <w:rPr>
          <w:noProof/>
        </w:rPr>
        <w:t>Artikel 2</w:t>
      </w:r>
    </w:p>
    <w:p>
      <w:pPr>
        <w:pStyle w:val="ManualNumPar1"/>
        <w:rPr>
          <w:noProof/>
        </w:rPr>
      </w:pPr>
      <w:r>
        <w:rPr>
          <w:noProof/>
        </w:rPr>
        <w:t>1.</w:t>
      </w:r>
      <w:r>
        <w:rPr>
          <w:noProof/>
        </w:rPr>
        <w:tab/>
        <w:t>Om den ståndpunkt som avses i artikel 1 kan komma att påverkas av ny vetenskaplig och teknisk information som läggs fram före eller under OIV:s möten ska de medlemsstater som är medlemmar av OIV begära att röstning vid OIV:s generalförsamling inte ska äga rum förrän unionens ståndpunkt har antagits på grundval av de nya faktorerna.</w:t>
      </w:r>
    </w:p>
    <w:p>
      <w:pPr>
        <w:pStyle w:val="ManualNumPar1"/>
        <w:rPr>
          <w:noProof/>
        </w:rPr>
      </w:pPr>
      <w:r>
        <w:rPr>
          <w:noProof/>
        </w:rPr>
        <w:t>2.</w:t>
      </w:r>
      <w:r>
        <w:rPr>
          <w:noProof/>
        </w:rPr>
        <w:tab/>
        <w:t>Efter samordning, i första hand på plats, och i avsaknad av ytterligare rådsbeslut om fastställande av unionens ståndpunkt får de medlemsstater som är medlemmar av OIV och som ska agera samfälligt i unionens intresse, godkänna ändringar av de utkast till resolutioner som anges i bilagan, om det inte medför några ändringar av sakinnehållet.</w:t>
      </w:r>
    </w:p>
    <w:p>
      <w:pPr>
        <w:pStyle w:val="Titrearticle"/>
        <w:rPr>
          <w:noProof/>
        </w:rPr>
      </w:pPr>
      <w:r>
        <w:rPr>
          <w:noProof/>
        </w:rPr>
        <w:t>Artikel 3</w:t>
      </w:r>
    </w:p>
    <w:p>
      <w:pPr>
        <w:rPr>
          <w:noProof/>
        </w:rPr>
      </w:pPr>
      <w:r>
        <w:rPr>
          <w:noProof/>
        </w:rPr>
        <w:t>Detta beslut riktar sig till medlemsstaterna.</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(EU) nr 1308/2013 av den 17 december 2013 om upprättande av en samlad marknadsordning för jordbruksprodukter och om upphävande av rådets förordningar (EEG) nr 922/72, (EEG) nr 234/79, (EG) nr 1037/2001 och (EG) nr 1234/2007 (EUT L 347, 20.12.2013, s. 671).</w:t>
      </w:r>
    </w:p>
  </w:footnote>
  <w:footnote w:id="2">
    <w:p>
      <w:pPr>
        <w:pStyle w:val="FootnoteText"/>
      </w:pPr>
      <w:r>
        <w:rPr>
          <w:rStyle w:val="FootnoteReference"/>
        </w:rPr>
        <w:footnoteRef/>
      </w:r>
      <w:r>
        <w:tab/>
        <w:t>Kommissionens förordning (EG) nr 606/2009 av den 10 juli 2009 om vissa tillämpningsföreskrifter för rådets förordning (EG) nr 479/2008 beträffande kategorier av vinprodukter, oenologiska metoder och restriktioner som ska tillämpas på dessa (EUT L 193, 24.7.2009, s. 1).</w:t>
      </w:r>
    </w:p>
  </w:footnote>
  <w:footnote w:id="3">
    <w:p>
      <w:pPr>
        <w:pStyle w:val="FootnoteText"/>
      </w:pPr>
      <w:r>
        <w:rPr>
          <w:rStyle w:val="FootnoteReference"/>
        </w:rPr>
        <w:footnoteRef/>
      </w:r>
      <w:r>
        <w:tab/>
        <w:t>Domstolens dom av den 7 oktober 2014, Tyskland/rådet, C-399/12, ECLI:EU:C:2014:2258, punkt 64.</w:t>
      </w:r>
    </w:p>
  </w:footnote>
  <w:footnote w:id="4">
    <w:p>
      <w:pPr>
        <w:pStyle w:val="FootnoteText"/>
      </w:pPr>
      <w:r>
        <w:rPr>
          <w:rStyle w:val="FootnoteReference"/>
        </w:rPr>
        <w:footnoteRef/>
      </w:r>
      <w:r>
        <w:tab/>
        <w:t>Domstolens dom av den 7 oktober 2014, Tyskland/rådet, C-399/12, ECLI: EU: C: 2014: 2258, punkterna 61–64.</w:t>
      </w:r>
    </w:p>
  </w:footnote>
  <w:footnote w:id="5">
    <w:p>
      <w:pPr>
        <w:pStyle w:val="FootnoteText"/>
      </w:pPr>
      <w:r>
        <w:rPr>
          <w:rStyle w:val="FootnoteReference"/>
        </w:rPr>
        <w:footnoteRef/>
      </w:r>
      <w:r>
        <w:tab/>
        <w:t>Europaparlamentets och rådets förordning (EU) nr 1308/2013 av den 17 december 2013 om upprättande av en samlad marknadsordning för jordbruksprodukter och om upphävande av rådets förordningar (EEG) nr 922/72, (EEG) nr 234/79, (EG) nr 1037/2001 och (EG) nr 1234/2007 (EUT L 347, 20.12.2013, s. 671).</w:t>
      </w:r>
    </w:p>
  </w:footnote>
  <w:footnote w:id="6">
    <w:p>
      <w:pPr>
        <w:pStyle w:val="FootnoteText"/>
      </w:pPr>
      <w:r>
        <w:rPr>
          <w:rStyle w:val="FootnoteReference"/>
        </w:rPr>
        <w:footnoteRef/>
      </w:r>
      <w:r>
        <w:tab/>
        <w:t>Kommissionens förordning (EG) nr 606/2009 av den 10 juli 2009 om vissa tillämpningsföreskrifter för rådets förordning (EG) nr 479/2008 beträffande kategorier av vinprodukter, oenologiska metoder och restriktioner som ska tillämpas på dessa (EUT L 193, 24.7.2009,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AB0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EABE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DA83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F8E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201B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9A24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425866"/>
    <w:lvl w:ilvl="0">
      <w:start w:val="1"/>
      <w:numFmt w:val="decimal"/>
      <w:pStyle w:val="ListNumber"/>
      <w:lvlText w:val="%1."/>
      <w:lvlJc w:val="left"/>
      <w:pPr>
        <w:tabs>
          <w:tab w:val="num" w:pos="360"/>
        </w:tabs>
        <w:ind w:left="360" w:hanging="360"/>
      </w:pPr>
    </w:lvl>
  </w:abstractNum>
  <w:abstractNum w:abstractNumId="7">
    <w:nsid w:val="FFFFFF89"/>
    <w:multiLevelType w:val="singleLevel"/>
    <w:tmpl w:val="B4D03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9 09:51: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6BCAD53-88C2-46FF-B5BE-EBF652C15561"/>
    <w:docVar w:name="LW_COVERPAGE_TYPE" w:val="1"/>
    <w:docVar w:name="LW_CROSSREFERENCE" w:val="&lt;UNUSED&gt;"/>
    <w:docVar w:name="LW_DocType" w:val="COM"/>
    <w:docVar w:name="LW_EMISSION" w:val="4.6.2019"/>
    <w:docVar w:name="LW_EMISSION_ISODATE" w:val="2019-06-04"/>
    <w:docVar w:name="LW_EMISSION_LOCATION" w:val="BRX"/>
    <w:docVar w:name="LW_EMISSION_PREFIX" w:val="Bry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21"/>
    <w:docVar w:name="LW_REF.II.NEW.CP_YEAR" w:val="2019"/>
    <w:docVar w:name="LW_REF.INST.NEW" w:val="COM"/>
    <w:docVar w:name="LW_REF.INST.NEW_ADOPTED" w:val="final"/>
    <w:docVar w:name="LW_REF.INST.NEW_TEXT" w:val="(2019) 2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Internationella vinorganisationen (OIV)"/>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97A8-AD83-480F-81BF-3F2518F7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1948</Words>
  <Characters>11536</Characters>
  <Application>Microsoft Office Word</Application>
  <DocSecurity>0</DocSecurity>
  <Lines>209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2019-04-11T09:16:00Z</cp:lastPrinted>
  <dcterms:created xsi:type="dcterms:W3CDTF">2019-05-15T16:01:00Z</dcterms:created>
  <dcterms:modified xsi:type="dcterms:W3CDTF">2019-05-29T07:51:00Z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