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040D297-3D7C-4208-B606-BDE7CD05BB34"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REKOMMENDATIONEN</w:t>
      </w:r>
    </w:p>
    <w:p>
      <w:pPr>
        <w:pStyle w:val="ManualHeading2"/>
        <w:rPr>
          <w:rFonts w:eastAsia="Arial Unicode MS"/>
          <w:noProof/>
        </w:rPr>
      </w:pPr>
      <w:r>
        <w:rPr>
          <w:noProof/>
          <w:color w:val="000000"/>
          <w:u w:color="000000"/>
          <w:bdr w:val="nil"/>
        </w:rPr>
        <w:t>•</w:t>
      </w:r>
      <w:r>
        <w:rPr>
          <w:noProof/>
        </w:rPr>
        <w:tab/>
        <w:t>Motiv och syfte med förslaget</w:t>
      </w:r>
    </w:p>
    <w:p>
      <w:pPr>
        <w:spacing w:before="60" w:after="60"/>
        <w:rPr>
          <w:rFonts w:eastAsia="Arial Unicode MS"/>
          <w:noProof/>
        </w:rPr>
      </w:pPr>
      <w:r>
        <w:rPr>
          <w:noProof/>
        </w:rPr>
        <w:t xml:space="preserve">Kommissionen föreslår förhandlingar om ett nytt partnerskapsavtal om hållbart fiske och ett nytt protokoll till detta med Islamiska republiken Mauretanien (nedan kallad </w:t>
      </w:r>
      <w:r>
        <w:rPr>
          <w:i/>
          <w:noProof/>
        </w:rPr>
        <w:t>Mauretanien</w:t>
      </w:r>
      <w:r>
        <w:rPr>
          <w:noProof/>
        </w:rPr>
        <w:t>) vilka båda svarar mot unionsflottans behov och är förenliga med förordning (EU) nr 1380/2013 om den gemensamma fiskeripolitiken och rådets slutsatser av den 19 mars 2012 om kommissionens meddelande om den gemensamma fiskeripolitikens internationella dimension.</w:t>
      </w:r>
    </w:p>
    <w:p>
      <w:pPr>
        <w:pStyle w:val="ManualHeading2"/>
        <w:rPr>
          <w:rFonts w:eastAsia="Arial Unicode MS"/>
          <w:noProof/>
          <w:u w:color="000000"/>
          <w:bdr w:val="nil"/>
        </w:rPr>
      </w:pPr>
      <w:r>
        <w:rPr>
          <w:noProof/>
        </w:rPr>
        <w:t>•</w:t>
      </w:r>
      <w:r>
        <w:rPr>
          <w:noProof/>
        </w:rPr>
        <w:tab/>
        <w:t>Förenlighet med befintliga bestämmelser inom området</w:t>
      </w:r>
    </w:p>
    <w:p>
      <w:pPr>
        <w:pBdr>
          <w:top w:val="nil"/>
          <w:left w:val="nil"/>
          <w:bottom w:val="nil"/>
          <w:right w:val="nil"/>
          <w:between w:val="nil"/>
          <w:bar w:val="nil"/>
        </w:pBdr>
        <w:spacing w:before="0" w:after="240"/>
        <w:rPr>
          <w:rFonts w:eastAsia="Arial Unicode MS"/>
          <w:noProof/>
          <w:szCs w:val="24"/>
        </w:rPr>
      </w:pPr>
      <w:r>
        <w:rPr>
          <w:noProof/>
        </w:rPr>
        <w:t>Det nuvarande partnerskapsavtalet om fiske mellan Europeiska unionen och Mauretanien</w:t>
      </w:r>
      <w:r>
        <w:rPr>
          <w:rStyle w:val="FootnoteReference"/>
          <w:noProof/>
        </w:rPr>
        <w:footnoteReference w:id="1"/>
      </w:r>
      <w:r>
        <w:rPr>
          <w:b/>
          <w:noProof/>
        </w:rPr>
        <w:t xml:space="preserve"> </w:t>
      </w:r>
      <w:r>
        <w:rPr>
          <w:noProof/>
        </w:rPr>
        <w:t>undertecknades den 4 augusti 2008</w:t>
      </w:r>
      <w:r>
        <w:rPr>
          <w:rStyle w:val="FootnoteReference"/>
          <w:noProof/>
        </w:rPr>
        <w:footnoteReference w:id="2"/>
      </w:r>
      <w:r>
        <w:rPr>
          <w:noProof/>
        </w:rPr>
        <w:t>. Det föreslås härmed att ett nytt partnerskapsavtal om hållbart fiske förhandlas fram för att införliva vissa bestämmelser som ingår i förordning (EU) nr nr1380/2013</w:t>
      </w:r>
      <w:r>
        <w:rPr>
          <w:rStyle w:val="FootnoteReference"/>
          <w:noProof/>
        </w:rPr>
        <w:footnoteReference w:id="3"/>
      </w:r>
      <w:r>
        <w:rPr>
          <w:noProof/>
        </w:rPr>
        <w:t xml:space="preserve"> vilka inte omfattas av det gällande partnerskapsavtalet om fiske. Det nuvarande fyraåriga protokollet</w:t>
      </w:r>
      <w:r>
        <w:rPr>
          <w:rStyle w:val="FootnoteReference"/>
          <w:noProof/>
        </w:rPr>
        <w:footnoteReference w:id="4"/>
      </w:r>
      <w:r>
        <w:rPr>
          <w:noProof/>
        </w:rPr>
        <w:t xml:space="preserve"> till partnerskapsavtalet om fiske började tillämpas den 16 november 2015</w:t>
      </w:r>
      <w:r>
        <w:rPr>
          <w:rStyle w:val="FootnoteReference"/>
          <w:noProof/>
        </w:rPr>
        <w:footnoteReference w:id="5"/>
      </w:r>
      <w:r>
        <w:rPr>
          <w:noProof/>
        </w:rPr>
        <w:t xml:space="preserve"> och löper ut den 15 november 2019. Detta protokoll har ändrats genom kommissionens beslut 2017/451/EU</w:t>
      </w:r>
      <w:r>
        <w:rPr>
          <w:rStyle w:val="FootnoteReference"/>
          <w:noProof/>
        </w:rPr>
        <w:footnoteReference w:id="6"/>
      </w:r>
      <w:r>
        <w:rPr>
          <w:noProof/>
        </w:rPr>
        <w:t xml:space="preserve"> och genom kommissionens beslut (EU) 2017/1373</w:t>
      </w:r>
      <w:r>
        <w:rPr>
          <w:rStyle w:val="FootnoteReference"/>
          <w:noProof/>
        </w:rPr>
        <w:footnoteReference w:id="7"/>
      </w:r>
      <w:r>
        <w:rPr>
          <w:noProof/>
        </w:rPr>
        <w:t xml:space="preserve">. I det fastställs fiskemöjligheterna för unionens flotta och motsvarande ekonomiska ersättning som betalas av unionen och fartygsägarna. </w:t>
      </w:r>
    </w:p>
    <w:p>
      <w:pPr>
        <w:pBdr>
          <w:top w:val="nil"/>
          <w:left w:val="nil"/>
          <w:bottom w:val="nil"/>
          <w:right w:val="nil"/>
          <w:between w:val="nil"/>
          <w:bar w:val="nil"/>
        </w:pBdr>
        <w:spacing w:before="0" w:after="240"/>
        <w:rPr>
          <w:rFonts w:eastAsia="Arial Unicode MS"/>
          <w:noProof/>
          <w:szCs w:val="24"/>
        </w:rPr>
      </w:pPr>
      <w:r>
        <w:rPr>
          <w:noProof/>
        </w:rPr>
        <w:t>EU:s årliga offentliga ekonomiska ersättning till Mauretanien uppgår till 61 625 000 euro</w:t>
      </w:r>
      <w:r>
        <w:rPr>
          <w:rStyle w:val="FootnoteReference"/>
          <w:noProof/>
        </w:rPr>
        <w:footnoteReference w:id="8"/>
      </w:r>
      <w:r>
        <w:rPr>
          <w:noProof/>
        </w:rPr>
        <w:t>, varav 4 125 000 euro är öronmärkta för sektorsstöd.</w:t>
      </w:r>
    </w:p>
    <w:p>
      <w:pPr>
        <w:spacing w:before="60" w:after="240"/>
        <w:rPr>
          <w:rFonts w:eastAsia="Arial Unicode MS"/>
          <w:noProof/>
        </w:rPr>
      </w:pPr>
      <w:r>
        <w:rPr>
          <w:noProof/>
        </w:rPr>
        <w:t>Partnerskapsavtalet om fiske med Mauretanien omfattar fiskemöjligheter med inriktning på bottenlevande och pelagiska arter samt tonfisk och långvandrande arter för EU-fartyg från 10</w:t>
      </w:r>
      <w:r>
        <w:rPr>
          <w:rStyle w:val="FootnoteReference"/>
          <w:noProof/>
        </w:rPr>
        <w:footnoteReference w:id="9"/>
      </w:r>
      <w:r>
        <w:rPr>
          <w:noProof/>
        </w:rPr>
        <w:t xml:space="preserve"> medlemsstater (Tyskland, Irland, Spanien, Frankrike, Italien, Lettland, Litauen, Nederländerna, Polen och Portugal). Europeiska unionen har redan ett utvecklat nät av bilaterala partnerskapsavtal om hållbart fiske (FPA) i Atlanten utanför västra Afrika, närmare bestämt med Marocko, Senegal, Gambia, Guinea-Bissau, Liberia och Elfenbenskusten.</w:t>
      </w:r>
    </w:p>
    <w:p>
      <w:pPr>
        <w:pBdr>
          <w:top w:val="nil"/>
          <w:left w:val="nil"/>
          <w:bottom w:val="nil"/>
          <w:right w:val="nil"/>
          <w:between w:val="nil"/>
          <w:bar w:val="nil"/>
        </w:pBdr>
        <w:spacing w:before="0" w:after="240"/>
        <w:rPr>
          <w:rFonts w:eastAsia="Arial Unicode MS"/>
          <w:noProof/>
        </w:rPr>
      </w:pPr>
      <w:r>
        <w:rPr>
          <w:noProof/>
        </w:rPr>
        <w:t xml:space="preserve">Partnerskapsavtalen om hållbart fiske bidrar till att främja den gemensamma fiskeripolitikens mål på internationell nivå och säkerställer att unionens fiske utanför unionens vatten följer samma principer och standarder som de som tillämpas enligt unionsrätten. Dessutom bidrar partnerskapsavtal om hållbart fiske till att gynna vetenskapligt samarbete mellan EU och dess </w:t>
      </w:r>
      <w:r>
        <w:rPr>
          <w:noProof/>
        </w:rPr>
        <w:lastRenderedPageBreak/>
        <w:t>partner, främja öppenhet och hållbarhet för en bättre förvaltning av fiskeresurser samt uppmuntra styrning genom att stödja uppföljning, kontroll och övervakning av nationella och utländska flottors verksamhet och ge finansiering till kampen mot olagligt, orapporterat och oreglerat fiske (IUU). Partnerskapsavtalen om hållbart fiske bidrar till en hållbar utveckling av den lokala fiskerinäringen och till att främja tillväxt och anständigt arbete med anknytning till maritim verksamhet: Partnerskapsavtal om hållbart fiske stärker Europeiska unionens ställning i internationella och regionala fiskeriorganisationer: Vad Mauretanien beträffar är detta särskilt fallet inom ramen för Internationella kommissionen för bevarande av tonfisk i Atlanten (Iccat)</w:t>
      </w:r>
      <w:r>
        <w:rPr>
          <w:rStyle w:val="FootnoteReference"/>
          <w:noProof/>
        </w:rPr>
        <w:footnoteReference w:id="10"/>
      </w:r>
      <w:r>
        <w:rPr>
          <w:noProof/>
        </w:rPr>
        <w:t xml:space="preserve"> och Fiskerikommittén för östra Centralatlanten (Cecaf)</w:t>
      </w:r>
      <w:r>
        <w:rPr>
          <w:rStyle w:val="FootnoteReference"/>
          <w:noProof/>
        </w:rPr>
        <w:footnoteReference w:id="11"/>
      </w:r>
      <w:r>
        <w:rPr>
          <w:noProof/>
        </w:rPr>
        <w:t xml:space="preserve">. </w:t>
      </w:r>
    </w:p>
    <w:p>
      <w:pPr>
        <w:pStyle w:val="ManualHeading2"/>
        <w:rPr>
          <w:rFonts w:eastAsia="Arial Unicode MS"/>
          <w:noProof/>
        </w:rPr>
      </w:pPr>
      <w:r>
        <w:rPr>
          <w:noProof/>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 xml:space="preserve">Förhandlingarna om ett nytt avtal och protokoll med Mauretanien är i linje med EU:s yttre åtgärder i förhållande till länderna i Afrika, Västindien och Stillahavsområdet (AVS-länderna), framför allt med unionens mål när det gäller respekt för demokratiska principer och mänskliga rättigheter. </w:t>
      </w:r>
    </w:p>
    <w:p>
      <w:pPr>
        <w:pStyle w:val="ManualHeading1"/>
        <w:rPr>
          <w:noProof/>
        </w:rPr>
      </w:pPr>
      <w:r>
        <w:rPr>
          <w:noProof/>
        </w:rPr>
        <w:t>2.</w:t>
      </w:r>
      <w:r>
        <w:rPr>
          <w:noProof/>
        </w:rPr>
        <w:tab/>
        <w:t xml:space="preserve">REKOMMENDATIONENS RÄTTSLIGA UTFORMNING </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rFonts w:eastAsia="Arial Unicode MS"/>
          <w:noProof/>
        </w:rPr>
      </w:pPr>
      <w:r>
        <w:rPr>
          <w:noProof/>
        </w:rPr>
        <w:t>Den rättsliga grunden för beslutet återfinns i artikel 218 i fördraget om Europeiska unionens funktionssätt, närmare bestämt i femte delen (om unionens yttre åtgärder) avdelning V (om internationella avtal), där förfarandet för förhandlingar om och ingående av avtal mellan EU och tredjeländer anges.</w:t>
      </w:r>
    </w:p>
    <w:p>
      <w:pPr>
        <w:pStyle w:val="ManualHeading2"/>
        <w:rPr>
          <w:rFonts w:eastAsia="Arial Unicode MS"/>
          <w:noProof/>
          <w:u w:color="000000"/>
          <w:bdr w:val="nil"/>
        </w:rPr>
      </w:pPr>
      <w:r>
        <w:rPr>
          <w:noProof/>
        </w:rPr>
        <w:t>•</w:t>
      </w:r>
      <w:r>
        <w:rPr>
          <w:noProof/>
        </w:rPr>
        <w:tab/>
        <w:t xml:space="preserve">Subsidiaritetsprincipen (för icke-exklusiv befogenhet) </w:t>
      </w:r>
    </w:p>
    <w:p>
      <w:pPr>
        <w:pBdr>
          <w:top w:val="nil"/>
          <w:left w:val="nil"/>
          <w:bottom w:val="nil"/>
          <w:right w:val="nil"/>
          <w:between w:val="nil"/>
          <w:bar w:val="nil"/>
        </w:pBdr>
        <w:spacing w:before="0" w:after="240"/>
        <w:rPr>
          <w:rFonts w:eastAsia="Arial Unicode MS"/>
          <w:noProof/>
        </w:rPr>
      </w:pPr>
      <w:r>
        <w:rPr>
          <w:noProof/>
        </w:rPr>
        <w:t>Ej tillämpligt, exklusiv befogenhet.</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rFonts w:eastAsia="Arial Unicode MS"/>
          <w:noProof/>
        </w:rPr>
      </w:pPr>
      <w:r>
        <w:rPr>
          <w:noProof/>
        </w:rPr>
        <w:t>Beslutet står i proportion till målet.</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rFonts w:eastAsia="Arial Unicode MS"/>
          <w:noProof/>
        </w:rPr>
      </w:pPr>
      <w:r>
        <w:rPr>
          <w:noProof/>
        </w:rPr>
        <w:t>Instrumentet föreskrivs i artikel 218.3 och 218.4 i fördraget om Europeiska unionens funktionssätt.</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after="240"/>
        <w:rPr>
          <w:rFonts w:eastAsia="Arial Unicode MS"/>
          <w:noProof/>
        </w:rPr>
      </w:pPr>
      <w:r>
        <w:rPr>
          <w:noProof/>
        </w:rPr>
        <w:t xml:space="preserve">Under 2018–2019 gjorde kommissionen en efterhandsutvärdering av det nuvarande protokollet till partnerskapsavtalet om fiske med Mauretanien liksom en förhandsutvärdering av en eventuell förnyelse av protokollet. Slutsatserna av utvärderingen återfinns i ett separat arbetsdokument från kommissionens avdelningar. </w:t>
      </w:r>
    </w:p>
    <w:p>
      <w:pPr>
        <w:pBdr>
          <w:top w:val="nil"/>
          <w:left w:val="nil"/>
          <w:bottom w:val="nil"/>
          <w:right w:val="nil"/>
          <w:between w:val="nil"/>
          <w:bar w:val="nil"/>
        </w:pBdr>
        <w:spacing w:before="0" w:after="240"/>
        <w:rPr>
          <w:rFonts w:eastAsia="Arial Unicode MS"/>
          <w:noProof/>
        </w:rPr>
      </w:pPr>
      <w:r>
        <w:rPr>
          <w:noProof/>
        </w:rPr>
        <w:lastRenderedPageBreak/>
        <w:t xml:space="preserve">I utvärderingen konstaterades att det i EU:s fiskerisektorer definitivt finns ett intresse av att fiska i Mauretaniens vatten, och att en förnyelse av protokollet skulle förbättra uppföljningen, kontrollen och övervakningen samt bidra till en bättre förvaltning av fisket i regionen. </w:t>
      </w:r>
    </w:p>
    <w:p>
      <w:pPr>
        <w:pBdr>
          <w:top w:val="nil"/>
          <w:left w:val="nil"/>
          <w:bottom w:val="nil"/>
          <w:right w:val="nil"/>
          <w:between w:val="nil"/>
          <w:bar w:val="nil"/>
        </w:pBdr>
        <w:spacing w:before="0" w:after="240"/>
        <w:rPr>
          <w:rFonts w:eastAsia="Arial Unicode MS"/>
          <w:noProof/>
        </w:rPr>
      </w:pPr>
      <w:r>
        <w:rPr>
          <w:noProof/>
        </w:rPr>
        <w:t xml:space="preserve">För EU är det viktigt att behålla ett instrument som möjliggör ett fördjupat sektoriellt samarbete med en viktig aktör inom förvaltningen av världshaven på subregional nivå, särskilt med tanke på omfattningen av det fiskeområde som står under dess jurisdiktion. För sådana EU-fartyg, däribland de som är baserade i de yttersta randområdena, t.ex. Kanarieöarna, som är inriktade på bottenlevande arter och pelagiska arter, men också för notfartyg och långrevsfartyg för tonfisk, innebär detta dessutom att man behåller tillgången till ett viktigt fiskeområde för att kunna ta fram fångststrategier inom ramen för ett flerårigt internationellt regelverk.  </w:t>
      </w:r>
    </w:p>
    <w:p>
      <w:pPr>
        <w:pBdr>
          <w:top w:val="nil"/>
          <w:left w:val="nil"/>
          <w:bottom w:val="nil"/>
          <w:right w:val="nil"/>
          <w:between w:val="nil"/>
          <w:bar w:val="nil"/>
        </w:pBdr>
        <w:spacing w:before="0" w:after="240"/>
        <w:rPr>
          <w:rFonts w:eastAsia="Arial Unicode MS"/>
          <w:noProof/>
        </w:rPr>
      </w:pPr>
      <w:r>
        <w:rPr>
          <w:noProof/>
        </w:rPr>
        <w:t>För de mauretanska myndigheterna är målet att upprätthålla förbindelserna med EU i syfte att stärka havsförvaltningen, samtidigt som man får tillgång till ett särskilt sektorsstöd som ger möjlighet till finansering över flera år.</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rFonts w:eastAsia="Arial Unicode MS"/>
          <w:noProof/>
        </w:rPr>
      </w:pPr>
      <w:r>
        <w:rPr>
          <w:noProof/>
        </w:rPr>
        <w:t>Medlemsstaterna, branschföreträdare, internationella organisationer i det civila samhället liksom Mauretaniens fiskeriförvaltning och civila samhälle har rådfrågats inom ramen för utvärderingen. Samråd har också ägt rum inom ramen för rådgivande nämnden för fjärrfiske, bland annat i samband med dess möte den 27 mars 2019.</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rFonts w:eastAsia="Arial Unicode MS"/>
          <w:noProof/>
        </w:rPr>
      </w:pPr>
      <w:r>
        <w:rPr>
          <w:noProof/>
        </w:rPr>
        <w:t>I de förhandlingsdirektiv som föreslås som bilaga till beslutet rekommenderas bemyndigande att inleda förhandlingar, inbegripet en klausul om konsekvenserna av kränkningar av mänskliga rättigheter och demokratiska principer.</w:t>
      </w:r>
    </w:p>
    <w:p>
      <w:pPr>
        <w:pStyle w:val="ManualHeading1"/>
        <w:rPr>
          <w:noProof/>
        </w:rPr>
      </w:pPr>
      <w:r>
        <w:rPr>
          <w:noProof/>
        </w:rPr>
        <w:t>4.</w:t>
      </w:r>
      <w:r>
        <w:rPr>
          <w:noProof/>
        </w:rPr>
        <w:tab/>
        <w:t>BUDGETKONSEKVENSER</w:t>
      </w:r>
    </w:p>
    <w:p>
      <w:pPr>
        <w:rPr>
          <w:noProof/>
        </w:rPr>
      </w:pPr>
      <w:r>
        <w:rPr>
          <w:noProof/>
        </w:rPr>
        <w:t>Budgetkonsekvenserna av det nya protokollet omfattar utbetalning av en ekonomisk ersättning till Mauretanien. Budgetanslagen i form av åtagandebemyndiganden och betalningsbemyndiganden måste varje år föras in i budgetposten för partnerskapsavtal om hållbart fiske (11 03 01) och vara förenliga med budgetplaneringen för den relevanta fleråriga budgetramen. De årliga beloppen för åtaganden och betalningar fastställs inom ramen för det årliga budgetförfarandet, med reservposten för protokoll som inte hade trätt i kraft vid årets början</w:t>
      </w:r>
      <w:r>
        <w:rPr>
          <w:rStyle w:val="FootnoteReference"/>
          <w:noProof/>
        </w:rPr>
        <w:footnoteReference w:id="12"/>
      </w:r>
      <w:r>
        <w:rPr>
          <w:noProof/>
        </w:rPr>
        <w:t>.</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Förhandlingarna kommer enligt planerna att inledas under andra kvartalet 2019.</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rFonts w:eastAsia="Arial Unicode MS"/>
          <w:noProof/>
        </w:rPr>
      </w:pPr>
      <w:r>
        <w:rPr>
          <w:noProof/>
        </w:rPr>
        <w:t>Kommissionen rekommenderar följande:</w:t>
      </w:r>
    </w:p>
    <w:p>
      <w:pPr>
        <w:pBdr>
          <w:top w:val="nil"/>
          <w:left w:val="nil"/>
          <w:bottom w:val="nil"/>
          <w:right w:val="nil"/>
          <w:between w:val="nil"/>
          <w:bar w:val="nil"/>
        </w:pBdr>
        <w:spacing w:before="0" w:after="240"/>
        <w:rPr>
          <w:rFonts w:eastAsia="Arial Unicode MS"/>
          <w:noProof/>
        </w:rPr>
      </w:pPr>
      <w:r>
        <w:rPr>
          <w:noProof/>
        </w:rPr>
        <w:t>- Rådet bör bemyndiga kommissionen att inleda och föra förhandlingar för att ingå ett nytt partnerskapsavtal och protokoll om hållbart fiske med Mauretanien.</w:t>
      </w:r>
    </w:p>
    <w:p>
      <w:pPr>
        <w:pBdr>
          <w:top w:val="nil"/>
          <w:left w:val="nil"/>
          <w:bottom w:val="nil"/>
          <w:right w:val="nil"/>
          <w:between w:val="nil"/>
          <w:bar w:val="nil"/>
        </w:pBdr>
        <w:spacing w:before="0" w:after="240"/>
        <w:rPr>
          <w:rFonts w:eastAsia="Arial Unicode MS"/>
          <w:noProof/>
        </w:rPr>
      </w:pPr>
      <w:r>
        <w:rPr>
          <w:noProof/>
        </w:rPr>
        <w:t>- Kommissionen bör utses till EU:s förhandlare i detta ärende.</w:t>
      </w:r>
    </w:p>
    <w:p>
      <w:pPr>
        <w:pBdr>
          <w:top w:val="nil"/>
          <w:left w:val="nil"/>
          <w:bottom w:val="nil"/>
          <w:right w:val="nil"/>
          <w:between w:val="nil"/>
          <w:bar w:val="nil"/>
        </w:pBdr>
        <w:spacing w:before="0" w:after="240"/>
        <w:rPr>
          <w:rFonts w:eastAsia="Arial Unicode MS"/>
          <w:noProof/>
        </w:rPr>
      </w:pPr>
      <w:r>
        <w:rPr>
          <w:noProof/>
        </w:rPr>
        <w:t>- Kommissionen bör föra dessa förhandlingar i samråd med den särskilda kommittén i enlighet med fördraget om Europeiska unionens funktionssätt.</w:t>
      </w:r>
    </w:p>
    <w:p>
      <w:pPr>
        <w:pBdr>
          <w:top w:val="nil"/>
          <w:left w:val="nil"/>
          <w:bottom w:val="nil"/>
          <w:right w:val="nil"/>
          <w:between w:val="nil"/>
          <w:bar w:val="nil"/>
        </w:pBdr>
        <w:spacing w:before="0" w:after="240"/>
        <w:rPr>
          <w:rFonts w:eastAsia="Arial Unicode MS"/>
          <w:noProof/>
        </w:rPr>
      </w:pPr>
      <w:r>
        <w:rPr>
          <w:noProof/>
        </w:rPr>
        <w:t xml:space="preserve">- Rådet bör godkänna förhandlingsdirektiven i bilagan till denna rekommendation.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Rekommendation till</w:t>
      </w:r>
    </w:p>
    <w:p>
      <w:pPr>
        <w:pStyle w:val="Typedudocument"/>
        <w:rPr>
          <w:noProof/>
        </w:rPr>
      </w:pPr>
      <w:r>
        <w:rPr>
          <w:noProof/>
        </w:rPr>
        <w:t>RÅDETS BESLUT</w:t>
      </w:r>
    </w:p>
    <w:p>
      <w:pPr>
        <w:pStyle w:val="Titreobjet"/>
        <w:rPr>
          <w:noProof/>
        </w:rPr>
      </w:pPr>
      <w:r>
        <w:rPr>
          <w:noProof/>
        </w:rPr>
        <w:t>om bemyndigande för kommissionen att inleda förhandlingar på Europeiska unionens vägnar för att ingå ett partnerskapsavtal och protokoll om hållbart fiske med Islamiska republiken Mauretanien</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218.3 och 218.4,</w:t>
      </w:r>
    </w:p>
    <w:p>
      <w:pPr>
        <w:rPr>
          <w:noProof/>
        </w:rPr>
      </w:pPr>
      <w:r>
        <w:rPr>
          <w:noProof/>
        </w:rPr>
        <w:t xml:space="preserve">med beaktande av Europeiska kommissionens rekommendation, och </w:t>
      </w:r>
    </w:p>
    <w:p>
      <w:pPr>
        <w:rPr>
          <w:noProof/>
        </w:rPr>
      </w:pPr>
      <w:r>
        <w:rPr>
          <w:noProof/>
        </w:rPr>
        <w:t>av följande skäl:</w:t>
      </w:r>
    </w:p>
    <w:p>
      <w:pPr>
        <w:rPr>
          <w:noProof/>
          <w:szCs w:val="24"/>
        </w:rPr>
      </w:pPr>
      <w:r>
        <w:rPr>
          <w:noProof/>
        </w:rPr>
        <w:t>Förhandlingar bör inledas för att ingå ett nytt partnerskapsavtal och protokoll om hållbart fiske med Islamiska republiken Mauretanien.</w:t>
      </w:r>
    </w:p>
    <w:p>
      <w:pPr>
        <w:pStyle w:val="Formuledadoption"/>
        <w:rPr>
          <w:noProof/>
        </w:rPr>
      </w:pPr>
      <w:r>
        <w:rPr>
          <w:noProof/>
        </w:rPr>
        <w:t xml:space="preserve">HÄRIGENOM FÖRESKRIVS FÖLJANDE. </w:t>
      </w:r>
    </w:p>
    <w:p>
      <w:pPr>
        <w:pStyle w:val="Titrearticle"/>
        <w:rPr>
          <w:noProof/>
        </w:rPr>
      </w:pPr>
      <w:r>
        <w:rPr>
          <w:noProof/>
        </w:rPr>
        <w:t>Artikel 1</w:t>
      </w:r>
    </w:p>
    <w:p>
      <w:pPr>
        <w:rPr>
          <w:noProof/>
        </w:rPr>
      </w:pPr>
      <w:bookmarkStart w:id="1" w:name="_CopyToNewDocument_"/>
      <w:bookmarkEnd w:id="1"/>
      <w:r>
        <w:rPr>
          <w:noProof/>
        </w:rPr>
        <w:t>Kommissionen bemyndigas härmed att inleda förhandlingar med Mauretanien i syfte att ingå ett nytt partnerskapsavtal och protokoll om hållbart fiske med Mauretanien.</w:t>
      </w:r>
    </w:p>
    <w:p>
      <w:pPr>
        <w:pStyle w:val="Titrearticle"/>
        <w:rPr>
          <w:noProof/>
        </w:rPr>
      </w:pPr>
      <w:r>
        <w:rPr>
          <w:noProof/>
        </w:rPr>
        <w:t>Artikel 2</w:t>
      </w:r>
    </w:p>
    <w:p>
      <w:pPr>
        <w:rPr>
          <w:noProof/>
        </w:rPr>
      </w:pPr>
      <w:r>
        <w:rPr>
          <w:noProof/>
        </w:rPr>
        <w:t>Förhandlingarna ska föras i samråd med rådets arbetsgrupp för extern fiskeripolitik och på grundval av de förhandlingsdirektiv som återges i bilagan till detta beslut.</w:t>
      </w:r>
    </w:p>
    <w:p>
      <w:pPr>
        <w:pStyle w:val="Titrearticle"/>
        <w:rPr>
          <w:noProof/>
        </w:rPr>
      </w:pPr>
      <w:r>
        <w:rPr>
          <w:noProof/>
        </w:rPr>
        <w:t>Artikel 3</w:t>
      </w:r>
    </w:p>
    <w:p>
      <w:pPr>
        <w:rPr>
          <w:noProof/>
        </w:rPr>
      </w:pPr>
      <w:r>
        <w:rPr>
          <w:noProof/>
        </w:rPr>
        <w:t>Detta beslut riktar sig till kommissionen.</w:t>
      </w:r>
    </w:p>
    <w:p>
      <w:pPr>
        <w:rPr>
          <w:noProof/>
        </w:rPr>
      </w:pP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FR"/>
        </w:rPr>
      </w:pPr>
      <w:r>
        <w:rPr>
          <w:rStyle w:val="FootnoteReference"/>
        </w:rPr>
        <w:footnoteRef/>
      </w:r>
      <w:r>
        <w:rPr>
          <w:lang w:val="fr-FR"/>
        </w:rPr>
        <w:tab/>
        <w:t>EUT L 343, 8.12.2006, s. 4.</w:t>
      </w:r>
    </w:p>
  </w:footnote>
  <w:footnote w:id="2">
    <w:p>
      <w:pPr>
        <w:pStyle w:val="FootnoteText"/>
        <w:rPr>
          <w:lang w:val="fr-FR"/>
        </w:rPr>
      </w:pPr>
      <w:r>
        <w:rPr>
          <w:rStyle w:val="FootnoteReference"/>
        </w:rPr>
        <w:footnoteRef/>
      </w:r>
      <w:r>
        <w:rPr>
          <w:lang w:val="fr-FR"/>
        </w:rPr>
        <w:tab/>
      </w:r>
      <w:hyperlink r:id="rId1">
        <w:r>
          <w:rPr>
            <w:rStyle w:val="Hyperlink"/>
            <w:lang w:val="fr-FR"/>
          </w:rPr>
          <w:t>https://www.consilium.europa.eu/en/documents-publications/treaties-agreements/agreement/?id=2006111&amp;DocLanguage=en</w:t>
        </w:r>
      </w:hyperlink>
      <w:r>
        <w:rPr>
          <w:lang w:val="fr-FR"/>
        </w:rPr>
        <w:t xml:space="preserve"> </w:t>
      </w:r>
    </w:p>
  </w:footnote>
  <w:footnote w:id="3">
    <w:p>
      <w:pPr>
        <w:pStyle w:val="FootnoteText"/>
        <w:rPr>
          <w:lang w:val="fr-FR"/>
        </w:rPr>
      </w:pPr>
      <w:r>
        <w:rPr>
          <w:rStyle w:val="FootnoteReference"/>
        </w:rPr>
        <w:footnoteRef/>
      </w:r>
      <w:r>
        <w:rPr>
          <w:lang w:val="fr-FR"/>
        </w:rPr>
        <w:tab/>
        <w:t>Se förordning (EU) nr 1380/2013, del IV, avdelning II.</w:t>
      </w:r>
    </w:p>
  </w:footnote>
  <w:footnote w:id="4">
    <w:p>
      <w:pPr>
        <w:pStyle w:val="FootnoteText"/>
        <w:rPr>
          <w:lang w:val="fr-FR"/>
        </w:rPr>
      </w:pPr>
      <w:r>
        <w:rPr>
          <w:rStyle w:val="FootnoteReference"/>
        </w:rPr>
        <w:footnoteRef/>
      </w:r>
      <w:r>
        <w:rPr>
          <w:lang w:val="fr-FR"/>
        </w:rPr>
        <w:tab/>
        <w:t>EUT L 315, 1.12.2015, s. 3.</w:t>
      </w:r>
      <w:r>
        <w:rPr>
          <w:lang w:val="fr-FR"/>
        </w:rPr>
        <w:tab/>
      </w:r>
    </w:p>
    <w:p>
      <w:pPr>
        <w:pStyle w:val="FootnoteText"/>
        <w:rPr>
          <w:lang w:val="fr-FR"/>
        </w:rPr>
      </w:pPr>
    </w:p>
  </w:footnote>
  <w:footnote w:id="5">
    <w:p>
      <w:pPr>
        <w:pStyle w:val="FootnoteText"/>
        <w:rPr>
          <w:lang w:val="fr-FR"/>
        </w:rPr>
      </w:pPr>
      <w:r>
        <w:rPr>
          <w:rStyle w:val="FootnoteReference"/>
        </w:rPr>
        <w:footnoteRef/>
      </w:r>
      <w:r>
        <w:rPr>
          <w:lang w:val="fr-FR"/>
        </w:rPr>
        <w:tab/>
      </w:r>
      <w:hyperlink r:id="rId2">
        <w:r>
          <w:rPr>
            <w:rStyle w:val="Hyperlink"/>
            <w:lang w:val="fr-FR"/>
          </w:rPr>
          <w:t>https://www.consilium.europa.eu/en/documents-publications/treaties-agreements/agreement/?id=2015063&amp;DocLanguage=en</w:t>
        </w:r>
      </w:hyperlink>
      <w:r>
        <w:rPr>
          <w:lang w:val="fr-FR"/>
        </w:rPr>
        <w:t xml:space="preserve"> </w:t>
      </w:r>
    </w:p>
  </w:footnote>
  <w:footnote w:id="6">
    <w:p>
      <w:pPr>
        <w:pStyle w:val="FootnoteText"/>
        <w:rPr>
          <w:lang w:val="fr-FR"/>
        </w:rPr>
      </w:pPr>
      <w:r>
        <w:rPr>
          <w:rStyle w:val="FootnoteReference"/>
        </w:rPr>
        <w:footnoteRef/>
      </w:r>
      <w:r>
        <w:rPr>
          <w:lang w:val="fr-FR"/>
        </w:rPr>
        <w:tab/>
        <w:t>EUT L 69, 15.3.2017, s. 34.</w:t>
      </w:r>
    </w:p>
  </w:footnote>
  <w:footnote w:id="7">
    <w:p>
      <w:pPr>
        <w:pStyle w:val="FootnoteText"/>
        <w:rPr>
          <w:lang w:val="fr-FR"/>
        </w:rPr>
      </w:pPr>
      <w:r>
        <w:rPr>
          <w:rStyle w:val="FootnoteReference"/>
        </w:rPr>
        <w:footnoteRef/>
      </w:r>
      <w:r>
        <w:rPr>
          <w:lang w:val="fr-FR"/>
        </w:rPr>
        <w:tab/>
        <w:t>EUT L 193, 25.7.2017, s. 4.</w:t>
      </w:r>
    </w:p>
  </w:footnote>
  <w:footnote w:id="8">
    <w:p>
      <w:pPr>
        <w:pStyle w:val="FootnoteText"/>
      </w:pPr>
      <w:r>
        <w:rPr>
          <w:rStyle w:val="FootnoteReference"/>
        </w:rPr>
        <w:footnoteRef/>
      </w:r>
      <w:r>
        <w:tab/>
        <w:t>För de två senaste åren av protokollets giltighetstid.  För de två föregående åren uppgick den till 59 125 000 euro (se artikel 2.1 och artikel 3.1 i protokollet, i dess ändrade lydelse enligt kommissionens beslut (EU) 2017/451 av den 14 mars 2017). EUT L 69, 15.3.2017, s. 34.</w:t>
      </w:r>
    </w:p>
  </w:footnote>
  <w:footnote w:id="9">
    <w:p>
      <w:pPr>
        <w:pStyle w:val="FootnoteText"/>
      </w:pPr>
      <w:r>
        <w:rPr>
          <w:rStyle w:val="FootnoteReference"/>
        </w:rPr>
        <w:footnoteRef/>
      </w:r>
      <w:r>
        <w:tab/>
        <w:t>Förenade kungariket hade fiskemöjligheter genom detta partnerskapsavtal om hållbart fiske fram till 2019.</w:t>
      </w:r>
    </w:p>
  </w:footnote>
  <w:footnote w:id="10">
    <w:p>
      <w:pPr>
        <w:pStyle w:val="FootnoteText"/>
      </w:pPr>
      <w:r>
        <w:rPr>
          <w:rStyle w:val="FootnoteReference"/>
        </w:rPr>
        <w:footnoteRef/>
      </w:r>
      <w:r>
        <w:tab/>
      </w:r>
      <w:hyperlink r:id="rId3">
        <w:r>
          <w:rPr>
            <w:rStyle w:val="Hyperlink"/>
          </w:rPr>
          <w:t>http://www.fao.org/fishery/rfb/iccat/en</w:t>
        </w:r>
      </w:hyperlink>
      <w:r>
        <w:t>, det organ som inrättats enligt internationell rätt för att bevara och förvalta långvandrande arter i regionen.</w:t>
      </w:r>
    </w:p>
  </w:footnote>
  <w:footnote w:id="11">
    <w:p>
      <w:pPr>
        <w:pStyle w:val="FootnoteText"/>
      </w:pPr>
      <w:r>
        <w:rPr>
          <w:rStyle w:val="FootnoteReference"/>
        </w:rPr>
        <w:footnoteRef/>
      </w:r>
      <w:r>
        <w:tab/>
      </w:r>
      <w:hyperlink r:id="rId4">
        <w:r>
          <w:rPr>
            <w:rStyle w:val="Hyperlink"/>
          </w:rPr>
          <w:t>http://www.fao.org/fishery/rfb/cecaf/en</w:t>
        </w:r>
      </w:hyperlink>
      <w:r>
        <w:t>, för bottenlevande och pelagiska arter.</w:t>
      </w:r>
    </w:p>
  </w:footnote>
  <w:footnote w:id="12">
    <w:p>
      <w:pPr>
        <w:pStyle w:val="FootnoteText"/>
      </w:pPr>
      <w:r>
        <w:rPr>
          <w:rStyle w:val="FootnoteReference"/>
        </w:rPr>
        <w:footnoteRef/>
      </w:r>
      <w:r>
        <w:tab/>
        <w:t>Kapitel 40 (reservpost 40 02 41) i linje med det interinstitutionella avtalet om den fleråriga budgetramen (2013/C 373/01).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A49C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AE58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FAF5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2C7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C3E4A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7CB8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562086"/>
    <w:lvl w:ilvl="0">
      <w:start w:val="1"/>
      <w:numFmt w:val="decimal"/>
      <w:pStyle w:val="ListNumber"/>
      <w:lvlText w:val="%1."/>
      <w:lvlJc w:val="left"/>
      <w:pPr>
        <w:tabs>
          <w:tab w:val="num" w:pos="360"/>
        </w:tabs>
        <w:ind w:left="360" w:hanging="360"/>
      </w:pPr>
    </w:lvl>
  </w:abstractNum>
  <w:abstractNum w:abstractNumId="7">
    <w:nsid w:val="FFFFFF89"/>
    <w:multiLevelType w:val="singleLevel"/>
    <w:tmpl w:val="44BC2F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 w:numId="24">
    <w:abstractNumId w:val="19"/>
  </w:num>
  <w:num w:numId="25">
    <w:abstractNumId w:val="13"/>
  </w:num>
  <w:num w:numId="26">
    <w:abstractNumId w:val="21"/>
  </w:num>
  <w:num w:numId="27">
    <w:abstractNumId w:val="11"/>
  </w:num>
  <w:num w:numId="28">
    <w:abstractNumId w:val="14"/>
  </w:num>
  <w:num w:numId="29">
    <w:abstractNumId w:val="9"/>
  </w:num>
  <w:num w:numId="30">
    <w:abstractNumId w:val="20"/>
  </w:num>
  <w:num w:numId="31">
    <w:abstractNumId w:val="8"/>
  </w:num>
  <w:num w:numId="32">
    <w:abstractNumId w:val="15"/>
  </w:num>
  <w:num w:numId="33">
    <w:abstractNumId w:val="17"/>
  </w:num>
  <w:num w:numId="34">
    <w:abstractNumId w:val="18"/>
  </w:num>
  <w:num w:numId="35">
    <w:abstractNumId w:val="10"/>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31 15:36: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040D297-3D7C-4208-B606-BDE7CD05BB34"/>
    <w:docVar w:name="LW_COVERPAGE_TYPE" w:val="1"/>
    <w:docVar w:name="LW_CROSSREFERENCE" w:val="{SWD(2019) 195 final} - {SWD(2019) 196 final}"/>
    <w:docVar w:name="LW_DocType" w:val="COM"/>
    <w:docVar w:name="LW_EMISSION" w:val="4.6.2019"/>
    <w:docVar w:name="LW_EMISSION_ISODATE" w:val="2019-06-04"/>
    <w:docVar w:name="LW_EMISSION_LOCATION" w:val="BRX"/>
    <w:docVar w:name="LW_EMISSION_PREFIX" w:val="Bryssel den "/>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Rekommendation till"/>
    <w:docVar w:name="LW_SUPERTITRE" w:val="&lt;UNUSED&gt;"/>
    <w:docVar w:name="LW_TITRE.OBJ.CP" w:val="om bemyndigande för kommissionen att inleda förhandlingar på Europeiska unionens vägnar för att ingå ett partnerskapsavtal och protokoll om hållbart fiske med Islamiska republiken Mauretanien"/>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v-SE"/>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v-SE"/>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ishery/rfb/iccat/en" TargetMode="External"/><Relationship Id="rId2" Type="http://schemas.openxmlformats.org/officeDocument/2006/relationships/hyperlink" Target="https://www.consilium.europa.eu/en/documents-publications/treaties-agreements/agreement/?id=2015063&amp;DocLanguage=en" TargetMode="External"/><Relationship Id="rId1" Type="http://schemas.openxmlformats.org/officeDocument/2006/relationships/hyperlink" Target="https://www.consilium.europa.eu/en/documents-publications/treaties-agreements/agreement/?id=2006111&amp;DocLanguage=en" TargetMode="External"/><Relationship Id="rId4" Type="http://schemas.openxmlformats.org/officeDocument/2006/relationships/hyperlink" Target="http://www.fao.org/fishery/rfb/cecaf/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0B90-0A97-467B-9372-930B8AD0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6</Pages>
  <Words>1176</Words>
  <Characters>7814</Characters>
  <Application>Microsoft Office Word</Application>
  <DocSecurity>0</DocSecurity>
  <Lines>144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2019-03-27T14:20:00Z</cp:lastPrinted>
  <dcterms:created xsi:type="dcterms:W3CDTF">2019-05-23T15:05:00Z</dcterms:created>
  <dcterms:modified xsi:type="dcterms:W3CDTF">2019-05-31T13:36:00Z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Level of sensitivity">
    <vt:lpwstr>Standard treatment</vt:lpwstr>
  </property>
  <property fmtid="{D5CDD505-2E9C-101B-9397-08002B2CF9AE}" pid="10" name="DQCStatus">
    <vt:lpwstr>Green (DQC version 03)</vt:lpwstr>
  </property>
</Properties>
</file>