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D1FBFBF-964A-40B2-9B33-D0E4538B8765"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RECOMANDĂRII</w:t>
      </w:r>
    </w:p>
    <w:p>
      <w:pPr>
        <w:pStyle w:val="ManualHeading2"/>
        <w:rPr>
          <w:rFonts w:eastAsia="Arial Unicode MS"/>
          <w:noProof/>
        </w:rPr>
      </w:pPr>
      <w:r>
        <w:rPr>
          <w:noProof/>
          <w:color w:val="000000"/>
          <w:u w:color="000000"/>
          <w:bdr w:val="nil"/>
        </w:rPr>
        <w:t>•</w:t>
      </w:r>
      <w:r>
        <w:rPr>
          <w:noProof/>
        </w:rPr>
        <w:tab/>
        <w:t>Motivele și obiectivele propunerii</w:t>
      </w:r>
    </w:p>
    <w:p>
      <w:pPr>
        <w:spacing w:before="60" w:after="60"/>
        <w:rPr>
          <w:rFonts w:eastAsia="Arial Unicode MS"/>
          <w:noProof/>
        </w:rPr>
      </w:pPr>
      <w:r>
        <w:rPr>
          <w:noProof/>
        </w:rPr>
        <w:t>Comisia propune negocierea cu Republica Islamică Mauritania a unui acord de parteneriat în domeniul pescuitului sustenabil și a unui nou protocol care să răspundă necesităților flotei Uniunii și să respecte atât dispozițiile Regulamentului (UE) nr. 1380/2013 privind politica comună în domeniul pescuitului (PCP), cât și concluziile Consiliului din 19 martie 2012 referitoare la Comunicarea Comisiei privind dimensiunea externă a politicii comune în domeniul pescuitului.</w:t>
      </w:r>
    </w:p>
    <w:p>
      <w:pPr>
        <w:pStyle w:val="ManualHeading2"/>
        <w:rPr>
          <w:rFonts w:eastAsia="Arial Unicode MS"/>
          <w:noProof/>
          <w:u w:color="000000"/>
          <w:bdr w:val="nil"/>
        </w:rPr>
      </w:pPr>
      <w:r>
        <w:rPr>
          <w:noProof/>
        </w:rPr>
        <w:t>•</w:t>
      </w:r>
      <w:r>
        <w:rPr>
          <w:noProof/>
        </w:rPr>
        <w:tab/>
        <w:t>Coerența cu dispozițiile existente în domeniul de politică</w:t>
      </w:r>
    </w:p>
    <w:p>
      <w:pPr>
        <w:pBdr>
          <w:top w:val="nil"/>
          <w:left w:val="nil"/>
          <w:bottom w:val="nil"/>
          <w:right w:val="nil"/>
          <w:between w:val="nil"/>
          <w:bar w:val="nil"/>
        </w:pBdr>
        <w:spacing w:before="0" w:after="240"/>
        <w:rPr>
          <w:rFonts w:eastAsia="Arial Unicode MS"/>
          <w:noProof/>
          <w:szCs w:val="24"/>
        </w:rPr>
      </w:pPr>
      <w:r>
        <w:rPr>
          <w:noProof/>
        </w:rPr>
        <w:t>Actualul Acord de parteneriat în domeniul pescuitului (APP) dintre Uniunea Europeană și Mauritania</w:t>
      </w:r>
      <w:r>
        <w:rPr>
          <w:rStyle w:val="FootnoteReference"/>
          <w:noProof/>
        </w:rPr>
        <w:footnoteReference w:id="1"/>
      </w:r>
      <w:r>
        <w:rPr>
          <w:noProof/>
        </w:rPr>
        <w:t xml:space="preserve"> a fost semnat la 4 august 2008</w:t>
      </w:r>
      <w:r>
        <w:rPr>
          <w:rStyle w:val="FootnoteReference"/>
          <w:noProof/>
        </w:rPr>
        <w:footnoteReference w:id="2"/>
      </w:r>
      <w:r>
        <w:rPr>
          <w:noProof/>
        </w:rPr>
        <w:t>. Se propune negocierea unui nou acord de parteneriat în domeniul pescuitului sustenabil pentru a integra unele dispoziții incluse în Regulamentul (UE) nr. 1380/2013</w:t>
      </w:r>
      <w:r>
        <w:rPr>
          <w:rStyle w:val="FootnoteReference"/>
          <w:noProof/>
        </w:rPr>
        <w:footnoteReference w:id="3"/>
      </w:r>
      <w:r>
        <w:rPr>
          <w:noProof/>
        </w:rPr>
        <w:t>, care nu fac obiectul actualului APP. Actualul protocol</w:t>
      </w:r>
      <w:r>
        <w:rPr>
          <w:rStyle w:val="FootnoteReference"/>
          <w:noProof/>
        </w:rPr>
        <w:footnoteReference w:id="4"/>
      </w:r>
      <w:r>
        <w:rPr>
          <w:noProof/>
        </w:rPr>
        <w:t xml:space="preserve"> pe 4 ani la APP a intrat în vigoare la 16 noiembrie 2015</w:t>
      </w:r>
      <w:r>
        <w:rPr>
          <w:rStyle w:val="FootnoteReference"/>
          <w:noProof/>
        </w:rPr>
        <w:footnoteReference w:id="5"/>
      </w:r>
      <w:r>
        <w:rPr>
          <w:noProof/>
        </w:rPr>
        <w:t xml:space="preserve"> și va expira la 15 noiembrie 2019. Acest protocol a fost modificat prin Decizia (UE) nr. 2017/451 a Comisiei</w:t>
      </w:r>
      <w:r>
        <w:rPr>
          <w:rStyle w:val="FootnoteReference"/>
          <w:noProof/>
        </w:rPr>
        <w:footnoteReference w:id="6"/>
      </w:r>
      <w:r>
        <w:rPr>
          <w:noProof/>
        </w:rPr>
        <w:t xml:space="preserve"> și prin Decizia (UE) nr. 2017/1373 a Comisiei</w:t>
      </w:r>
      <w:r>
        <w:rPr>
          <w:rStyle w:val="FootnoteReference"/>
          <w:noProof/>
        </w:rPr>
        <w:footnoteReference w:id="7"/>
      </w:r>
      <w:r>
        <w:rPr>
          <w:noProof/>
        </w:rPr>
        <w:t xml:space="preserve">. El stabilește posibilitățile de pescuit acordate flotei Uniunii și contribuția financiară corespunzătoare plătită de Uniune și de armatori. </w:t>
      </w:r>
    </w:p>
    <w:p>
      <w:pPr>
        <w:pBdr>
          <w:top w:val="nil"/>
          <w:left w:val="nil"/>
          <w:bottom w:val="nil"/>
          <w:right w:val="nil"/>
          <w:between w:val="nil"/>
          <w:bar w:val="nil"/>
        </w:pBdr>
        <w:spacing w:before="0" w:after="240"/>
        <w:rPr>
          <w:rFonts w:eastAsia="Arial Unicode MS"/>
          <w:noProof/>
          <w:szCs w:val="24"/>
        </w:rPr>
      </w:pPr>
      <w:r>
        <w:rPr>
          <w:noProof/>
        </w:rPr>
        <w:t>Contribuția financiară publică anuală pe care UE o datorează Mauritaniei se ridică la 61 625 000 EUR</w:t>
      </w:r>
      <w:r>
        <w:rPr>
          <w:rStyle w:val="FootnoteReference"/>
          <w:noProof/>
        </w:rPr>
        <w:footnoteReference w:id="8"/>
      </w:r>
      <w:r>
        <w:rPr>
          <w:noProof/>
        </w:rPr>
        <w:t>, din care 4 125 000 EUR sunt alocați pentru sprijin sectorial.</w:t>
      </w:r>
    </w:p>
    <w:p>
      <w:pPr>
        <w:spacing w:before="60" w:after="240"/>
        <w:rPr>
          <w:rFonts w:eastAsia="Arial Unicode MS"/>
          <w:noProof/>
        </w:rPr>
      </w:pPr>
      <w:r>
        <w:rPr>
          <w:noProof/>
        </w:rPr>
        <w:t>APP cu Mauritania prevede posibilități de pescuit care vizează specii demersale și pelagice, precum și ton și specii de pești mari migratori pentru navele UE din 10</w:t>
      </w:r>
      <w:r>
        <w:rPr>
          <w:rStyle w:val="FootnoteReference"/>
          <w:noProof/>
        </w:rPr>
        <w:footnoteReference w:id="9"/>
      </w:r>
      <w:r>
        <w:rPr>
          <w:noProof/>
        </w:rPr>
        <w:t xml:space="preserve"> state membre (Germania, Irlanda, Spania, Franța, Italia, Letonia, Lituania, Țările de Jos, Polonia și Portugalia). Uniunea Europeană are deja o rețea dezvoltată de acorduri bilaterale de parteneriat în domeniul pescuitului sustenabil (APPS) în Oceanul Atlantic pe partea Africii de Vest, și anume cu Maroc, Senegal, Gambia, Guineea-Bissau, Liberia, Côte d’Ivoire.</w:t>
      </w:r>
    </w:p>
    <w:p>
      <w:pPr>
        <w:pBdr>
          <w:top w:val="nil"/>
          <w:left w:val="nil"/>
          <w:bottom w:val="nil"/>
          <w:right w:val="nil"/>
          <w:between w:val="nil"/>
          <w:bar w:val="nil"/>
        </w:pBdr>
        <w:spacing w:before="0" w:after="240"/>
        <w:rPr>
          <w:rFonts w:eastAsia="Arial Unicode MS"/>
          <w:noProof/>
        </w:rPr>
      </w:pPr>
      <w:r>
        <w:rPr>
          <w:noProof/>
        </w:rPr>
        <w:t>APPS-urile contribuie la promovarea obiectivelor PCP la nivel internațional, garantând că activitățile de pescuit ale Uniunii desfășurate în afara apelor Uniunii se bazează pe aceleași principii și standarde ca cele aplicabile în temeiul legislației Uniunii. În plus, APPS-urile stimulează cooperarea științifică între UE și partenerii săi, promovează transparența și sustenabilitatea în vederea unei mai bune gestionări a resurselor piscicole și încurajează guvernanța prin sprijinirea monitorizării, a controlului și a supravegherii activităților flotelor naționale și străine, furnizând finanțare pentru lupta împotriva pescuitului ilegal, nedeclarat și nereglementat (INN). APPS-urile contribuie la dezvoltarea durabilă a industriei de pescuit locale și, de asemenea, la promovarea creșterii economice și a muncii decente legate de activitatea maritimă. APPS-urile consolidează poziția Uniunii Europene în cadrul organizațiilor internaționale și regionale de pescuit: în cazul Mauritaniei, în special în cadrul Comisiei Internaționale pentru Conservarea Tonului din Oceanul Atlantic (ICCAT)</w:t>
      </w:r>
      <w:r>
        <w:rPr>
          <w:rStyle w:val="FootnoteReference"/>
          <w:noProof/>
        </w:rPr>
        <w:footnoteReference w:id="10"/>
      </w:r>
      <w:r>
        <w:rPr>
          <w:noProof/>
        </w:rPr>
        <w:t xml:space="preserve"> și al Comitetului pentru pescuit în zona central-estică a Atlanticului (CECAF)</w:t>
      </w:r>
      <w:r>
        <w:rPr>
          <w:rStyle w:val="FootnoteReference"/>
          <w:noProof/>
        </w:rPr>
        <w:footnoteReference w:id="11"/>
      </w:r>
      <w:r>
        <w:rPr>
          <w:noProof/>
        </w:rPr>
        <w:t xml:space="preserve">. </w:t>
      </w:r>
    </w:p>
    <w:p>
      <w:pPr>
        <w:pStyle w:val="ManualHeading2"/>
        <w:rPr>
          <w:rFonts w:eastAsia="Arial Unicode MS"/>
          <w:noProof/>
        </w:rPr>
      </w:pPr>
      <w:r>
        <w:rPr>
          <w:noProof/>
        </w:rPr>
        <w:t>•</w:t>
      </w:r>
      <w:r>
        <w:rPr>
          <w:noProof/>
        </w:rPr>
        <w:tab/>
        <w:t>Coerența cu alte domenii de politică ale Uniunii</w:t>
      </w:r>
    </w:p>
    <w:p>
      <w:pPr>
        <w:pBdr>
          <w:top w:val="nil"/>
          <w:left w:val="nil"/>
          <w:bottom w:val="nil"/>
          <w:right w:val="nil"/>
          <w:between w:val="nil"/>
          <w:bar w:val="nil"/>
        </w:pBdr>
        <w:spacing w:before="0" w:after="240"/>
        <w:rPr>
          <w:rFonts w:eastAsia="Arial Unicode MS"/>
          <w:noProof/>
        </w:rPr>
      </w:pPr>
      <w:r>
        <w:rPr>
          <w:noProof/>
        </w:rPr>
        <w:t xml:space="preserve">Negocierea unui nou acord și protocol cu Mauritania este în concordanță cu acțiunea externă a UE în ceea ce privește țările din Africa, zona Caraibilor și Pacific (ACP), în special cu obiectivele Uniunii referitoare la respectarea principiilor democratice și a drepturilor omului. </w:t>
      </w:r>
    </w:p>
    <w:p>
      <w:pPr>
        <w:pStyle w:val="ManualHeading1"/>
        <w:rPr>
          <w:noProof/>
        </w:rPr>
      </w:pPr>
      <w:r>
        <w:rPr>
          <w:noProof/>
        </w:rPr>
        <w:t>2.</w:t>
      </w:r>
      <w:r>
        <w:rPr>
          <w:noProof/>
        </w:rPr>
        <w:tab/>
        <w:t xml:space="preserve">ELEMENTELE JURIDICE ALE RECOMANDĂRII </w:t>
      </w:r>
    </w:p>
    <w:p>
      <w:pPr>
        <w:pStyle w:val="ManualHeading2"/>
        <w:rPr>
          <w:rFonts w:eastAsia="Arial Unicode MS"/>
          <w:noProof/>
          <w:u w:color="000000"/>
          <w:bdr w:val="nil"/>
        </w:rPr>
      </w:pPr>
      <w:r>
        <w:rPr>
          <w:noProof/>
        </w:rPr>
        <w:t>•</w:t>
      </w:r>
      <w:r>
        <w:rPr>
          <w:noProof/>
        </w:rPr>
        <w:tab/>
        <w:t>Temei juridic</w:t>
      </w:r>
    </w:p>
    <w:p>
      <w:pPr>
        <w:pBdr>
          <w:top w:val="nil"/>
          <w:left w:val="nil"/>
          <w:bottom w:val="nil"/>
          <w:right w:val="nil"/>
          <w:between w:val="nil"/>
          <w:bar w:val="nil"/>
        </w:pBdr>
        <w:spacing w:before="0" w:after="240"/>
        <w:rPr>
          <w:rFonts w:eastAsia="Arial Unicode MS"/>
          <w:noProof/>
        </w:rPr>
      </w:pPr>
      <w:r>
        <w:rPr>
          <w:noProof/>
        </w:rPr>
        <w:t>Temeiul juridic al deciziei este constituit de articolul 218 din Tratatul privind funcționarea Uniunii Europene (TFUE), din partea a cincea (Acțiunea externă a Uniunii) titlul V (Acordurile internaționale), care stabilește procedura pentru negocierea și încheierea de acorduri între UE și țări terțe.</w:t>
      </w:r>
    </w:p>
    <w:p>
      <w:pPr>
        <w:pStyle w:val="ManualHeading2"/>
        <w:rPr>
          <w:rFonts w:eastAsia="Arial Unicode MS"/>
          <w:noProof/>
          <w:u w:color="000000"/>
          <w:bdr w:val="nil"/>
        </w:rPr>
      </w:pPr>
      <w:r>
        <w:rPr>
          <w:noProof/>
        </w:rPr>
        <w:t>•</w:t>
      </w:r>
      <w:r>
        <w:rPr>
          <w:noProof/>
        </w:rPr>
        <w:tab/>
        <w:t xml:space="preserve">Subsidiaritate (în cazul competențelor neexclusive) </w:t>
      </w:r>
    </w:p>
    <w:p>
      <w:pPr>
        <w:pBdr>
          <w:top w:val="nil"/>
          <w:left w:val="nil"/>
          <w:bottom w:val="nil"/>
          <w:right w:val="nil"/>
          <w:between w:val="nil"/>
          <w:bar w:val="nil"/>
        </w:pBdr>
        <w:spacing w:before="0" w:after="240"/>
        <w:rPr>
          <w:rFonts w:eastAsia="Arial Unicode MS"/>
          <w:noProof/>
        </w:rPr>
      </w:pPr>
      <w:r>
        <w:rPr>
          <w:noProof/>
        </w:rPr>
        <w:t>Nu se aplică - competență exclusivă.</w:t>
      </w:r>
    </w:p>
    <w:p>
      <w:pPr>
        <w:pStyle w:val="ManualHeading2"/>
        <w:rPr>
          <w:rFonts w:eastAsia="Arial Unicode MS"/>
          <w:noProof/>
          <w:u w:color="000000"/>
          <w:bdr w:val="nil"/>
        </w:rPr>
      </w:pPr>
      <w:r>
        <w:rPr>
          <w:noProof/>
        </w:rPr>
        <w:t>•</w:t>
      </w:r>
      <w:r>
        <w:rPr>
          <w:noProof/>
        </w:rPr>
        <w:tab/>
        <w:t>Proporționalitate</w:t>
      </w:r>
    </w:p>
    <w:p>
      <w:pPr>
        <w:pBdr>
          <w:top w:val="nil"/>
          <w:left w:val="nil"/>
          <w:bottom w:val="nil"/>
          <w:right w:val="nil"/>
          <w:between w:val="nil"/>
          <w:bar w:val="nil"/>
        </w:pBdr>
        <w:spacing w:before="0" w:after="240"/>
        <w:rPr>
          <w:rFonts w:eastAsia="Arial Unicode MS"/>
          <w:noProof/>
        </w:rPr>
      </w:pPr>
      <w:r>
        <w:rPr>
          <w:noProof/>
        </w:rPr>
        <w:t>Decizia este proporțională cu obiectivul.</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rFonts w:eastAsia="Arial Unicode MS"/>
          <w:noProof/>
        </w:rPr>
      </w:pPr>
      <w:r>
        <w:rPr>
          <w:noProof/>
        </w:rPr>
        <w:t>Instrumentul este prevăzut la articolul 218 alineatele (3) și (4) din TFUE.</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rPr>
        <w:t>•</w:t>
      </w:r>
      <w:r>
        <w:rPr>
          <w:noProof/>
        </w:rPr>
        <w:tab/>
        <w:t>Evaluări ex post/verificări ale adecvării legislației existente</w:t>
      </w:r>
    </w:p>
    <w:p>
      <w:pPr>
        <w:pBdr>
          <w:top w:val="nil"/>
          <w:left w:val="nil"/>
          <w:bottom w:val="nil"/>
          <w:right w:val="nil"/>
          <w:between w:val="nil"/>
          <w:bar w:val="nil"/>
        </w:pBdr>
        <w:spacing w:before="0" w:after="240"/>
        <w:rPr>
          <w:rFonts w:eastAsia="Arial Unicode MS"/>
          <w:noProof/>
        </w:rPr>
      </w:pPr>
      <w:r>
        <w:rPr>
          <w:noProof/>
        </w:rPr>
        <w:t xml:space="preserve">În 2018-2019, Comisia a efectuat o evaluare ex post a actualului protocol la APP cu Mauritania, precum și o evaluare ex ante a unei eventuale reînnoiri a protocolului. Concluziile evaluării sunt prezentate într-un document de lucru al serviciilor Comisiei separat. </w:t>
      </w:r>
    </w:p>
    <w:p>
      <w:pPr>
        <w:pBdr>
          <w:top w:val="nil"/>
          <w:left w:val="nil"/>
          <w:bottom w:val="nil"/>
          <w:right w:val="nil"/>
          <w:between w:val="nil"/>
          <w:bar w:val="nil"/>
        </w:pBdr>
        <w:spacing w:before="0" w:after="240"/>
        <w:rPr>
          <w:rFonts w:eastAsia="Arial Unicode MS"/>
          <w:noProof/>
        </w:rPr>
      </w:pPr>
      <w:r>
        <w:rPr>
          <w:noProof/>
        </w:rPr>
        <w:t xml:space="preserve">Evaluarea a concluzionat că sectoarele pescuitului din UE au un puternic interes să pescuiască în Mauritania și că reînnoirea protocolului ar contribui la consolidarea monitorizării, a controlului și a supravegherii și la îmbunătățirea guvernanței activităților de pescuit din regiune. </w:t>
      </w:r>
    </w:p>
    <w:p>
      <w:pPr>
        <w:pBdr>
          <w:top w:val="nil"/>
          <w:left w:val="nil"/>
          <w:bottom w:val="nil"/>
          <w:right w:val="nil"/>
          <w:between w:val="nil"/>
          <w:bar w:val="nil"/>
        </w:pBdr>
        <w:spacing w:before="0" w:after="240"/>
        <w:rPr>
          <w:rFonts w:eastAsia="Arial Unicode MS"/>
          <w:noProof/>
        </w:rPr>
      </w:pPr>
      <w:r>
        <w:rPr>
          <w:noProof/>
        </w:rPr>
        <w:t xml:space="preserve">Pentru UE, este important să se mențină un instrument care să permită o cooperare sectorială aprofundată cu un actor major în guvernanța oceanelor la nivel subregional, din cauza întinderii zonei sale de pescuit aflate sub jurisdicția sa. În plus, pentru navele din UE, printre altele cele din regiuni ultraperiferice, cum ar fi Insulele Canare, care vizează specii demersale, pelagice, toniere cu plasă pungă și nave de pescuit cu paragate, aceasta înseamnă menținerea accesului la o zonă de pescuit importantă pentru implementarea strategiilor de recoltare într-un cadru juridic internațional multianual.  </w:t>
      </w:r>
    </w:p>
    <w:p>
      <w:pPr>
        <w:pBdr>
          <w:top w:val="nil"/>
          <w:left w:val="nil"/>
          <w:bottom w:val="nil"/>
          <w:right w:val="nil"/>
          <w:between w:val="nil"/>
          <w:bar w:val="nil"/>
        </w:pBdr>
        <w:spacing w:before="0" w:after="240"/>
        <w:rPr>
          <w:rFonts w:eastAsia="Arial Unicode MS"/>
          <w:noProof/>
        </w:rPr>
      </w:pPr>
      <w:r>
        <w:rPr>
          <w:noProof/>
        </w:rPr>
        <w:t>Pentru autoritățile din Mauritania, obiectivul este să continue relațiile cu UE în vederea consolidării guvernanței oceanelor, beneficiind de sprijinul sectorial specific care oferă posibilități de finanțare multianuale.</w:t>
      </w:r>
    </w:p>
    <w:p>
      <w:pPr>
        <w:pStyle w:val="ManualHeading2"/>
        <w:rPr>
          <w:rFonts w:eastAsia="Arial Unicode MS"/>
          <w:noProof/>
          <w:u w:color="000000"/>
          <w:bdr w:val="nil"/>
        </w:rPr>
      </w:pPr>
      <w:r>
        <w:rPr>
          <w:noProof/>
        </w:rPr>
        <w:t>•</w:t>
      </w:r>
      <w:r>
        <w:rPr>
          <w:noProof/>
        </w:rPr>
        <w:tab/>
        <w:t>Consultări cu părțile interesate</w:t>
      </w:r>
    </w:p>
    <w:p>
      <w:pPr>
        <w:pBdr>
          <w:top w:val="nil"/>
          <w:left w:val="nil"/>
          <w:bottom w:val="nil"/>
          <w:right w:val="nil"/>
          <w:between w:val="nil"/>
          <w:bar w:val="nil"/>
        </w:pBdr>
        <w:spacing w:before="0" w:after="240"/>
        <w:rPr>
          <w:rFonts w:eastAsia="Arial Unicode MS"/>
          <w:noProof/>
        </w:rPr>
      </w:pPr>
      <w:r>
        <w:rPr>
          <w:noProof/>
        </w:rPr>
        <w:t>În cadrul evaluării au fost consultate state membre, reprezentanți ai industriei, organizații internaționale ale societății civile, precum și administrația pescuitului și societatea civilă din Mauritania. De asemenea, au avut loc consultări în cadrul Consiliului consultativ pentru flota de lungă distanță, în special cu ocazia reuniunii sale din 27 martie 2019.</w:t>
      </w:r>
    </w:p>
    <w:p>
      <w:pPr>
        <w:pStyle w:val="ManualHeading2"/>
        <w:rPr>
          <w:rFonts w:eastAsia="Arial Unicode MS"/>
          <w:noProof/>
          <w:u w:color="000000"/>
          <w:bdr w:val="nil"/>
        </w:rPr>
      </w:pPr>
      <w:r>
        <w:rPr>
          <w:noProof/>
        </w:rPr>
        <w:t>•</w:t>
      </w:r>
      <w:r>
        <w:rPr>
          <w:noProof/>
        </w:rPr>
        <w:tab/>
        <w:t>Obținerea și utilizarea expertizei</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rFonts w:eastAsia="Arial Unicode MS"/>
          <w:noProof/>
          <w:u w:color="000000"/>
          <w:bdr w:val="nil"/>
        </w:rPr>
      </w:pPr>
      <w:r>
        <w:rPr>
          <w:noProof/>
        </w:rPr>
        <w:t>•</w:t>
      </w:r>
      <w:r>
        <w:rPr>
          <w:noProof/>
        </w:rPr>
        <w:tab/>
        <w:t>Adecvarea și simplificarea reglementărilor</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2"/>
        <w:rPr>
          <w:rFonts w:eastAsia="Arial Unicode MS"/>
          <w:noProof/>
          <w:u w:color="000000"/>
          <w:bdr w:val="nil"/>
        </w:rPr>
      </w:pPr>
      <w:r>
        <w:rPr>
          <w:noProof/>
        </w:rPr>
        <w:t>•</w:t>
      </w:r>
      <w:r>
        <w:rPr>
          <w:noProof/>
        </w:rPr>
        <w:tab/>
        <w:t>Drepturi fundamentale</w:t>
      </w:r>
    </w:p>
    <w:p>
      <w:pPr>
        <w:pBdr>
          <w:top w:val="nil"/>
          <w:left w:val="nil"/>
          <w:bottom w:val="nil"/>
          <w:right w:val="nil"/>
          <w:between w:val="nil"/>
          <w:bar w:val="nil"/>
        </w:pBdr>
        <w:spacing w:before="0" w:after="240"/>
        <w:rPr>
          <w:rFonts w:eastAsia="Arial Unicode MS"/>
          <w:noProof/>
        </w:rPr>
      </w:pPr>
      <w:r>
        <w:rPr>
          <w:noProof/>
        </w:rPr>
        <w:t>Directivele de negociere propuse ca anexă la decizie recomandă autorizarea deschiderii negocierilor, incluzând o clauză privind consecințele încălcării drepturilor omului și a principiilor democratice.</w:t>
      </w:r>
    </w:p>
    <w:p>
      <w:pPr>
        <w:pStyle w:val="ManualHeading1"/>
        <w:rPr>
          <w:noProof/>
        </w:rPr>
      </w:pPr>
      <w:r>
        <w:rPr>
          <w:noProof/>
        </w:rPr>
        <w:t>4.</w:t>
      </w:r>
      <w:r>
        <w:rPr>
          <w:noProof/>
        </w:rPr>
        <w:tab/>
        <w:t>IMPLICAȚIILE BUGETARE</w:t>
      </w:r>
    </w:p>
    <w:p>
      <w:pPr>
        <w:rPr>
          <w:noProof/>
        </w:rPr>
      </w:pPr>
      <w:r>
        <w:rPr>
          <w:noProof/>
        </w:rPr>
        <w:t>Implicațiile bugetare legate de noul protocol vizează plata unei contribuții financiare Republicii Islamice Mauritania. Alocările bugetare aferente, sub formă de credite de angajament și credite de plată, trebuie să fie înscrise în fiecare an la linia bugetară dedicată acordurilor de parteneriat în domeniul pescuitului sustenabil (11 03 01) și să fie compatibile cu programarea financiară din cadrul financiar multianual corespunzător. Cuantumurile anuale pentru angajamente și plăți sunt stabilite în cadrul procedurii bugetare anuale, inclusiv cele ale liniei de rezervă pentru protocoalele care nu au intrat în vigoare la începutul anului.</w:t>
      </w:r>
      <w:r>
        <w:rPr>
          <w:rStyle w:val="FootnoteReference"/>
          <w:noProof/>
        </w:rPr>
        <w:footnoteReference w:id="12"/>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 de punere în aplicare și măsuri de monitorizare, evaluare și raportare</w:t>
      </w:r>
    </w:p>
    <w:p>
      <w:pPr>
        <w:pBdr>
          <w:top w:val="nil"/>
          <w:left w:val="nil"/>
          <w:bottom w:val="nil"/>
          <w:right w:val="nil"/>
          <w:between w:val="nil"/>
          <w:bar w:val="nil"/>
        </w:pBdr>
        <w:spacing w:before="0" w:after="240"/>
        <w:rPr>
          <w:rFonts w:eastAsia="Arial Unicode MS"/>
          <w:noProof/>
        </w:rPr>
      </w:pPr>
      <w:r>
        <w:rPr>
          <w:noProof/>
        </w:rPr>
        <w:t>Se așteaptă ca negocierile să fie deschise în al doilea trimestru al anului 2019.</w:t>
      </w:r>
    </w:p>
    <w:p>
      <w:pPr>
        <w:pStyle w:val="ManualHeading2"/>
        <w:rPr>
          <w:rFonts w:eastAsia="Arial Unicode MS"/>
          <w:noProof/>
          <w:u w:color="000000"/>
          <w:bdr w:val="nil"/>
        </w:rPr>
      </w:pPr>
      <w:r>
        <w:rPr>
          <w:noProof/>
        </w:rPr>
        <w:t>•</w:t>
      </w:r>
      <w:r>
        <w:rPr>
          <w:noProof/>
        </w:rPr>
        <w:tab/>
        <w:t>Explicație detaliată cu privire la dispozițiile specifice ale propunerii</w:t>
      </w:r>
    </w:p>
    <w:p>
      <w:pPr>
        <w:pBdr>
          <w:top w:val="nil"/>
          <w:left w:val="nil"/>
          <w:bottom w:val="nil"/>
          <w:right w:val="nil"/>
          <w:between w:val="nil"/>
          <w:bar w:val="nil"/>
        </w:pBdr>
        <w:spacing w:before="0" w:after="240"/>
        <w:rPr>
          <w:rFonts w:eastAsia="Arial Unicode MS"/>
          <w:noProof/>
        </w:rPr>
      </w:pPr>
      <w:r>
        <w:rPr>
          <w:noProof/>
        </w:rPr>
        <w:t>Comisia recomandă următoarele:</w:t>
      </w:r>
    </w:p>
    <w:p>
      <w:pPr>
        <w:pBdr>
          <w:top w:val="nil"/>
          <w:left w:val="nil"/>
          <w:bottom w:val="nil"/>
          <w:right w:val="nil"/>
          <w:between w:val="nil"/>
          <w:bar w:val="nil"/>
        </w:pBdr>
        <w:spacing w:before="0" w:after="240"/>
        <w:rPr>
          <w:rFonts w:eastAsia="Arial Unicode MS"/>
          <w:noProof/>
        </w:rPr>
      </w:pPr>
      <w:r>
        <w:rPr>
          <w:noProof/>
        </w:rPr>
        <w:t>- Consiliul ar trebui să autorizeze Comisia să deschidă și să poarte negocieri în vederea încheierii unui acord de parteneriat și a unui protocol în domeniul pescuitului sustenabil cu Republica Islamică Mauritania;</w:t>
      </w:r>
    </w:p>
    <w:p>
      <w:pPr>
        <w:pBdr>
          <w:top w:val="nil"/>
          <w:left w:val="nil"/>
          <w:bottom w:val="nil"/>
          <w:right w:val="nil"/>
          <w:between w:val="nil"/>
          <w:bar w:val="nil"/>
        </w:pBdr>
        <w:spacing w:before="0" w:after="240"/>
        <w:rPr>
          <w:rFonts w:eastAsia="Arial Unicode MS"/>
          <w:noProof/>
        </w:rPr>
      </w:pPr>
      <w:r>
        <w:rPr>
          <w:noProof/>
        </w:rPr>
        <w:t>- Comisia ar trebui să fie desemnată drept negociatorul UE în această privință;</w:t>
      </w:r>
    </w:p>
    <w:p>
      <w:pPr>
        <w:pBdr>
          <w:top w:val="nil"/>
          <w:left w:val="nil"/>
          <w:bottom w:val="nil"/>
          <w:right w:val="nil"/>
          <w:between w:val="nil"/>
          <w:bar w:val="nil"/>
        </w:pBdr>
        <w:spacing w:before="0" w:after="240"/>
        <w:rPr>
          <w:rFonts w:eastAsia="Arial Unicode MS"/>
          <w:noProof/>
        </w:rPr>
      </w:pPr>
      <w:r>
        <w:rPr>
          <w:noProof/>
        </w:rPr>
        <w:t>- Comisia ar trebui să poarte aceste negocieri în consultare cu un comitet special în temeiul dispozițiilor Tratatului privind funcționarea Uniunii Europene;</w:t>
      </w:r>
    </w:p>
    <w:p>
      <w:pPr>
        <w:pBdr>
          <w:top w:val="nil"/>
          <w:left w:val="nil"/>
          <w:bottom w:val="nil"/>
          <w:right w:val="nil"/>
          <w:between w:val="nil"/>
          <w:bar w:val="nil"/>
        </w:pBdr>
        <w:spacing w:before="0" w:after="240"/>
        <w:rPr>
          <w:rFonts w:eastAsia="Arial Unicode MS"/>
          <w:noProof/>
        </w:rPr>
      </w:pPr>
      <w:r>
        <w:rPr>
          <w:noProof/>
        </w:rPr>
        <w:t xml:space="preserve">- Consiliul ar trebui să aprobe directivele de negociere anexate prezentei recomandări. </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t>Recomandare de</w:t>
      </w:r>
    </w:p>
    <w:p>
      <w:pPr>
        <w:pStyle w:val="Typedudocument"/>
        <w:rPr>
          <w:noProof/>
        </w:rPr>
      </w:pPr>
      <w:r>
        <w:rPr>
          <w:noProof/>
        </w:rPr>
        <w:t>DECIZIE A CONSILIULUI</w:t>
      </w:r>
    </w:p>
    <w:p>
      <w:pPr>
        <w:pStyle w:val="Titreobjet"/>
        <w:rPr>
          <w:noProof/>
        </w:rPr>
      </w:pPr>
      <w:r>
        <w:rPr>
          <w:noProof/>
        </w:rPr>
        <w:t>de autorizare a Comisiei să deschidă negocieri în numele Uniunii Europene în vederea încheierii unui acord de parteneriat în domeniul pescuitului sustenabil și a unui protocol cu Republica Islamică Mauritania</w:t>
      </w:r>
      <w:r>
        <w:rPr>
          <w:noProof/>
        </w:rPr>
        <w:br/>
      </w:r>
    </w:p>
    <w:p>
      <w:pPr>
        <w:pStyle w:val="Institutionquiagit"/>
        <w:rPr>
          <w:noProof/>
        </w:rPr>
      </w:pPr>
      <w:r>
        <w:rPr>
          <w:noProof/>
        </w:rPr>
        <w:t>CONSILIUL UNIUNII EUROPENE,</w:t>
      </w:r>
    </w:p>
    <w:p>
      <w:pPr>
        <w:rPr>
          <w:noProof/>
        </w:rPr>
      </w:pPr>
      <w:r>
        <w:rPr>
          <w:noProof/>
        </w:rPr>
        <w:t>având în vedere Tratatul privind funcționarea Uniunii Europene, în special articolul 218 alineatele (3) și (4),</w:t>
      </w:r>
    </w:p>
    <w:p>
      <w:pPr>
        <w:rPr>
          <w:noProof/>
        </w:rPr>
      </w:pPr>
      <w:r>
        <w:rPr>
          <w:noProof/>
        </w:rPr>
        <w:t>având în vedere recomandarea Comisiei Europene,</w:t>
      </w:r>
    </w:p>
    <w:p>
      <w:pPr>
        <w:rPr>
          <w:noProof/>
          <w:szCs w:val="24"/>
        </w:rPr>
      </w:pPr>
      <w:r>
        <w:rPr>
          <w:noProof/>
        </w:rPr>
        <w:t>întrucât ar trebui să se deschidă negocieri în vederea încheierii unui acord de parteneriat în domeniul pescuitului sustenabil și a unui protocol cu Republica Islamică Mauritania,</w:t>
      </w:r>
    </w:p>
    <w:p>
      <w:pPr>
        <w:pStyle w:val="Formuledadoption"/>
        <w:rPr>
          <w:noProof/>
        </w:rPr>
      </w:pPr>
      <w:r>
        <w:rPr>
          <w:noProof/>
        </w:rPr>
        <w:t xml:space="preserve">ADOPTĂ PREZENTA DECIZIE: </w:t>
      </w:r>
    </w:p>
    <w:p>
      <w:pPr>
        <w:pStyle w:val="Titrearticle"/>
        <w:rPr>
          <w:noProof/>
        </w:rPr>
      </w:pPr>
      <w:r>
        <w:rPr>
          <w:noProof/>
        </w:rPr>
        <w:t>Articolul 1</w:t>
      </w:r>
    </w:p>
    <w:p>
      <w:pPr>
        <w:rPr>
          <w:noProof/>
        </w:rPr>
      </w:pPr>
      <w:bookmarkStart w:id="1" w:name="_CopyToNewDocument_"/>
      <w:bookmarkEnd w:id="1"/>
      <w:r>
        <w:rPr>
          <w:noProof/>
        </w:rPr>
        <w:t>Prin prezenta decizie, Comisia este autorizată să deschidă negocieri cu Mauritania în vederea încheierii unui nou acord de parteneriat în domeniul pescuitului sustenabil și a unui protocol cu Mauritania.</w:t>
      </w:r>
    </w:p>
    <w:p>
      <w:pPr>
        <w:pStyle w:val="Titrearticle"/>
        <w:rPr>
          <w:noProof/>
        </w:rPr>
      </w:pPr>
      <w:r>
        <w:rPr>
          <w:noProof/>
        </w:rPr>
        <w:t>Articolul 2</w:t>
      </w:r>
    </w:p>
    <w:p>
      <w:pPr>
        <w:rPr>
          <w:noProof/>
        </w:rPr>
      </w:pPr>
      <w:r>
        <w:rPr>
          <w:noProof/>
        </w:rPr>
        <w:t>Negocierile se poartă în consultare cu Grupul de lucru al Consiliului pentru politica externă privind pescuitul și pe baza directivelor de negociere prevăzute în anexa la prezenta decizie.</w:t>
      </w:r>
    </w:p>
    <w:p>
      <w:pPr>
        <w:pStyle w:val="Titrearticle"/>
        <w:rPr>
          <w:noProof/>
        </w:rPr>
      </w:pPr>
      <w:r>
        <w:rPr>
          <w:noProof/>
        </w:rPr>
        <w:t>Articolul 3</w:t>
      </w:r>
    </w:p>
    <w:p>
      <w:pPr>
        <w:rPr>
          <w:noProof/>
        </w:rPr>
      </w:pPr>
      <w:r>
        <w:rPr>
          <w:noProof/>
        </w:rPr>
        <w:t>Prezenta decizie se adresează Comisiei.</w:t>
      </w:r>
    </w:p>
    <w:p>
      <w:pPr>
        <w:rPr>
          <w:noProof/>
        </w:rPr>
      </w:pP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i-FI"/>
        </w:rPr>
      </w:pPr>
      <w:r>
        <w:rPr>
          <w:rStyle w:val="FootnoteReference"/>
        </w:rPr>
        <w:footnoteRef/>
      </w:r>
      <w:r>
        <w:tab/>
        <w:t>JO L 343, 8.12.2006, p. 4.</w:t>
      </w:r>
    </w:p>
  </w:footnote>
  <w:footnote w:id="2">
    <w:p>
      <w:pPr>
        <w:pStyle w:val="FootnoteText"/>
      </w:pPr>
      <w:r>
        <w:rPr>
          <w:rStyle w:val="FootnoteReference"/>
        </w:rPr>
        <w:footnoteRef/>
      </w:r>
      <w:r>
        <w:tab/>
      </w:r>
      <w:hyperlink r:id="rId1">
        <w:r>
          <w:rPr>
            <w:rStyle w:val="Hyperlink"/>
          </w:rPr>
          <w:t>https://www.consilium.europa.eu/ro/documents-publications/treaties-agreements/agreement/?id=2006111&amp;DocLanguage=en</w:t>
        </w:r>
      </w:hyperlink>
      <w:r>
        <w:t xml:space="preserve"> </w:t>
      </w:r>
    </w:p>
  </w:footnote>
  <w:footnote w:id="3">
    <w:p>
      <w:pPr>
        <w:pStyle w:val="FootnoteText"/>
        <w:rPr>
          <w:lang w:val="nn-NO"/>
        </w:rPr>
      </w:pPr>
      <w:r>
        <w:rPr>
          <w:rStyle w:val="FootnoteReference"/>
        </w:rPr>
        <w:footnoteRef/>
      </w:r>
      <w:r>
        <w:tab/>
        <w:t>Ref. Regulamentul (UE) nr. 1380/2013, partea VI, titlul II.</w:t>
      </w:r>
    </w:p>
  </w:footnote>
  <w:footnote w:id="4">
    <w:p>
      <w:pPr>
        <w:pStyle w:val="FootnoteText"/>
      </w:pPr>
      <w:r>
        <w:rPr>
          <w:rStyle w:val="FootnoteReference"/>
        </w:rPr>
        <w:footnoteRef/>
      </w:r>
      <w:r>
        <w:tab/>
        <w:t>JO L 315, 1.12.2015, p. 3.</w:t>
      </w:r>
      <w:r>
        <w:tab/>
      </w:r>
    </w:p>
    <w:p>
      <w:pPr>
        <w:pStyle w:val="FootnoteText"/>
      </w:pPr>
    </w:p>
  </w:footnote>
  <w:footnote w:id="5">
    <w:p>
      <w:pPr>
        <w:pStyle w:val="FootnoteText"/>
      </w:pPr>
      <w:r>
        <w:rPr>
          <w:rStyle w:val="FootnoteReference"/>
        </w:rPr>
        <w:footnoteRef/>
      </w:r>
      <w:r>
        <w:tab/>
      </w:r>
      <w:hyperlink r:id="rId2">
        <w:r>
          <w:rPr>
            <w:rStyle w:val="Hyperlink"/>
          </w:rPr>
          <w:t>https://www.consilium.europa.eu/ro/documents-publications/treaties-agreements/agreement/?id=2015063&amp;DocLanguage=en</w:t>
        </w:r>
      </w:hyperlink>
      <w:r>
        <w:t xml:space="preserve"> </w:t>
      </w:r>
    </w:p>
  </w:footnote>
  <w:footnote w:id="6">
    <w:p>
      <w:pPr>
        <w:pStyle w:val="FootnoteText"/>
      </w:pPr>
      <w:r>
        <w:rPr>
          <w:rStyle w:val="FootnoteReference"/>
        </w:rPr>
        <w:footnoteRef/>
      </w:r>
      <w:r>
        <w:tab/>
        <w:t>JO L 69, 15.3.2017, p. 34.</w:t>
      </w:r>
    </w:p>
  </w:footnote>
  <w:footnote w:id="7">
    <w:p>
      <w:pPr>
        <w:pStyle w:val="FootnoteText"/>
      </w:pPr>
      <w:r>
        <w:rPr>
          <w:rStyle w:val="FootnoteReference"/>
        </w:rPr>
        <w:footnoteRef/>
      </w:r>
      <w:r>
        <w:tab/>
        <w:t>JO L 193, 25.7.2017, p. 4.</w:t>
      </w:r>
    </w:p>
  </w:footnote>
  <w:footnote w:id="8">
    <w:p>
      <w:pPr>
        <w:pStyle w:val="FootnoteText"/>
      </w:pPr>
      <w:r>
        <w:rPr>
          <w:rStyle w:val="FootnoteReference"/>
        </w:rPr>
        <w:footnoteRef/>
      </w:r>
      <w:r>
        <w:tab/>
        <w:t>Pentru ultimii 2 de ani ai protocolului.  Pentru cei doi ani precedenți, aceasta a fost de 59 125 000 EUR. Referință: articolul 2 alineatul (1) și articolul 3 alineatul (1) din protocol, astfel cum au fost modificate prin Decizia (UE) 2017/451 a Comisiei din 14 martie 2017. JO L 69, 15.3.2017, p. 34.</w:t>
      </w:r>
    </w:p>
  </w:footnote>
  <w:footnote w:id="9">
    <w:p>
      <w:pPr>
        <w:pStyle w:val="FootnoteText"/>
      </w:pPr>
      <w:r>
        <w:rPr>
          <w:rStyle w:val="FootnoteReference"/>
        </w:rPr>
        <w:footnoteRef/>
      </w:r>
      <w:r>
        <w:tab/>
        <w:t>Regatul Unit a avut posibilități de pescuit prin actualul protocol la APP până în 2019.</w:t>
      </w:r>
    </w:p>
  </w:footnote>
  <w:footnote w:id="10">
    <w:p>
      <w:pPr>
        <w:pStyle w:val="FootnoteText"/>
      </w:pPr>
      <w:r>
        <w:rPr>
          <w:rStyle w:val="FootnoteReference"/>
        </w:rPr>
        <w:footnoteRef/>
      </w:r>
      <w:r>
        <w:tab/>
      </w:r>
      <w:hyperlink r:id="rId3">
        <w:r>
          <w:rPr>
            <w:rStyle w:val="Hyperlink"/>
          </w:rPr>
          <w:t>http://www.fao.org/fishery/rfb/iccat/en</w:t>
        </w:r>
      </w:hyperlink>
      <w:r>
        <w:t>, organismul înființat în temeiul dreptului internațional pentru conservarea și gestionarea speciilor mari migratoare din regiune.</w:t>
      </w:r>
    </w:p>
  </w:footnote>
  <w:footnote w:id="11">
    <w:p>
      <w:pPr>
        <w:pStyle w:val="FootnoteText"/>
        <w:rPr>
          <w:lang w:val="it-IT"/>
        </w:rPr>
      </w:pPr>
      <w:r>
        <w:rPr>
          <w:rStyle w:val="FootnoteReference"/>
        </w:rPr>
        <w:footnoteRef/>
      </w:r>
      <w:r>
        <w:tab/>
      </w:r>
      <w:hyperlink r:id="rId4">
        <w:r>
          <w:rPr>
            <w:rStyle w:val="Hyperlink"/>
          </w:rPr>
          <w:t>http://www.fao.org/fishery/rfb/cecaf/en</w:t>
        </w:r>
      </w:hyperlink>
      <w:r>
        <w:t>, pentru specii demersale și pelagice.</w:t>
      </w:r>
    </w:p>
  </w:footnote>
  <w:footnote w:id="12">
    <w:p>
      <w:pPr>
        <w:pStyle w:val="FootnoteText"/>
      </w:pPr>
      <w:r>
        <w:rPr>
          <w:rStyle w:val="FootnoteReference"/>
        </w:rPr>
        <w:footnoteRef/>
      </w:r>
      <w:r>
        <w:tab/>
        <w:t>Capitolul 40 (linia de rezervă 40 02 41) în conformitate cu acordul interinstituțional privind CFM (2013/C 373/01).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3A49CB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AE589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9FAF5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A2C7E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C3E4AC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F7CB8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6562086"/>
    <w:lvl w:ilvl="0">
      <w:start w:val="1"/>
      <w:numFmt w:val="decimal"/>
      <w:pStyle w:val="ListNumber"/>
      <w:lvlText w:val="%1."/>
      <w:lvlJc w:val="left"/>
      <w:pPr>
        <w:tabs>
          <w:tab w:val="num" w:pos="360"/>
        </w:tabs>
        <w:ind w:left="360" w:hanging="360"/>
      </w:pPr>
    </w:lvl>
  </w:abstractNum>
  <w:abstractNum w:abstractNumId="7">
    <w:nsid w:val="FFFFFF89"/>
    <w:multiLevelType w:val="singleLevel"/>
    <w:tmpl w:val="44BC2FD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19"/>
  </w:num>
  <w:num w:numId="11">
    <w:abstractNumId w:val="13"/>
  </w:num>
  <w:num w:numId="12">
    <w:abstractNumId w:val="21"/>
  </w:num>
  <w:num w:numId="13">
    <w:abstractNumId w:val="11"/>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 w:numId="24">
    <w:abstractNumId w:val="19"/>
  </w:num>
  <w:num w:numId="25">
    <w:abstractNumId w:val="13"/>
  </w:num>
  <w:num w:numId="26">
    <w:abstractNumId w:val="21"/>
  </w:num>
  <w:num w:numId="27">
    <w:abstractNumId w:val="11"/>
  </w:num>
  <w:num w:numId="28">
    <w:abstractNumId w:val="14"/>
  </w:num>
  <w:num w:numId="29">
    <w:abstractNumId w:val="9"/>
  </w:num>
  <w:num w:numId="30">
    <w:abstractNumId w:val="20"/>
  </w:num>
  <w:num w:numId="31">
    <w:abstractNumId w:val="8"/>
  </w:num>
  <w:num w:numId="32">
    <w:abstractNumId w:val="15"/>
  </w:num>
  <w:num w:numId="33">
    <w:abstractNumId w:val="17"/>
  </w:num>
  <w:num w:numId="34">
    <w:abstractNumId w:val="18"/>
  </w:num>
  <w:num w:numId="35">
    <w:abstractNumId w:val="10"/>
  </w:num>
  <w:num w:numId="36">
    <w:abstractNumId w:val="16"/>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24"/>
  <w:hideSpellingErrors/>
  <w:hideGrammaticalErrors/>
  <w:attachedTemplate r:id="rId1"/>
  <w:revisionView w:markup="0"/>
  <w:defaultTabStop w:val="720"/>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31 15:34: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D1FBFBF-964A-40B2-9B33-D0E4538B8765"/>
    <w:docVar w:name="LW_COVERPAGE_TYPE" w:val="1"/>
    <w:docVar w:name="LW_CROSSREFERENCE" w:val="{SWD(2019) 195 final} - {SWD(2019) 196 final}"/>
    <w:docVar w:name="LW_DocType" w:val="COM"/>
    <w:docVar w:name="LW_EMISSION" w:val="4.6.2019"/>
    <w:docVar w:name="LW_EMISSION_ISODATE" w:val="2019-06-04"/>
    <w:docVar w:name="LW_EMISSION_LOCATION" w:val="BRX"/>
    <w:docVar w:name="LW_EMISSION_PREFIX" w:val="Bruxelles, "/>
    <w:docVar w:name="LW_EMISSION_SUFFIX" w:val=" "/>
    <w:docVar w:name="LW_ID_DOCMODEL" w:val="SG-001"/>
    <w:docVar w:name="LW_ID_DOCSIGNATURE" w:val="SG-001"/>
    <w:docVar w:name="LW_ID_DOCSTRUCTURE" w:val="COM/PL/ORG"/>
    <w:docVar w:name="LW_ID_DOCTYPE" w:val="SG-001"/>
    <w:docVar w:name="LW_ID_STATUT" w:val="SG-001"/>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Recomandare de"/>
    <w:docVar w:name="LW_SUPERTITRE" w:val="&lt;UNUSED&gt;"/>
    <w:docVar w:name="LW_TITRE.OBJ.CP" w:val="de autorizare a Comisiei s\u259? deschid\u259? negocieri în numele Uniunii Europene în vederea încheierii unui acord de parteneriat în domeniul pescuitului sustenabil \u537?i a unui protocol cu Republica Islamic\u259? Mauritania_x000b_"/>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99"/>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99"/>
    <w:qFormat/>
    <w:rPr>
      <w:b/>
      <w:bC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egalNumPar">
    <w:name w:val="LegalNumPar"/>
    <w:basedOn w:val="Normal"/>
    <w:pPr>
      <w:numPr>
        <w:numId w:val="9"/>
      </w:numPr>
      <w:spacing w:line="360" w:lineRule="auto"/>
    </w:pPr>
  </w:style>
  <w:style w:type="paragraph" w:customStyle="1" w:styleId="LegalNumPar2">
    <w:name w:val="LegalNumPar2"/>
    <w:basedOn w:val="Normal"/>
    <w:pPr>
      <w:numPr>
        <w:ilvl w:val="1"/>
        <w:numId w:val="9"/>
      </w:numPr>
      <w:spacing w:line="360" w:lineRule="auto"/>
    </w:pPr>
  </w:style>
  <w:style w:type="paragraph" w:customStyle="1" w:styleId="LegalNumPar3">
    <w:name w:val="LegalNumPar3"/>
    <w:basedOn w:val="Normal"/>
    <w:pPr>
      <w:numPr>
        <w:ilvl w:val="2"/>
        <w:numId w:val="9"/>
      </w:numPr>
      <w:spacing w:line="360" w:lineRule="auto"/>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ro-RO"/>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fishery/rfb/iccat/en" TargetMode="External"/><Relationship Id="rId2" Type="http://schemas.openxmlformats.org/officeDocument/2006/relationships/hyperlink" Target="https://www.consilium.europa.eu/ro/documents-publications/treaties-agreements/agreement/?id=2015063&amp;DocLanguage=en" TargetMode="External"/><Relationship Id="rId1" Type="http://schemas.openxmlformats.org/officeDocument/2006/relationships/hyperlink" Target="https://www.consilium.europa.eu/ro/documents-publications/treaties-agreements/agreement/?id=2006111&amp;DocLanguage=en" TargetMode="External"/><Relationship Id="rId4" Type="http://schemas.openxmlformats.org/officeDocument/2006/relationships/hyperlink" Target="http://www.fao.org/fishery/rfb/cecaf/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2D6FA-C33A-46C4-8D8E-B48B0383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1278</Words>
  <Characters>7864</Characters>
  <Application>Microsoft Office Word</Application>
  <DocSecurity>0</DocSecurity>
  <Lines>142</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2019-05-20T09:36:00Z</cp:lastPrinted>
  <dcterms:created xsi:type="dcterms:W3CDTF">2019-05-24T11:53:00Z</dcterms:created>
  <dcterms:modified xsi:type="dcterms:W3CDTF">2019-05-31T13:34:00Z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SG-001</vt:lpwstr>
  </property>
  <property fmtid="{D5CDD505-2E9C-101B-9397-08002B2CF9AE}" pid="9" name="Level of sensitivity">
    <vt:lpwstr>Standard treatment</vt:lpwstr>
  </property>
  <property fmtid="{D5CDD505-2E9C-101B-9397-08002B2CF9AE}" pid="10" name="DQCStatus">
    <vt:lpwstr>Green (DQC version 03)</vt:lpwstr>
  </property>
</Properties>
</file>