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A423008-06E1-4F7F-9FAC-FBE8F9E179EF" style="width:450.8pt;height:447.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TÁRGYA</w:t>
      </w:r>
    </w:p>
    <w:p>
      <w:pPr>
        <w:pStyle w:val="ManualHeading1"/>
        <w:ind w:left="0" w:firstLine="0"/>
        <w:rPr>
          <w:b w:val="0"/>
          <w:smallCaps w:val="0"/>
          <w:noProof/>
        </w:rPr>
      </w:pPr>
      <w:r>
        <w:rPr>
          <w:b w:val="0"/>
          <w:smallCaps w:val="0"/>
          <w:noProof/>
        </w:rPr>
        <w:t>E javaslat tárgya az Unió által az ENSZ Európai Gazdasági Bizottságának megfelelő bizottságaiban egy megahatározat tervezett elfogadásával kapcsolatban képviselendő álláspont meghatározásáról szóló határozat.</w:t>
      </w:r>
    </w:p>
    <w:p>
      <w:pPr>
        <w:pStyle w:val="ManualHeading1"/>
        <w:rPr>
          <w:noProof/>
        </w:rPr>
      </w:pPr>
      <w:r>
        <w:rPr>
          <w:noProof/>
        </w:rPr>
        <w:t>2.</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Az ENSZ Európai Gazdasági Bizottsága (ENSZ EGB) nemzetközi szinten harmonizált követelményeket dolgoz ki, melyek célja, hogy felszámolják az 1958. évi felülvizsgált megállapodás szerződő felei közötti gépjármű-kereskedelem műszaki akadályait, valamint biztosítsák, hogy az ilyen járművek nagy fokú biztonságot nyújtsanak, és óvják a környezetet.</w:t>
      </w:r>
    </w:p>
    <w:p>
      <w:pPr>
        <w:rPr>
          <w:noProof/>
        </w:rPr>
      </w:pPr>
      <w:r>
        <w:rPr>
          <w:noProof/>
        </w:rPr>
        <w:t>Az 1997. november 27-i 97/836/EK tanácsi határozat értelmében az Unió csatlakozott az ENSZ Európai Gazdasági Bizottságának a kerekes járművekre és az azokba szerelhető, illetve az azokon használható berendezésekre és tartozékokra vonatkozó egységes műszaki előírások elfogadásáról, valamint az ezen előírások alapján kibocsátott jóváhagyások kölcsönös elismerésének feltételeiről szóló megállapodásához (a továbbiakban: 1958. évi felülvizsgált megállapodás), továbbá a kerekes járművek, valamint a kerekes járművekre felszerelhető és/vagy azokon használható berendezésekről és felszerelésekről szóló globális műszaki előírások kidolgozására irányuló megállapodás (a továbbiakban: párhuzamos megállapodás) megkötéséről szóló, 2000. január 31-i 2000/125/EK tanácsi határozat értelmében az Unió csatlakozott a párhuzamos megállapodáshoz.</w:t>
      </w:r>
    </w:p>
    <w:p>
      <w:pPr>
        <w:rPr>
          <w:noProof/>
        </w:rPr>
      </w:pPr>
      <w:r>
        <w:rPr>
          <w:noProof/>
        </w:rPr>
        <w:t>Az ENSZ EGB keretében működő Járműelőírások Harmonizálása Világfórumot (a továbbiakban: WP.29) minden naptári évben háromszor – márciusban, júniusban és novemberben – rendezik meg. Minden ülésen új ENSZ-előírásokat, az ENSZ új globális műszaki előírásait (a továbbiakban: ENSZ GTR) és/vagy meglévő ENSZ-előírásokat vagy az ENSZ globális műszaki előírásait érintő változtatásokat fogadnak el a műszaki fejlődés érdekében. A WP.29 egyes ülései előtt a WP.29 keretében tevékenykedő hat munkacsoport egyike elfogadja ezeket a változtatásokat.</w:t>
      </w:r>
    </w:p>
    <w:p>
      <w:pPr>
        <w:rPr>
          <w:noProof/>
        </w:rPr>
      </w:pPr>
      <w:r>
        <w:rPr>
          <w:noProof/>
        </w:rPr>
        <w:t>Ezután a WP.29 ülésén határozatképesség esetén sor kerül a végső szavazásra a módosítások, kiegészítések és helyesbítések elfogadásáról, feltéve, hogy a szerződő felek között minősített többség alakul ki. Az EU a WP.29 ülésein két megállapodás (az 1958. évi és az 1998. évi megállapodás) szerződő feleként vesz részt. Minden alkalommal tanácsi határozat, ún. „megahatározat” készül, amely tartalmazza az előírások, módosítások, kiegészítések és helyesbítések listáját, és felhatalmazza a Bizottságot arra, hogy a WP.29 ülésein az Unió nevében szavazzon.</w:t>
      </w:r>
    </w:p>
    <w:p>
      <w:pPr>
        <w:rPr>
          <w:noProof/>
        </w:rPr>
      </w:pPr>
      <w:r>
        <w:rPr>
          <w:noProof/>
        </w:rPr>
        <w:t xml:space="preserve">Ez a tanácsi határozat a WP.29 2019. június 24–28-i ülésén szavazásra bocsátandó előírásokról, módosításokról, kiegészítésekről és helyesbítésekről szóló szavazáskor képviselendő uniós álláspontot határozza meg. </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rPr>
      </w:pPr>
      <w:r>
        <w:rPr>
          <w:noProof/>
        </w:rPr>
        <w:t>A javaslat kiegészíti az Unió gépjárműiparra vonatkozó belső piaci politikáját, és teljes mértékben összhangban áll azzal.</w:t>
      </w:r>
    </w:p>
    <w:p>
      <w:pPr>
        <w:rPr>
          <w:noProof/>
        </w:rPr>
      </w:pPr>
      <w:r>
        <w:rPr>
          <w:noProof/>
        </w:rPr>
        <w:t xml:space="preserve">A WP.29 rendszer még inkább összehangolja nemzetközi szinten a járművekre vonatkozó szabványokat. Az 1958. évi megállapodás kulcsszerepet játszik e célkitűzés elérésében, mivel </w:t>
      </w:r>
      <w:r>
        <w:rPr>
          <w:noProof/>
        </w:rPr>
        <w:lastRenderedPageBreak/>
        <w:t>az uniós gyártók annak tudatában alkalmazhatnak egy sor közös típusjóváhagyási előírást, hogy a szerződő felek a nemzeti jogszabályaiknak megfelelőként fogják elismerni a gyártók termékeit. Ez a rendszer tette lehetővé például, hogy a gépjárművek általános biztonságáról szóló 661/2009/EK rendelet több mint 50 uniós irányelvet hatályon kívül helyezzen, és azok helyébe az 1958. évi megállapodás keretében elfogadott vonatkozó előírásokat léptesse.</w:t>
      </w:r>
    </w:p>
    <w:p>
      <w:pPr>
        <w:rPr>
          <w:noProof/>
        </w:rPr>
      </w:pPr>
      <w:r>
        <w:rPr>
          <w:noProof/>
        </w:rPr>
        <w:t>A 2007/46/EK irányelv is hasonló megközelítést alkalmazott, és a tagállamok jóváhagyási rendszereit egy uniós jóváhagyási eljárással váltotta fel, és olyan harmonizált keretrendszert hozott létre, amely adminisztratív rendelkezéseket és általános műszaki előírásokat tartalmaz valamennyi új járműre, valamint azok rendszereire, alkatrészeire és önálló műszaki egységeire vonatkozóan. Az irányelv vagy típusjóváhagyási követelmény formájában, vagy az uniós jogszabályok alternatívájaként építette be az ENSZ előírásait az EU típusjóváhagyási rendszerébe. Az irányelv elfogadása óta egyre több ENSZ-előírás épült be az uniós jogszabályokba az EU-típusjóváhagyás keretében.</w:t>
      </w:r>
    </w:p>
    <w:p>
      <w:pPr>
        <w:pStyle w:val="ManualHeading2"/>
        <w:rPr>
          <w:rFonts w:eastAsia="Arial Unicode MS"/>
          <w:noProof/>
        </w:rPr>
      </w:pPr>
      <w:r>
        <w:rPr>
          <w:noProof/>
          <w:color w:val="000000"/>
          <w:u w:color="000000"/>
          <w:bdr w:val="nil"/>
        </w:rPr>
        <w:t>•</w:t>
      </w:r>
      <w:r>
        <w:rPr>
          <w:noProof/>
        </w:rPr>
        <w:tab/>
        <w:t>Összhang az Unió egyéb szakpolitikáival</w:t>
      </w:r>
    </w:p>
    <w:p>
      <w:pPr>
        <w:rPr>
          <w:noProof/>
        </w:rPr>
      </w:pPr>
      <w:r>
        <w:rPr>
          <w:noProof/>
        </w:rPr>
        <w:t>A WP.29-rendszer az Unió versenyképességi politikájához kapcsolódik, amelyre e kezdeményezés kedvező hatással van. E javaslat összhangban áll az uniós közlekedés-, éghajlat- és energiaügyi szakpolitikákkal is, amelyeket az 1958. évi megállapodás hatálya alá tartozó ENSZ-előírások megszövegezése és elfogadása során kellőképpen figyelembe vesznek.</w:t>
      </w:r>
    </w:p>
    <w:p>
      <w:pPr>
        <w:pStyle w:val="ManualHeading1"/>
        <w:rPr>
          <w:noProof/>
        </w:rPr>
      </w:pPr>
      <w:r>
        <w:rPr>
          <w:noProof/>
        </w:rPr>
        <w:t>3.</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rFonts w:eastAsia="Arial Unicode MS"/>
          <w:noProof/>
        </w:rPr>
      </w:pPr>
      <w:r>
        <w:rPr>
          <w:noProof/>
        </w:rPr>
        <w:t>E javaslat jogalapja az Európai Unió működéséről szóló szerződés 218. cikkének (9) bekezdésével összefüggésben értelmezett 114. cikke.</w:t>
      </w:r>
    </w:p>
    <w:p>
      <w:pPr>
        <w:pStyle w:val="ManualHeading2"/>
        <w:rPr>
          <w:rFonts w:eastAsia="Arial Unicode MS"/>
          <w:noProof/>
          <w:u w:color="000000"/>
          <w:bdr w:val="nil"/>
        </w:rPr>
      </w:pPr>
      <w:r>
        <w:rPr>
          <w:noProof/>
        </w:rPr>
        <w:t>•</w:t>
      </w:r>
      <w:r>
        <w:rPr>
          <w:noProof/>
        </w:rPr>
        <w:tab/>
        <w:t>Szubszidiaritás</w:t>
      </w:r>
    </w:p>
    <w:p>
      <w:pPr>
        <w:rPr>
          <w:noProof/>
        </w:rPr>
      </w:pPr>
      <w:r>
        <w:rPr>
          <w:noProof/>
        </w:rPr>
        <w:t>Az ENSZ-előírásokra és az ENSZ-előírások módosításaira irányuló javaslatokhoz és a globális műszaki előírások tervezeteihez hasonló nemzetközi jogi eszközök megszavazása – annak érdekében, hogy azok a gépjárművek uniós típusjóváhagyási rendszerének részévé váljanak – csak uniós szinten lehetséges. Ezzel nemcsak a belső piac széttagolódása előzhető meg, hanem az is biztosított, hogy az Unió területén belül egységesek legyenek a környezetvédelmi és a biztonsági szabványok. Előnyökkel jár továbbá a méretgazdaságosság terén is: a termékek a teljes uniós piac, sőt a nemzetközi piac számára is gyárthatók, mivel nem egyedi igényeknek megfelelően kell őket kialakítani az egyes tagállamok nemzeti típusjóváhagyásának megszerzéséhez.</w:t>
      </w:r>
    </w:p>
    <w:p>
      <w:pPr>
        <w:rPr>
          <w:noProof/>
        </w:rPr>
      </w:pPr>
      <w:r>
        <w:rPr>
          <w:noProof/>
        </w:rPr>
        <w:t>A javaslat ezért megfelel a szubszidiaritás elvének.</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rPr>
      </w:pPr>
      <w:r>
        <w:rPr>
          <w:noProof/>
        </w:rPr>
        <w:t>E tanácsi határozat feljogosítja a Bizottságot arra, hogy az Unió nevében szavazzon, a 97/836/EK tanácsi határozat 5. cikke (1) bekezdésének megfelelően pedig arányos eszközt jelent az ENSZ EGB-ben a WP.29 ülésének napirendjén szereplő munkadokumentumokról történő szavazáson képviselendő egységes uniós álláspont meghatározásához. Ezért e javaslat megfelel az arányosság elvének, mert a belső piac megfelelő működésének biztosítására irányuló célkitűzések teljesítéséhez szükségesnél nagyobb mértékben nem avatkozik be, ugyanakkor nagy fokú közbiztonságot és védelmet garantál.</w:t>
      </w:r>
    </w:p>
    <w:p>
      <w:pPr>
        <w:pStyle w:val="ManualHeading2"/>
        <w:rPr>
          <w:rFonts w:eastAsia="Arial Unicode MS"/>
          <w:noProof/>
          <w:u w:color="000000"/>
          <w:bdr w:val="nil"/>
        </w:rPr>
      </w:pPr>
      <w:r>
        <w:rPr>
          <w:noProof/>
        </w:rPr>
        <w:lastRenderedPageBreak/>
        <w:t>•</w:t>
      </w:r>
      <w:r>
        <w:rPr>
          <w:noProof/>
        </w:rPr>
        <w:tab/>
        <w:t>A jogi aktus típusának megválasztása</w:t>
      </w:r>
    </w:p>
    <w:p>
      <w:pPr>
        <w:rPr>
          <w:noProof/>
        </w:rPr>
      </w:pPr>
      <w:r>
        <w:rPr>
          <w:noProof/>
        </w:rPr>
        <w:t>Az EUMSZ 218. cikkének (9) bekezdése a nemzetközi megállapodások által létrehozott testületekben képviselendő uniós álláspontok kialakítására tanácsi határozat alkalmazását írja elő.</w:t>
      </w:r>
    </w:p>
    <w:p>
      <w:pPr>
        <w:pStyle w:val="ManualHeading1"/>
        <w:rPr>
          <w:noProof/>
        </w:rPr>
      </w:pPr>
      <w:r>
        <w:rPr>
          <w:noProof/>
        </w:rPr>
        <w:t>4.</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rPr>
          <w:noProof/>
        </w:rPr>
      </w:pPr>
      <w:r>
        <w:rPr>
          <w:noProof/>
        </w:rPr>
        <w:t>Tárgytalan.</w:t>
      </w:r>
    </w:p>
    <w:p>
      <w:pPr>
        <w:pStyle w:val="ManualHeading2"/>
        <w:rPr>
          <w:rFonts w:eastAsia="Arial Unicode MS"/>
          <w:noProof/>
          <w:u w:color="000000"/>
          <w:bdr w:val="nil"/>
        </w:rPr>
      </w:pPr>
      <w:r>
        <w:rPr>
          <w:noProof/>
        </w:rPr>
        <w:t>•</w:t>
      </w:r>
      <w:r>
        <w:rPr>
          <w:noProof/>
        </w:rPr>
        <w:tab/>
        <w:t>Az érdekelt felekkel folytatott konzultációk</w:t>
      </w:r>
    </w:p>
    <w:p>
      <w:pPr>
        <w:rPr>
          <w:noProof/>
        </w:rPr>
      </w:pPr>
      <w:r>
        <w:rPr>
          <w:noProof/>
        </w:rPr>
        <w:t>Tárgytalan.</w:t>
      </w:r>
    </w:p>
    <w:p>
      <w:pPr>
        <w:pStyle w:val="ManualHeading2"/>
        <w:rPr>
          <w:rFonts w:eastAsia="Arial Unicode MS"/>
          <w:noProof/>
          <w:u w:color="000000"/>
          <w:bdr w:val="nil"/>
        </w:rPr>
      </w:pPr>
      <w:r>
        <w:rPr>
          <w:noProof/>
        </w:rPr>
        <w:t>•</w:t>
      </w:r>
      <w:r>
        <w:rPr>
          <w:noProof/>
        </w:rPr>
        <w:tab/>
        <w:t>Szakértői vélemények beszerzése és felhasználása</w:t>
      </w:r>
    </w:p>
    <w:p>
      <w:pPr>
        <w:rPr>
          <w:noProof/>
        </w:rPr>
      </w:pPr>
      <w:r>
        <w:rPr>
          <w:noProof/>
        </w:rPr>
        <w:t>E javaslat esetében nincs szükség külső szakértői véleményre. A javaslatot ugyanakkor a „Műszaki Bizottság – Gépjárművek” elnevezésű bizottság megvizsgálja.</w:t>
      </w:r>
    </w:p>
    <w:p>
      <w:pPr>
        <w:pStyle w:val="ManualHeading2"/>
        <w:rPr>
          <w:rFonts w:eastAsia="Arial Unicode MS"/>
          <w:noProof/>
          <w:u w:color="000000"/>
          <w:bdr w:val="nil"/>
        </w:rPr>
      </w:pPr>
      <w:r>
        <w:rPr>
          <w:noProof/>
        </w:rPr>
        <w:t>•</w:t>
      </w:r>
      <w:r>
        <w:rPr>
          <w:noProof/>
        </w:rPr>
        <w:tab/>
        <w:t>Hatásvizsgálat</w:t>
      </w:r>
    </w:p>
    <w:p>
      <w:pPr>
        <w:rPr>
          <w:noProof/>
        </w:rPr>
      </w:pPr>
      <w:r>
        <w:rPr>
          <w:noProof/>
        </w:rPr>
        <w:t>Ez a javaslat nem vethető alá hatásvizsgálatnak, mivel nem jogalkotási jellegű dokumentum, és nincs meglévő, illetve lehetséges szakpolitikai alternatívája.</w:t>
      </w:r>
    </w:p>
    <w:p>
      <w:pPr>
        <w:pStyle w:val="ManualHeading2"/>
        <w:rPr>
          <w:rFonts w:eastAsia="Arial Unicode MS"/>
          <w:noProof/>
          <w:u w:color="000000"/>
          <w:bdr w:val="nil"/>
        </w:rPr>
      </w:pPr>
      <w:r>
        <w:rPr>
          <w:noProof/>
        </w:rPr>
        <w:t>•</w:t>
      </w:r>
      <w:r>
        <w:rPr>
          <w:noProof/>
        </w:rPr>
        <w:tab/>
        <w:t>Célravezető szabályozás és egyszerűsítés</w:t>
      </w:r>
    </w:p>
    <w:p>
      <w:pPr>
        <w:rPr>
          <w:noProof/>
        </w:rPr>
      </w:pPr>
      <w:r>
        <w:rPr>
          <w:noProof/>
        </w:rPr>
        <w:t>A kezdeményezés nincs hatással az adminisztratív terhekre, mivel az ún. „megahatározathoz” csatolt, a módosításokkal kapcsolatos hivatkozások nem jelentenek új jelentéstételi vagy egyéb adminisztratív kötelezettségeket a vállalatok, köztük a kkv-k számára. Éppen ellenkezőleg, az adminisztratív terhek csökkentése a cél, mivel a világszinten harmonizált követelmények alkalmazása lehetővé teszi a gyártók számára, hogy az EU-n túlmenően az 1958. évi megállapodás Unión kívüli szerződő feleinek exportpiacain is benyújthassák a járművek rendszereire és alkatrészeire vonatkozó jóváhagyási okmányokat.</w:t>
      </w:r>
    </w:p>
    <w:p>
      <w:pPr>
        <w:rPr>
          <w:noProof/>
        </w:rPr>
      </w:pPr>
      <w:r>
        <w:rPr>
          <w:noProof/>
        </w:rPr>
        <w:t>A javaslat igen kedvező hatással van a gépjárművek uniós versenyképességére és nemzetközi kereskedelmére. A kereskedelmet érintő nem vámjellegű akadályok felszámolására és az uniós gépjárműipari vállalkozások piacra jutásának lehetővé tételére vagy bővítésére elismerten az a legjobb módszer, ha az Unió kereskedelmi partnerei elismerik a nemzetközileg harmonizált járműelőírásokat.</w:t>
      </w:r>
    </w:p>
    <w:p>
      <w:pPr>
        <w:pStyle w:val="ManualHeading2"/>
        <w:rPr>
          <w:rFonts w:eastAsia="Arial Unicode MS"/>
          <w:noProof/>
          <w:u w:color="000000"/>
          <w:bdr w:val="nil"/>
        </w:rPr>
      </w:pPr>
      <w:r>
        <w:rPr>
          <w:noProof/>
        </w:rPr>
        <w:t>•</w:t>
      </w:r>
      <w:r>
        <w:rPr>
          <w:noProof/>
        </w:rPr>
        <w:tab/>
        <w:t>Alapjogok</w:t>
      </w:r>
    </w:p>
    <w:p>
      <w:pPr>
        <w:rPr>
          <w:noProof/>
        </w:rPr>
      </w:pPr>
      <w:r>
        <w:rPr>
          <w:noProof/>
        </w:rPr>
        <w:t>A javaslat nem érinti az alapjogok védelmét.</w:t>
      </w:r>
    </w:p>
    <w:p>
      <w:pPr>
        <w:pStyle w:val="ManualHeading1"/>
        <w:rPr>
          <w:noProof/>
        </w:rPr>
      </w:pPr>
      <w:r>
        <w:rPr>
          <w:noProof/>
        </w:rPr>
        <w:t>5.</w:t>
      </w:r>
      <w:r>
        <w:rPr>
          <w:noProof/>
        </w:rPr>
        <w:tab/>
        <w:t>KÖLTSÉGVETÉSI VONZATOK</w:t>
      </w:r>
    </w:p>
    <w:p>
      <w:pPr>
        <w:rPr>
          <w:noProof/>
        </w:rPr>
      </w:pPr>
      <w:r>
        <w:rPr>
          <w:noProof/>
        </w:rPr>
        <w:t>A kezdeményezésnek nincsenek költségvetési vonzatai.</w:t>
      </w:r>
    </w:p>
    <w:p>
      <w:pPr>
        <w:pStyle w:val="ManualHeading1"/>
        <w:rPr>
          <w:noProof/>
        </w:rPr>
      </w:pPr>
      <w:r>
        <w:rPr>
          <w:noProof/>
        </w:rPr>
        <w:t>6.</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rPr>
          <w:noProof/>
        </w:rPr>
      </w:pPr>
      <w:r>
        <w:rPr>
          <w:noProof/>
        </w:rPr>
        <w:t>Tárgytalan.</w:t>
      </w:r>
    </w:p>
    <w:p>
      <w:pPr>
        <w:pStyle w:val="ManualHeading2"/>
        <w:rPr>
          <w:rFonts w:eastAsia="Arial Unicode MS"/>
          <w:noProof/>
          <w:u w:color="000000"/>
          <w:bdr w:val="nil"/>
        </w:rPr>
      </w:pPr>
      <w:r>
        <w:rPr>
          <w:noProof/>
        </w:rPr>
        <w:lastRenderedPageBreak/>
        <w:t>•</w:t>
      </w:r>
      <w:r>
        <w:rPr>
          <w:noProof/>
        </w:rPr>
        <w:tab/>
        <w:t>Magyarázó dokumentumok (irányelvek esetén)</w:t>
      </w:r>
    </w:p>
    <w:p>
      <w:pPr>
        <w:rPr>
          <w:noProof/>
        </w:rPr>
      </w:pPr>
      <w:r>
        <w:rPr>
          <w:noProof/>
        </w:rPr>
        <w:t>Tárgytalan.</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rPr>
      </w:pPr>
      <w:r>
        <w:rPr>
          <w:noProof/>
        </w:rPr>
        <w:t xml:space="preserve">A javaslat meghatározza </w:t>
      </w:r>
    </w:p>
    <w:p>
      <w:pPr>
        <w:pStyle w:val="Tiret0"/>
        <w:numPr>
          <w:ilvl w:val="0"/>
          <w:numId w:val="10"/>
        </w:numPr>
        <w:rPr>
          <w:noProof/>
        </w:rPr>
      </w:pPr>
      <w:r>
        <w:rPr>
          <w:noProof/>
        </w:rPr>
        <w:t xml:space="preserve">az ENSZ 14., 17., 24., 30., 44., 51., 64., 75., 78., 79., 83., 85., 90., 115., 117., 129., 138., 139., 140. és 145. számú előírásának módosításaira irányuló javaslatokról; </w:t>
      </w:r>
    </w:p>
    <w:p>
      <w:pPr>
        <w:pStyle w:val="Tiret0"/>
        <w:rPr>
          <w:noProof/>
        </w:rPr>
      </w:pPr>
      <w:r>
        <w:rPr>
          <w:noProof/>
        </w:rPr>
        <w:t>a 15. és 19. számú globális műszaki előírás módosításaira irányuló javaslatokról;</w:t>
      </w:r>
    </w:p>
    <w:p>
      <w:pPr>
        <w:pStyle w:val="Tiret0"/>
        <w:rPr>
          <w:noProof/>
        </w:rPr>
      </w:pPr>
      <w:r>
        <w:rPr>
          <w:noProof/>
        </w:rPr>
        <w:t xml:space="preserve">az M.R.2 kölcsönösen elfogadott határozat módosítására irányuló javaslatról, </w:t>
      </w:r>
    </w:p>
    <w:p>
      <w:pPr>
        <w:pStyle w:val="Tiret0"/>
        <w:rPr>
          <w:noProof/>
        </w:rPr>
      </w:pPr>
      <w:r>
        <w:rPr>
          <w:noProof/>
        </w:rPr>
        <w:t>egy új ENSZ-előírásra irányuló javaslatról, valamint</w:t>
      </w:r>
    </w:p>
    <w:p>
      <w:pPr>
        <w:pStyle w:val="Tiret0"/>
        <w:rPr>
          <w:noProof/>
        </w:rPr>
        <w:sectPr>
          <w:footerReference w:type="default" r:id="rId16"/>
          <w:footerReference w:type="first" r:id="rId17"/>
          <w:pgSz w:w="11907" w:h="16839"/>
          <w:pgMar w:top="1134" w:right="1417" w:bottom="1134" w:left="1417" w:header="709" w:footer="709" w:gutter="0"/>
          <w:pgNumType w:start="1"/>
          <w:cols w:space="708"/>
          <w:docGrid w:linePitch="360"/>
        </w:sectPr>
      </w:pPr>
      <w:r>
        <w:rPr>
          <w:noProof/>
        </w:rPr>
        <w:t>a globális műszaki előírások kidolgozására vonatkozó engedélyekre irányuló három (módosítási) javaslatról szóló szavazáskor képviselendő uniós álláspontot.</w:t>
      </w:r>
    </w:p>
    <w:p>
      <w:pPr>
        <w:pStyle w:val="Rfrenceinterinstitutionnelle"/>
        <w:rPr>
          <w:noProof/>
        </w:rPr>
      </w:pPr>
      <w:r>
        <w:rPr>
          <w:noProof/>
        </w:rPr>
        <w:lastRenderedPageBreak/>
        <w:t>2019/0124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az ENSZ Európai Gazdasági Bizottságának megfelelő bizottságaiban az ENSZ 14., 17., 24., 30., 44., 51., 64., 75., 78., 79., 83., 85., 90., 115., 117., 129., 138., 139., 140. és 145. számú előírásának módosításaira irányuló javaslatok, a 15. és 19. számú globális műszaki előírás módosításaira irányuló javaslatok, az M.R.2 kölcsönösen elfogadott határozat módosítására irányuló javaslat, egy új ENSZ-előírásra irányuló javaslat, valamint a globális műszaki előírások kidolgozására vonatkozó engedélyekre irányuló három (módosítási) javaslat tekintetében képviselendő álláspontról</w:t>
      </w:r>
      <w:r>
        <w:rPr>
          <w:noProof/>
        </w:rPr>
        <w:br/>
      </w:r>
    </w:p>
    <w:p>
      <w:pPr>
        <w:pStyle w:val="Institutionquiagit"/>
        <w:rPr>
          <w:noProof/>
        </w:rPr>
      </w:pPr>
      <w:r>
        <w:rPr>
          <w:noProof/>
        </w:rPr>
        <w:t>AZ EURÓPAI UNIÓ TANÁCSA,</w:t>
      </w:r>
    </w:p>
    <w:p>
      <w:pPr>
        <w:rPr>
          <w:noProof/>
        </w:rPr>
      </w:pPr>
      <w:r>
        <w:rPr>
          <w:noProof/>
        </w:rPr>
        <w:t>tekintettel az Európai Unió működéséről szóló szerződésre és különösen annak 114. cikkére, összefüggésben 218. cikke (9)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Unió a 97/836/EK tanácsi határozattal</w:t>
      </w:r>
      <w:r>
        <w:rPr>
          <w:rStyle w:val="FootnoteReference"/>
          <w:noProof/>
        </w:rPr>
        <w:footnoteReference w:id="1"/>
      </w:r>
      <w:r>
        <w:rPr>
          <w:noProof/>
        </w:rPr>
        <w:t xml:space="preserve"> csatlakozott az ENSZ Európai Gazdasági Bizottságának (a továbbiakban: ENSZ EGB) a kerekes járművekre és az azokba szerelhető, illetve az azokon használható berendezésekre és tartozékokra vonatkozó egységes műszaki előírások elfogadásáról, valamint az ezen előírások alapján kibocsátott jóváhagyások kölcsönös elismerésének feltételeiről szóló megállapodásához (a továbbiakban: az 1958. évi felülvizsgált megállapodás). Az 1958. évi felülvizsgált megállapodás 1998. március 24-én lépett hatályba.</w:t>
      </w:r>
    </w:p>
    <w:p>
      <w:pPr>
        <w:pStyle w:val="ManualConsidrant"/>
        <w:rPr>
          <w:noProof/>
        </w:rPr>
      </w:pPr>
      <w:r>
        <w:t>(2)</w:t>
      </w:r>
      <w:r>
        <w:tab/>
      </w:r>
      <w:r>
        <w:rPr>
          <w:noProof/>
        </w:rPr>
        <w:t>A 2000/125/EK tanácsi határozattal</w:t>
      </w:r>
      <w:r>
        <w:rPr>
          <w:rStyle w:val="FootnoteReference"/>
          <w:noProof/>
        </w:rPr>
        <w:footnoteReference w:id="2"/>
      </w:r>
      <w:r>
        <w:rPr>
          <w:noProof/>
        </w:rPr>
        <w:t xml:space="preserve"> az Unió csatlakozott a kerekes járművekről, valamint a kerekes járművekre felszerelhető és/vagy azokon használható berendezésekre és felszerelésekre vonatkozó globális műszaki előírások kidolgozásáról szóló megállapodáshoz (a továbbiakban: a párhuzamos megállapodás). A párhuzamos megállapodás 2000. február 15-én lépett hatályba.</w:t>
      </w:r>
    </w:p>
    <w:p>
      <w:pPr>
        <w:pStyle w:val="ManualConsidrant"/>
        <w:rPr>
          <w:noProof/>
        </w:rPr>
      </w:pPr>
      <w:r>
        <w:t>(3)</w:t>
      </w:r>
      <w:r>
        <w:tab/>
      </w:r>
      <w:r>
        <w:rPr>
          <w:noProof/>
        </w:rPr>
        <w:t xml:space="preserve">Az 1958. évi felülvizsgált megállapodás 1. cikke és a párhuzamos megállapodás 6. cikke szerint az 1958. évi felülvizsgált megállapodás értelmében létrehozott igazgatási bizottság, valamint a párhuzamos megállapodás értelmében létrehozott végrehajtó bizottság (a továbbiakban: az ENSZ Európai Gazdasági Bizottságának megfelelő </w:t>
      </w:r>
      <w:r>
        <w:rPr>
          <w:noProof/>
        </w:rPr>
        <w:lastRenderedPageBreak/>
        <w:t>bizottságai) elfogadhatja az ENSZ 14., 17., 24., 30., 44., 51., 64., 75., 78., 79., 83., 85., 90., 115., 117., 129., 138., 139., 140. és 145. számú előírásának módosításaira irányuló javaslatokat, a 15. és 19. számú globális műszaki előírás módosításaira irányuló javaslatokat, az M.R.2 kölcsönösen elfogadott határozat módosítására irányuló javaslatot, egy új ENSZ-előírásra irányuló javaslatot, illetve a globális műszaki előírások kidolgozására vonatkozó engedélyekre irányuló három (módosítási) javaslatot (a továbbiakban: megahatározat).</w:t>
      </w:r>
    </w:p>
    <w:p>
      <w:pPr>
        <w:pStyle w:val="ManualConsidrant"/>
        <w:rPr>
          <w:noProof/>
        </w:rPr>
      </w:pPr>
      <w:r>
        <w:t>(4)</w:t>
      </w:r>
      <w:r>
        <w:tab/>
      </w:r>
      <w:r>
        <w:rPr>
          <w:noProof/>
        </w:rPr>
        <w:t>Az ENSZ Európai Gazdasági Bizottságának megfelelő bizottságai a Világfórum 2019. június 24. és 28. között tartandó 178. ülésszakán megahatározatot terveznek elfogadni a kerekes járművekre és az azokba szerelhető, illetve az azokon használható berendezésekre és tartozékokra vonatkozó adminisztratív rendelkezésekkel és egységes műszaki előírásokkal, valamint az ezen előírások alapján kibocsátott jóváhagyásokkal kapcsolatban</w:t>
      </w:r>
      <w:r>
        <w:t>.</w:t>
      </w:r>
    </w:p>
    <w:p>
      <w:pPr>
        <w:pStyle w:val="ManualConsidrant"/>
        <w:rPr>
          <w:noProof/>
        </w:rPr>
      </w:pPr>
      <w:r>
        <w:t>(5)</w:t>
      </w:r>
      <w:r>
        <w:tab/>
      </w:r>
      <w:r>
        <w:rPr>
          <w:noProof/>
        </w:rPr>
        <w:t>Helyénvaló meghatározni az ENSZ Európai Gazdasági Bizottságának megfelelő bizottságaiban az Unió nevében az ENSZ-előírások elfogadására irányuló javaslattal kapcsolatban képviselendő álláspontot, mivel az előírások kötelező érvényűek lesznek az Unióra nézve, és meghatározó módon befolyásolhatják majd az uniós szabályozás tartalmát a jármű-típusjóváhagyás területén.</w:t>
      </w:r>
    </w:p>
    <w:p>
      <w:pPr>
        <w:pStyle w:val="ManualConsidrant"/>
        <w:rPr>
          <w:noProof/>
        </w:rPr>
      </w:pPr>
      <w:r>
        <w:t>(6)</w:t>
      </w:r>
      <w:r>
        <w:tab/>
      </w:r>
      <w:r>
        <w:rPr>
          <w:noProof/>
        </w:rPr>
        <w:t>A 2007/46/EK európai parlamenti és tanácsi irányelv</w:t>
      </w:r>
      <w:r>
        <w:rPr>
          <w:rStyle w:val="FootnoteReference"/>
          <w:noProof/>
        </w:rPr>
        <w:footnoteReference w:id="3"/>
      </w:r>
      <w:r>
        <w:rPr>
          <w:noProof/>
        </w:rPr>
        <w:t xml:space="preserve"> a tagállamok jóváhagyási rendszereit egy uniós jóváhagyási eljárással váltotta fel, és olyan harmonizált keretrendszert hozott létre, amely az adminisztratív rendelkezéseket és az általános műszaki követelményeket valamennyi új járműre, valamint azok rendszereire, alkatrészeire és önálló műszaki egységeire vonatkozóan magában foglalja. Az irányelv vagy típusjóváhagyási követelmény formájában, vagy az uniós jogszabályok alternatívájaként beépítette az 1958. évi felülvizsgált megállapodás alapján elfogadott előírásokat (a továbbiakban: ENSZ-előírások) az EU típusjóváhagyási rendszerébe. A 2007/46/EK irányelv elfogadása óta egyre több ENSZ-előírás épült be az uniós jogszabályokba.  </w:t>
      </w:r>
    </w:p>
    <w:p>
      <w:pPr>
        <w:pStyle w:val="ManualConsidrant"/>
        <w:rPr>
          <w:noProof/>
        </w:rPr>
      </w:pPr>
      <w:r>
        <w:t>(7)</w:t>
      </w:r>
      <w:r>
        <w:tab/>
      </w:r>
      <w:r>
        <w:rPr>
          <w:noProof/>
        </w:rPr>
        <w:t>A tapasztalatok és a műszaki fejlődés fényében az ENSZ 17., 24., 30., 44., 64., 75., 78., 79., 83., 85., 90., 115., 117., 129., 138., 139. és 140. számú előírása által érintett egyes elemekkel vagy tulajdonságokkal kapcsolatos követelményeket ki kell egészíteni, illetve egyes, a 15. és 19. számú globális műszaki előírás által érintetteteket módosítani kell. Ezen túlmenően a 14., 51., 83., 129. és 145. számú ENSZ-előírások, illetve a 15. globális műszaki előírás egyes rendelkezéseit helyesbíteni kell. Végezetül pedig új követelményeket kell elfogadni a fejlett vészfékező rendszerre vonatkozóan.</w:t>
      </w:r>
    </w:p>
    <w:p>
      <w:pPr>
        <w:rPr>
          <w:noProof/>
        </w:rPr>
      </w:pPr>
    </w:p>
    <w:p>
      <w:pPr>
        <w:pStyle w:val="Formuledadoption"/>
        <w:rPr>
          <w:noProof/>
        </w:rPr>
      </w:pPr>
      <w:r>
        <w:rPr>
          <w:noProof/>
        </w:rPr>
        <w:t>ELFOGADTA EZT A HATÁROZATOT:</w:t>
      </w:r>
    </w:p>
    <w:p>
      <w:pPr>
        <w:pStyle w:val="Titrearticle"/>
        <w:rPr>
          <w:noProof/>
        </w:rPr>
      </w:pPr>
      <w:r>
        <w:rPr>
          <w:noProof/>
        </w:rPr>
        <w:t>1. cikk</w:t>
      </w:r>
    </w:p>
    <w:p>
      <w:pPr>
        <w:rPr>
          <w:noProof/>
        </w:rPr>
      </w:pPr>
      <w:r>
        <w:rPr>
          <w:noProof/>
        </w:rPr>
        <w:t xml:space="preserve">Az 1958. évi felülvizsgált megállapodás értelmében létrehozott igazgatási bizottságban, valamint a párhuzamos megállapodás értelmében létrehozott végrehajtó bizottságban a Világfórum 2019. június 24. és 28. között megtartandó </w:t>
      </w:r>
      <w:r>
        <w:rPr>
          <w:noProof/>
          <w:spacing w:val="-4"/>
          <w:sz w:val="23"/>
        </w:rPr>
        <w:t>178. ülésszakán</w:t>
      </w:r>
      <w:r>
        <w:rPr>
          <w:noProof/>
        </w:rPr>
        <w:t xml:space="preserve"> az Unió által képviselendő álláspont az, hogy az e határozat mellékletében felsorolt javaslatok mellett kell szavazni.</w:t>
      </w:r>
    </w:p>
    <w:p>
      <w:pPr>
        <w:jc w:val="center"/>
        <w:rPr>
          <w:i/>
          <w:noProof/>
        </w:rPr>
      </w:pPr>
      <w:r>
        <w:rPr>
          <w:i/>
          <w:noProof/>
        </w:rPr>
        <w:lastRenderedPageBreak/>
        <w:t>2. cikk</w:t>
      </w:r>
    </w:p>
    <w:p>
      <w:pPr>
        <w:rPr>
          <w:noProof/>
        </w:rPr>
      </w:pPr>
      <w:r>
        <w:rPr>
          <w:noProof/>
        </w:rPr>
        <w:t>Ennek a határozatnak a Bizottság a címzettje.</w:t>
      </w:r>
    </w:p>
    <w:p>
      <w:pPr>
        <w:pStyle w:val="Fait"/>
        <w:rPr>
          <w:noProof/>
        </w:rPr>
      </w:pPr>
      <w:r>
        <w:t>Kelt Brüsszelben, -án/-én.</w:t>
      </w:r>
    </w:p>
    <w:p>
      <w:pPr>
        <w:pStyle w:val="Institutionquisigne"/>
        <w:spacing w:before="120"/>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Tanács 97/836/EK határozata (1997. november 27.) az Európai Közösségnek az ENSZ Európai Gazdasági Bizottságának a kerekes járművekre és az azokba szerelhető, illetve az azokon használható berendezésekre és tartozékokra vonatkozó egységes műszaki előírások elfogadásáról, valamint az ezen előírások alapján kibocsátott jóváhagyások kölcsönös elismerésének feltételeiről szóló megállapodásához (1958. évi felülvizsgált megállapodás) való csatlakozásáról (HL L 346., 1997.12.17., 78. o.).</w:t>
      </w:r>
    </w:p>
  </w:footnote>
  <w:footnote w:id="2">
    <w:p>
      <w:pPr>
        <w:pStyle w:val="FootnoteText"/>
      </w:pPr>
      <w:r>
        <w:rPr>
          <w:rStyle w:val="FootnoteReference"/>
        </w:rPr>
        <w:footnoteRef/>
      </w:r>
      <w:r>
        <w:tab/>
        <w:t>A Tanács 2000/125/EK határozata (2000. január 31.) a kerekes járművekről, valamint a kerekes járművekre felszerelhető és/vagy azokon használható berendezésekről és felszerelésekről szóló globális műszaki előírások kidolgozására irányuló megállapodás megkötéséről (párhuzamos megállapodás) (HL L 35., 2000.2.10., 12. o.).</w:t>
      </w:r>
    </w:p>
  </w:footnote>
  <w:footnote w:id="3">
    <w:p>
      <w:pPr>
        <w:pStyle w:val="FootnoteText"/>
      </w:pPr>
      <w:r>
        <w:rPr>
          <w:rStyle w:val="FootnoteReference"/>
        </w:rPr>
        <w:footnoteRef/>
      </w:r>
      <w:r>
        <w:tab/>
        <w:t>Az Európai Parlament és a Tanács 2007/46/EK irányelve (2007. szeptember 5.) a gépjárművek és pótkocsijaik, valamint az ilyen járművek rendszereinek, alkatrészeinek és önálló műszaki egységeinek jóváhagyásáról (keretirányelv) (HL L 263., 2007.10.9.,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oNotTrackFormatting/>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8 09:21: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A423008-06E1-4F7F-9FAC-FBE8F9E179EF"/>
    <w:docVar w:name="LW_COVERPAGE_TYPE" w:val="1"/>
    <w:docVar w:name="LW_CROSSREFERENCE" w:val="&lt;UNUSED&gt;"/>
    <w:docVar w:name="LW_DocType" w:val="COM"/>
    <w:docVar w:name="LW_EMISSION" w:val="2019.6.5."/>
    <w:docVar w:name="LW_EMISSION_ISODATE" w:val="2019-06-05"/>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24"/>
    <w:docVar w:name="LW_REF.II.NEW.CP_YEAR" w:val="2019"/>
    <w:docVar w:name="LW_REF.INST.NEW" w:val="COM"/>
    <w:docVar w:name="LW_REF.INST.NEW_ADOPTED" w:val="final"/>
    <w:docVar w:name="LW_REF.INST.NEW_TEXT" w:val="(2019) 2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Európai Unió által az ENSZ Európai Gazdasági Bizottságának megfelel\u337? bizottságaiban az ENSZ 14., 17., 24., 30., 44., 51., 64., 75., 78., 79., 83., 85., 90., 115., 117., 129., 138., 139., 140. és 145. számú el\u337?írásának módosításaira irányuló javaslatok, a 15. és 19. számú globális m\u369?szaki el\u337?írás módosításaira irányuló javaslatok, az M.R.2 kölcsönösen elfogadott határozat módosítására irányuló javaslat, egy új ENSZ-el\u337?írásra irányuló javaslat, valamint a globális m\u369?szaki el\u337?írások kidolgozására vonatkozó engedélyekre irányuló három (módosítási) javaslat tekintetében képviselend\u337? álláspontról_x000b_"/>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5023-5471-46C4-AFC9-F20B04E7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1764</Words>
  <Characters>12617</Characters>
  <Application>Microsoft Office Word</Application>
  <DocSecurity>0</DocSecurity>
  <Lines>221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2019-05-22T09:12:00Z</cp:lastPrinted>
  <dcterms:created xsi:type="dcterms:W3CDTF">2019-05-22T14:31:00Z</dcterms:created>
  <dcterms:modified xsi:type="dcterms:W3CDTF">2019-05-28T07:21:00Z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