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A8B7735-A7EA-40DE-A65F-65109A771F4A" style="width:450.4pt;height:46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ALLEGATO</w:t>
      </w:r>
    </w:p>
    <w:p>
      <w:pPr>
        <w:rPr>
          <w:noProof/>
        </w:rPr>
      </w:pPr>
    </w:p>
    <w:tbl>
      <w:tblPr>
        <w:tblW w:w="9087" w:type="dxa"/>
        <w:tblInd w:w="93" w:type="dxa"/>
        <w:tblLook w:val="04A0" w:firstRow="1" w:lastRow="0" w:firstColumn="1" w:lastColumn="0" w:noHBand="0" w:noVBand="1"/>
      </w:tblPr>
      <w:tblGrid>
        <w:gridCol w:w="1338"/>
        <w:gridCol w:w="4499"/>
        <w:gridCol w:w="3250"/>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Regolamento n.</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Titolo del punto dell'ordine del giorno</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Riferimento del documento</w:t>
            </w:r>
            <w:r>
              <w:rPr>
                <w:rStyle w:val="FootnoteReference"/>
                <w:rFonts w:eastAsia="Times New Roman"/>
                <w:b/>
                <w:bCs/>
                <w:noProof/>
                <w:sz w:val="20"/>
                <w:szCs w:val="20"/>
                <w:lang w:eastAsia="en-GB"/>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rettifica 1 del supplemento 6 alla serie di modifiche 07 del regolamento delle Nazioni Unite n. 14 (Ancoraggi delle cinture di sicurezza)</w:t>
            </w:r>
          </w:p>
        </w:tc>
        <w:tc>
          <w:tcPr>
            <w:tcW w:w="3250" w:type="dxa"/>
            <w:tcBorders>
              <w:top w:val="nil"/>
              <w:left w:val="nil"/>
              <w:bottom w:val="single" w:sz="4" w:space="0" w:color="auto"/>
              <w:right w:val="single" w:sz="4" w:space="0" w:color="auto"/>
            </w:tcBorders>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ECE/TRANS/WP.29/2019/56</w:t>
            </w:r>
          </w:p>
          <w:p>
            <w:pPr>
              <w:rPr>
                <w:noProof/>
                <w:sz w:val="20"/>
                <w:szCs w:val="20"/>
              </w:rPr>
            </w:pP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1 alla serie di modifiche 09 del regolamento delle Nazioni Unite n. 17 (Resistenza dei sedili)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24</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5 alla serie di modifiche 03 del regolamento delle Nazioni Unite n. 24 [Inquinanti visibili, misurazione della potenza di un motore ad accensione spontanea (fumi dei motori diesel)]</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30</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Proposta di supplemento 21 alla serie di modifiche 02 del regolamento delle Nazioni Unite n. 30 (Pneumatici per autovetture e relativi rimorchi)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ECE/TRANS/WP.29/2019/50</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44</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16 alla serie di modifiche 04 del regolamento delle Nazioni Unite n. 44 (Sistemi di ritenuta per bambini)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51</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Proposta di rettifica del supplemento 4 alla serie di modifiche 03 del regolamento delle Nazioni Unite n. 51 (Rumorosità dei veicoli delle categorie M e 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64</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Proposta di supplemento 1 alla serie di modifiche 03 del regolamento delle Nazioni Unite n. 64 (Unità di scorta per uso temporaneo, pneumatici antiforatura)</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75</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Proposta di supplemento 18 alla serie originale di modifiche del regolamento delle Nazioni Unite n. 75 (Pneumatici per motocicli/ciclomotori)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78</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1 alla serie di modifiche 04 del regolamento delle Nazioni Unite n. 78 (Frenatura dei motocicli)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1 alla serie di modifiche 03 del regolamento delle Nazioni Unite n. 79 (Equipaggiamento sterzo)</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ECE/TRANS/WP.29/2019/73</w:t>
            </w:r>
          </w:p>
          <w:p>
            <w:pPr>
              <w:rPr>
                <w:noProof/>
                <w:sz w:val="20"/>
                <w:szCs w:val="20"/>
              </w:rPr>
            </w:pP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13 alla serie di modifiche 06 del regolamento delle Nazioni Unite n. 83 (Emissioni dei veicoli di categoria M</w:t>
            </w:r>
            <w:r>
              <w:rPr>
                <w:noProof/>
                <w:sz w:val="20"/>
                <w:szCs w:val="20"/>
                <w:vertAlign w:val="subscript"/>
              </w:rPr>
              <w:t>1</w:t>
            </w:r>
            <w:r>
              <w:rPr>
                <w:noProof/>
                <w:sz w:val="20"/>
                <w:szCs w:val="20"/>
              </w:rPr>
              <w:t xml:space="preserve"> e N</w:t>
            </w:r>
            <w:r>
              <w:rPr>
                <w:noProof/>
                <w:sz w:val="20"/>
                <w:szCs w:val="20"/>
                <w:vertAlign w:val="subscript"/>
              </w:rPr>
              <w:t>1</w:t>
            </w:r>
            <w:r>
              <w:rPr>
                <w:noProof/>
                <w:sz w:val="20"/>
                <w:szCs w:val="20"/>
              </w:rPr>
              <w:t>)</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9 alla serie di modifiche 07 del regolamento delle Nazioni Unite n. 83 (Emissioni dei veicoli di categoria M</w:t>
            </w:r>
            <w:r>
              <w:rPr>
                <w:noProof/>
                <w:sz w:val="20"/>
                <w:szCs w:val="20"/>
                <w:vertAlign w:val="subscript"/>
              </w:rPr>
              <w:t>1</w:t>
            </w:r>
            <w:r>
              <w:rPr>
                <w:noProof/>
                <w:sz w:val="20"/>
                <w:szCs w:val="20"/>
              </w:rPr>
              <w:t xml:space="preserve"> e N</w:t>
            </w:r>
            <w:r>
              <w:rPr>
                <w:noProof/>
                <w:sz w:val="20"/>
                <w:szCs w:val="20"/>
                <w:vertAlign w:val="subscript"/>
              </w:rPr>
              <w:t>1</w:t>
            </w:r>
            <w:r>
              <w:rPr>
                <w:noProof/>
                <w:sz w:val="20"/>
                <w:szCs w:val="20"/>
              </w:rPr>
              <w:t>)</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rPr>
                <w:noProof/>
                <w:sz w:val="20"/>
                <w:szCs w:val="20"/>
              </w:rPr>
            </w:pPr>
            <w:bookmarkStart w:id="1" w:name="_Hlk535939191"/>
            <w:r>
              <w:rPr>
                <w:noProof/>
                <w:sz w:val="20"/>
                <w:szCs w:val="20"/>
              </w:rPr>
              <w:t>Proposta di rettifica 1 del supplemento 8 alla serie di modifiche 07 del regolamento delle Nazioni Unite n. 83 (Emissioni dei veicoli di categoria M</w:t>
            </w:r>
            <w:r>
              <w:rPr>
                <w:noProof/>
                <w:sz w:val="20"/>
                <w:szCs w:val="20"/>
                <w:vertAlign w:val="subscript"/>
              </w:rPr>
              <w:t>1</w:t>
            </w:r>
            <w:r>
              <w:rPr>
                <w:noProof/>
                <w:sz w:val="20"/>
                <w:szCs w:val="20"/>
              </w:rPr>
              <w:t xml:space="preserve"> e N</w:t>
            </w:r>
            <w:r>
              <w:rPr>
                <w:noProof/>
                <w:sz w:val="20"/>
                <w:szCs w:val="20"/>
                <w:vertAlign w:val="subscript"/>
              </w:rPr>
              <w:t>1</w:t>
            </w:r>
            <w:r>
              <w:rPr>
                <w:noProof/>
                <w:sz w:val="20"/>
                <w:szCs w:val="20"/>
              </w:rPr>
              <w:t>)</w:t>
            </w:r>
            <w:bookmarkEnd w:id="1"/>
          </w:p>
        </w:tc>
        <w:tc>
          <w:tcPr>
            <w:tcW w:w="3250" w:type="dxa"/>
            <w:tcBorders>
              <w:top w:val="nil"/>
              <w:left w:val="nil"/>
              <w:bottom w:val="single" w:sz="4" w:space="0" w:color="auto"/>
              <w:right w:val="single" w:sz="4" w:space="0" w:color="auto"/>
            </w:tcBorders>
            <w:shd w:val="clear" w:color="auto" w:fill="auto"/>
          </w:tcPr>
          <w:p>
            <w:pPr>
              <w:pStyle w:val="SingleTxtG"/>
              <w:spacing w:after="0"/>
              <w:ind w:left="147" w:right="141"/>
              <w:rPr>
                <w:rFonts w:ascii="Times New Roman" w:hAnsi="Times New Roman" w:cs="Times New Roman"/>
                <w:noProof/>
                <w:sz w:val="20"/>
                <w:szCs w:val="20"/>
              </w:rPr>
            </w:pPr>
            <w:r>
              <w:rPr>
                <w:rFonts w:ascii="Times New Roman" w:hAnsi="Times New Roman"/>
                <w:noProof/>
                <w:sz w:val="20"/>
                <w:szCs w:val="20"/>
              </w:rPr>
              <w:t>ECE/TRANS/WP.29/2019/60</w:t>
            </w:r>
          </w:p>
          <w:p>
            <w:pPr>
              <w:rPr>
                <w:noProof/>
                <w:sz w:val="20"/>
                <w:szCs w:val="20"/>
              </w:rPr>
            </w:pP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85</w:t>
            </w:r>
          </w:p>
        </w:tc>
        <w:tc>
          <w:tcPr>
            <w:tcW w:w="4500" w:type="dxa"/>
            <w:tcBorders>
              <w:top w:val="nil"/>
              <w:left w:val="nil"/>
              <w:bottom w:val="single" w:sz="4" w:space="0" w:color="auto"/>
              <w:right w:val="single" w:sz="4" w:space="0" w:color="auto"/>
            </w:tcBorders>
            <w:shd w:val="clear" w:color="auto" w:fill="auto"/>
          </w:tcPr>
          <w:p>
            <w:pPr>
              <w:pStyle w:val="SingleTxtG"/>
              <w:ind w:left="0" w:right="0"/>
              <w:jc w:val="left"/>
              <w:rPr>
                <w:rFonts w:ascii="Times New Roman" w:hAnsi="Times New Roman" w:cs="Times New Roman"/>
                <w:noProof/>
                <w:sz w:val="20"/>
                <w:szCs w:val="20"/>
              </w:rPr>
            </w:pPr>
            <w:bookmarkStart w:id="2" w:name="_Hlk516475680"/>
            <w:r>
              <w:rPr>
                <w:rFonts w:ascii="Times New Roman" w:hAnsi="Times New Roman"/>
                <w:noProof/>
                <w:sz w:val="20"/>
                <w:szCs w:val="20"/>
              </w:rPr>
              <w:t>Proposta di supplemento 9 al regolamento delle Nazioni Unite n. 85 (Misurazione della potenza netta e della potenza su 30 minuti)</w:t>
            </w:r>
            <w:bookmarkEnd w:id="2"/>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90</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Proposta di supplemento 5 alla serie di modifiche 02 del regolamento delle Nazioni Unite n. 90 (Parti di ricambio per freni)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115</w:t>
            </w:r>
          </w:p>
        </w:tc>
        <w:tc>
          <w:tcPr>
            <w:tcW w:w="4500" w:type="dxa"/>
            <w:tcBorders>
              <w:top w:val="nil"/>
              <w:left w:val="nil"/>
              <w:bottom w:val="single" w:sz="4" w:space="0" w:color="auto"/>
              <w:right w:val="single" w:sz="4" w:space="0" w:color="auto"/>
            </w:tcBorders>
            <w:shd w:val="clear" w:color="auto" w:fill="auto"/>
          </w:tcPr>
          <w:p>
            <w:pPr>
              <w:pStyle w:val="SingleTxtG"/>
              <w:ind w:left="0" w:right="0"/>
              <w:jc w:val="left"/>
              <w:rPr>
                <w:rFonts w:ascii="Times New Roman" w:hAnsi="Times New Roman" w:cs="Times New Roman"/>
                <w:noProof/>
                <w:sz w:val="20"/>
                <w:szCs w:val="20"/>
              </w:rPr>
            </w:pPr>
            <w:bookmarkStart w:id="3" w:name="_Hlk516475775"/>
            <w:r>
              <w:rPr>
                <w:rFonts w:ascii="Times New Roman" w:hAnsi="Times New Roman"/>
                <w:noProof/>
                <w:sz w:val="20"/>
                <w:szCs w:val="20"/>
              </w:rPr>
              <w:t>Proposta di supplemento 8 al regolamento delle Nazioni Unite n. 115 (Impianti di trasformazione a GPL e GNC)</w:t>
            </w:r>
            <w:bookmarkEnd w:id="3"/>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ECE/TRANS/WP.29/2019/45</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117</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Proposta di supplemento 10 alla serie di modifiche 02 del regolamento delle Nazioni Unite n. 117 (Resistenza al rotolamento, rumore di rotolamento e aderenza sul bagnato degli pneumatici)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Proposta di supplemento 9 alla serie originale di modifiche del regolamento delle Nazioni Unite n. 129 (Dispositivi avanzati di ritenuta per bambini)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ECE/TRANS/WP.29/2019/37</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Proposta di supplemento 6 alla serie di modifiche 01 del regolamento delle Nazioni Unite n. 129 (Dispositivi avanzati di ritenuta per bambini)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ECE/TRANS/WP.29/2019/38</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5 alla serie di modifiche 02 del regolamento delle Nazioni Unite n. 129 (Dispositivi avanzati di ritenuta per bambini)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ECE/TRANS/WP.29/2019/39</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2 alla serie di modifiche 03 del regolamento delle Nazioni Unite n. 129 (Dispositivi avanzati di ritenuta per bambini)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ECE/TRANS/WP.29/2019/40</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Proposta di rettifica 3 della versione originale del regolamento delle Nazioni Unite n. 129 (Dispositivi avanzati di ritenuta per bambini)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ECE/TRANS/WP.29/2019/58</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rettifica 1 della serie di modifiche 03 del regolamento delle Nazioni Unite n. 129 (Dispositivi avanzati di ritenuta per bambini)</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ECE/TRANS/WP.29/2019/59</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138</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Proposta di supplemento 1 alla serie di modifiche 01 del regolamento delle Nazioni Unite n. 138 (Veicoli silenziosi adibiti al trasporto su strada)</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ECE/TRANS/WP.29/2019/55</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2 al regolamento delle Nazioni Unite n. 139 (Sistema di assistenza alla frenata)</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ECE/TRANS/WP.29/2019/48</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140</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Proposta di supplemento 3 al regolamento delle Nazioni Unite n. 140 (Sistema elettronico di controllo della stabilità)</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ECE/TRANS/WP.29/2019/49</w:t>
            </w:r>
          </w:p>
        </w:tc>
      </w:tr>
      <w:tr>
        <w:trPr>
          <w:trHeight w:val="58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145</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noProof/>
                <w:sz w:val="20"/>
                <w:szCs w:val="20"/>
              </w:rPr>
              <w:t>Proposta di rettifica 1 della versione originale del regolamento delle Nazioni Unite n. 145 (Sistemi di ancoraggio ISOFIX, ancoraggi delle imbracature superiori ISOFIX e posti a sedere i-Size</w:t>
            </w:r>
            <w:r>
              <w:rPr>
                <w:bCs/>
                <w:noProof/>
                <w:sz w:val="20"/>
                <w:szCs w:val="20"/>
              </w:rPr>
              <w:t>)</w:t>
            </w:r>
          </w:p>
        </w:tc>
        <w:tc>
          <w:tcPr>
            <w:tcW w:w="3250" w:type="dxa"/>
            <w:tcBorders>
              <w:top w:val="nil"/>
              <w:left w:val="nil"/>
              <w:bottom w:val="single" w:sz="4" w:space="0" w:color="auto"/>
              <w:right w:val="single" w:sz="4" w:space="0" w:color="auto"/>
            </w:tcBorders>
            <w:shd w:val="clear" w:color="auto" w:fill="auto"/>
          </w:tcPr>
          <w:p>
            <w:pPr>
              <w:pStyle w:val="SingleTxtG"/>
              <w:spacing w:after="0"/>
              <w:ind w:left="147" w:right="141"/>
              <w:rPr>
                <w:rFonts w:ascii="Times New Roman" w:hAnsi="Times New Roman" w:cs="Times New Roman"/>
                <w:noProof/>
                <w:sz w:val="20"/>
                <w:szCs w:val="20"/>
              </w:rPr>
            </w:pPr>
            <w:r>
              <w:rPr>
                <w:rFonts w:ascii="Times New Roman" w:hAnsi="Times New Roman"/>
                <w:noProof/>
                <w:sz w:val="20"/>
                <w:szCs w:val="20"/>
              </w:rPr>
              <w:t>ECE/TRANS/WP.29/2019/57</w:t>
            </w:r>
          </w:p>
          <w:p>
            <w:pPr>
              <w:rPr>
                <w:noProof/>
                <w:sz w:val="20"/>
                <w:szCs w:val="20"/>
              </w:rPr>
            </w:pP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Nuovo regolamento delle Nazioni Unite</w:t>
            </w:r>
          </w:p>
        </w:tc>
        <w:tc>
          <w:tcPr>
            <w:tcW w:w="4500" w:type="dxa"/>
            <w:tcBorders>
              <w:top w:val="single" w:sz="4" w:space="0" w:color="auto"/>
              <w:left w:val="nil"/>
              <w:bottom w:val="single" w:sz="4" w:space="0" w:color="auto"/>
              <w:right w:val="single" w:sz="4" w:space="0" w:color="auto"/>
            </w:tcBorders>
            <w:shd w:val="clear" w:color="auto" w:fill="auto"/>
          </w:tcPr>
          <w:p>
            <w:pPr>
              <w:pStyle w:val="SingleTxtG"/>
              <w:ind w:left="0" w:right="0"/>
              <w:jc w:val="left"/>
              <w:rPr>
                <w:rFonts w:ascii="Times New Roman" w:hAnsi="Times New Roman" w:cs="Times New Roman"/>
                <w:bCs/>
                <w:noProof/>
                <w:sz w:val="20"/>
                <w:szCs w:val="20"/>
              </w:rPr>
            </w:pPr>
            <w:r>
              <w:rPr>
                <w:rFonts w:ascii="Times New Roman" w:hAnsi="Times New Roman"/>
                <w:bCs/>
                <w:noProof/>
                <w:sz w:val="20"/>
                <w:szCs w:val="20"/>
              </w:rPr>
              <w:t xml:space="preserve">Proposta di un nuovo regolamento delle Nazioni Unite </w:t>
            </w:r>
            <w:r>
              <w:rPr>
                <w:rFonts w:ascii="Times New Roman" w:hAnsi="Times New Roman"/>
                <w:noProof/>
                <w:sz w:val="20"/>
                <w:szCs w:val="20"/>
              </w:rPr>
              <w:t>relativo a disposizioni uniformi sull'omologazione dei veicoli a motore per quanto riguarda i dispositivi avanzati di frenata d'emergenza (AEBS) per i veicoli di categoria M</w:t>
            </w:r>
            <w:r>
              <w:rPr>
                <w:rFonts w:ascii="Times New Roman" w:hAnsi="Times New Roman"/>
                <w:noProof/>
                <w:sz w:val="20"/>
                <w:szCs w:val="20"/>
                <w:vertAlign w:val="subscript"/>
              </w:rPr>
              <w:t>1</w:t>
            </w:r>
            <w:r>
              <w:rPr>
                <w:rFonts w:ascii="Times New Roman" w:hAnsi="Times New Roman"/>
                <w:noProof/>
                <w:sz w:val="20"/>
                <w:szCs w:val="20"/>
              </w:rPr>
              <w:t>e N</w:t>
            </w:r>
            <w:r>
              <w:rPr>
                <w:rFonts w:ascii="Times New Roman" w:hAnsi="Times New Roman"/>
                <w:noProof/>
                <w:sz w:val="20"/>
                <w:szCs w:val="20"/>
                <w:vertAlign w:val="subscript"/>
              </w:rPr>
              <w:t>1</w:t>
            </w:r>
          </w:p>
        </w:tc>
        <w:tc>
          <w:tcPr>
            <w:tcW w:w="3250" w:type="dxa"/>
            <w:tcBorders>
              <w:top w:val="single" w:sz="4" w:space="0" w:color="auto"/>
              <w:left w:val="nil"/>
              <w:bottom w:val="single" w:sz="4" w:space="0" w:color="auto"/>
              <w:right w:val="single" w:sz="4" w:space="0" w:color="auto"/>
            </w:tcBorders>
            <w:shd w:val="clear" w:color="auto" w:fill="auto"/>
          </w:tcPr>
          <w:p>
            <w:pPr>
              <w:rPr>
                <w:noProof/>
                <w:sz w:val="20"/>
                <w:szCs w:val="20"/>
              </w:rPr>
            </w:pPr>
            <w:r>
              <w:rPr>
                <w:noProof/>
                <w:sz w:val="20"/>
                <w:szCs w:val="20"/>
              </w:rPr>
              <w:t>ECE/TRANS/WP.29/2019/61</w:t>
            </w:r>
          </w:p>
        </w:tc>
      </w:tr>
    </w:tbl>
    <w:p>
      <w:pPr>
        <w:pStyle w:val="Default"/>
        <w:rPr>
          <w:rFonts w:eastAsia="MS Mincho"/>
          <w:noProof/>
          <w:color w:val="auto"/>
          <w:sz w:val="20"/>
          <w:szCs w:val="20"/>
          <w:lang w:eastAsia="ja-JP"/>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GTR n.</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Titolo del punto dell'ordine del giorno</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Riferimento del documento</w:t>
            </w:r>
          </w:p>
        </w:tc>
      </w:tr>
      <w:tr>
        <w:trPr>
          <w:trHeight w:val="600"/>
        </w:trPr>
        <w:tc>
          <w:tcPr>
            <w:tcW w:w="1291" w:type="dxa"/>
            <w:shd w:val="clear" w:color="auto" w:fill="auto"/>
          </w:tcPr>
          <w:p>
            <w:pPr>
              <w:rPr>
                <w:noProof/>
                <w:sz w:val="20"/>
                <w:szCs w:val="20"/>
              </w:rPr>
            </w:pPr>
            <w:r>
              <w:rPr>
                <w:noProof/>
                <w:sz w:val="20"/>
                <w:szCs w:val="20"/>
              </w:rPr>
              <w:t>15</w:t>
            </w:r>
          </w:p>
        </w:tc>
        <w:tc>
          <w:tcPr>
            <w:tcW w:w="4678" w:type="dxa"/>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Proposta di modifica 5 del regolamento tecnico mondiale (GTR) delle Nazioni Unite n. 15 [Procedure di prova armonizzate a livello mondiale per veicoli commerciali leggeri (WLTP)]</w:t>
            </w:r>
          </w:p>
        </w:tc>
        <w:tc>
          <w:tcPr>
            <w:tcW w:w="2977" w:type="dxa"/>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ECE/TRANS/WP.29/2019/62</w:t>
            </w:r>
          </w:p>
          <w:p>
            <w:pPr>
              <w:rPr>
                <w:noProof/>
                <w:sz w:val="20"/>
                <w:szCs w:val="20"/>
              </w:rPr>
            </w:pPr>
          </w:p>
        </w:tc>
      </w:tr>
      <w:tr>
        <w:trPr>
          <w:trHeight w:val="600"/>
        </w:trPr>
        <w:tc>
          <w:tcPr>
            <w:tcW w:w="1291" w:type="dxa"/>
            <w:shd w:val="clear" w:color="auto" w:fill="auto"/>
          </w:tcPr>
          <w:p>
            <w:pPr>
              <w:rPr>
                <w:noProof/>
                <w:sz w:val="20"/>
                <w:szCs w:val="20"/>
              </w:rPr>
            </w:pPr>
            <w:r>
              <w:rPr>
                <w:noProof/>
                <w:sz w:val="20"/>
                <w:szCs w:val="20"/>
              </w:rPr>
              <w:t>15</w:t>
            </w:r>
          </w:p>
        </w:tc>
        <w:tc>
          <w:tcPr>
            <w:tcW w:w="4678"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Proposta di rettifica del regolamento tecnico mondiale (GTR) delle Nazioni Unite n. 15 [Procedure di prova armonizzate a livello mondiale per veicoli commerciali leggeri (WLTP)]; la modifica riguarda unicamente il testo francese</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Proposta di rettifica della modifica 1 del regolamento tecnico mondiale (GTR) delle Nazioni Unite n. 15 [Procedure di prova armonizzate a livello mondiale per veicoli commerciali leggeri (WLTP)]; la modifica riguarda unicamente il testo francese</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Proposta di rettifica della modifica 2 del regolamento tecnico mondiale (GTR) delle Nazioni Unite n. 15 [Procedure di prova armonizzate a livello mondiale per veicoli commerciali leggeri (WLTP)]; la modifica riguarda unicamente il testo francese</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Proposta di rettifica della modifica 3 del regolamento tecnico mondiale (GTR) delle Nazioni Unite n. 15 [Procedure di prova armonizzate a livello mondiale per veicoli commerciali leggeri (WLTP)]; la modifica riguarda unicamente il testo francese</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Proposta di rettifica della modifica 4 del regolamento tecnico mondiale (GTR) delle Nazioni Unite n. 15 [Procedure di prova armonizzate a livello mondiale per veicoli commerciali leggeri (WLTP)]; la modifica riguarda unicamente il testo francese</w:t>
            </w:r>
          </w:p>
        </w:tc>
        <w:tc>
          <w:tcPr>
            <w:tcW w:w="2977"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ECE/TRANS/WP.29/2019/66</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ECE/TRANS/WP.29/2019/67</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ECE/TRANS/WP.29/2019/68</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ECE/TRANS/WP.29/2019/69</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ECE/TRANS/WP.29/2019/70</w:t>
            </w:r>
          </w:p>
          <w:p>
            <w:pPr>
              <w:rPr>
                <w:noProof/>
                <w:sz w:val="20"/>
                <w:szCs w:val="20"/>
              </w:rPr>
            </w:pPr>
          </w:p>
        </w:tc>
      </w:tr>
      <w:tr>
        <w:trPr>
          <w:trHeight w:val="600"/>
        </w:trPr>
        <w:tc>
          <w:tcPr>
            <w:tcW w:w="1291" w:type="dxa"/>
            <w:shd w:val="clear" w:color="auto" w:fill="auto"/>
          </w:tcPr>
          <w:p>
            <w:pPr>
              <w:rPr>
                <w:noProof/>
                <w:sz w:val="20"/>
                <w:szCs w:val="20"/>
              </w:rPr>
            </w:pPr>
            <w:r>
              <w:rPr>
                <w:noProof/>
                <w:sz w:val="20"/>
                <w:szCs w:val="20"/>
              </w:rPr>
              <w:t>19</w:t>
            </w:r>
          </w:p>
        </w:tc>
        <w:tc>
          <w:tcPr>
            <w:tcW w:w="4678"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Proposta di modifica 2 del regolamento tecnico mondiale (GTR) delle Nazioni Unite n. 19 [Procedure di prova delle emissioni evaporative per le procedure di prova armonizzate a livello mondiale per veicoli commerciali leggeri (EVAP WLTP)]</w:t>
            </w:r>
          </w:p>
        </w:tc>
        <w:tc>
          <w:tcPr>
            <w:tcW w:w="2977"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ECE/TRANS/WP.29/2019/64</w:t>
            </w:r>
          </w:p>
          <w:p>
            <w:pPr>
              <w:rPr>
                <w:noProof/>
                <w:sz w:val="20"/>
                <w:szCs w:val="20"/>
              </w:rPr>
            </w:pPr>
          </w:p>
        </w:tc>
      </w:tr>
    </w:tbl>
    <w:p>
      <w:pPr>
        <w:pStyle w:val="Default"/>
        <w:rPr>
          <w:rFonts w:eastAsia="MS Mincho"/>
          <w:noProof/>
          <w:color w:val="auto"/>
          <w:sz w:val="20"/>
          <w:szCs w:val="20"/>
        </w:rPr>
      </w:pPr>
      <w:r>
        <w:rPr>
          <w:noProof/>
          <w:color w:val="auto"/>
          <w:sz w:val="20"/>
          <w:szCs w:val="20"/>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Mutual Resolution n.</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Titolo del punto dell'ordine del giorno</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Riferimento del documento</w:t>
            </w:r>
          </w:p>
        </w:tc>
      </w:tr>
      <w:tr>
        <w:trPr>
          <w:trHeight w:val="600"/>
        </w:trPr>
        <w:tc>
          <w:tcPr>
            <w:tcW w:w="1291" w:type="dxa"/>
            <w:shd w:val="clear" w:color="auto" w:fill="auto"/>
          </w:tcPr>
          <w:p>
            <w:pPr>
              <w:rPr>
                <w:noProof/>
                <w:sz w:val="20"/>
                <w:szCs w:val="20"/>
              </w:rPr>
            </w:pPr>
            <w:r>
              <w:rPr>
                <w:noProof/>
                <w:sz w:val="20"/>
                <w:szCs w:val="20"/>
              </w:rPr>
              <w:t xml:space="preserve">M.R.2 </w:t>
            </w:r>
          </w:p>
        </w:tc>
        <w:tc>
          <w:tcPr>
            <w:tcW w:w="4678" w:type="dxa"/>
            <w:shd w:val="clear" w:color="auto" w:fill="auto"/>
          </w:tcPr>
          <w:p>
            <w:pPr>
              <w:ind w:left="144" w:right="66"/>
              <w:rPr>
                <w:noProof/>
                <w:sz w:val="20"/>
                <w:szCs w:val="20"/>
              </w:rPr>
            </w:pPr>
            <w:r>
              <w:rPr>
                <w:noProof/>
                <w:sz w:val="20"/>
                <w:szCs w:val="20"/>
              </w:rPr>
              <w:t>Proposta di modifica 1 della Mutual Resolution n. 2 contenente definizioni relative ai sistemi di propulsione dei veicoli</w:t>
            </w:r>
          </w:p>
        </w:tc>
        <w:tc>
          <w:tcPr>
            <w:tcW w:w="2977" w:type="dxa"/>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ECE/TRANS/WP.29/2019/71</w:t>
            </w:r>
          </w:p>
          <w:p>
            <w:pPr>
              <w:rPr>
                <w:noProof/>
                <w:sz w:val="20"/>
                <w:szCs w:val="20"/>
              </w:rPr>
            </w:pPr>
          </w:p>
        </w:tc>
      </w:tr>
    </w:tbl>
    <w:p>
      <w:pPr>
        <w:rPr>
          <w:noProof/>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Varie</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Titolo del punto dell'ordine del giorno</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Riferimento del documento</w:t>
            </w:r>
          </w:p>
        </w:tc>
      </w:tr>
      <w:tr>
        <w:trPr>
          <w:trHeight w:val="600"/>
        </w:trPr>
        <w:tc>
          <w:tcPr>
            <w:tcW w:w="1291" w:type="dxa"/>
            <w:shd w:val="clear" w:color="auto" w:fill="auto"/>
          </w:tcPr>
          <w:p>
            <w:pPr>
              <w:rPr>
                <w:noProof/>
                <w:sz w:val="20"/>
                <w:szCs w:val="20"/>
              </w:rPr>
            </w:pPr>
          </w:p>
        </w:tc>
        <w:tc>
          <w:tcPr>
            <w:tcW w:w="4678" w:type="dxa"/>
            <w:shd w:val="clear" w:color="auto" w:fill="auto"/>
          </w:tcPr>
          <w:p>
            <w:pPr>
              <w:ind w:left="144" w:right="66"/>
              <w:rPr>
                <w:noProof/>
                <w:sz w:val="20"/>
                <w:szCs w:val="20"/>
              </w:rPr>
            </w:pPr>
            <w:r>
              <w:rPr>
                <w:noProof/>
                <w:sz w:val="20"/>
                <w:szCs w:val="20"/>
              </w:rPr>
              <w:t>Revisione dell'autorizzazione all'elaborazione della modifica 2 del regolamento tecnico mondiale delle Nazioni Unite n. 16 (Pneumatici)</w:t>
            </w:r>
          </w:p>
        </w:tc>
        <w:tc>
          <w:tcPr>
            <w:tcW w:w="2977" w:type="dxa"/>
            <w:shd w:val="clear" w:color="auto" w:fill="auto"/>
          </w:tcPr>
          <w:p>
            <w:pPr>
              <w:pStyle w:val="SingleTxtG"/>
              <w:ind w:left="147" w:right="141"/>
              <w:rPr>
                <w:rFonts w:ascii="Times New Roman" w:hAnsi="Times New Roman" w:cs="Times New Roman"/>
                <w:noProof/>
                <w:sz w:val="16"/>
                <w:szCs w:val="16"/>
                <w:lang w:val="en-GB"/>
              </w:rPr>
            </w:pPr>
            <w:r>
              <w:rPr>
                <w:rFonts w:ascii="Times New Roman" w:hAnsi="Times New Roman"/>
                <w:noProof/>
                <w:sz w:val="16"/>
                <w:szCs w:val="16"/>
                <w:lang w:val="en-GB"/>
              </w:rPr>
              <w:t>ECE/TRANS/WP.29/AC.3/48/Rev.1</w:t>
            </w:r>
          </w:p>
        </w:tc>
      </w:tr>
      <w:tr>
        <w:trPr>
          <w:trHeight w:val="600"/>
        </w:trPr>
        <w:tc>
          <w:tcPr>
            <w:tcW w:w="1291" w:type="dxa"/>
            <w:shd w:val="clear" w:color="auto" w:fill="auto"/>
          </w:tcPr>
          <w:p>
            <w:pPr>
              <w:rPr>
                <w:noProof/>
                <w:sz w:val="20"/>
                <w:szCs w:val="20"/>
                <w:lang w:val="en-GB"/>
              </w:rPr>
            </w:pPr>
          </w:p>
        </w:tc>
        <w:tc>
          <w:tcPr>
            <w:tcW w:w="4678" w:type="dxa"/>
            <w:shd w:val="clear" w:color="auto" w:fill="auto"/>
          </w:tcPr>
          <w:p>
            <w:pPr>
              <w:ind w:left="144" w:right="66"/>
              <w:rPr>
                <w:noProof/>
                <w:sz w:val="20"/>
                <w:szCs w:val="20"/>
              </w:rPr>
            </w:pPr>
            <w:r>
              <w:rPr>
                <w:noProof/>
                <w:sz w:val="20"/>
                <w:szCs w:val="20"/>
              </w:rPr>
              <w:t>Proposta di modifiche dell'autorizzazione all'elaborazione del regolamento tecnico mondiale delle Nazioni Unite sulle emissioni reali di guida a livello mondiale</w:t>
            </w:r>
          </w:p>
        </w:tc>
        <w:tc>
          <w:tcPr>
            <w:tcW w:w="2977" w:type="dxa"/>
            <w:shd w:val="clear" w:color="auto" w:fill="auto"/>
          </w:tcPr>
          <w:p>
            <w:pPr>
              <w:pStyle w:val="SingleTxtG"/>
              <w:ind w:left="147" w:right="141"/>
              <w:rPr>
                <w:rFonts w:ascii="Times New Roman" w:hAnsi="Times New Roman" w:cs="Times New Roman"/>
                <w:noProof/>
                <w:sz w:val="18"/>
                <w:szCs w:val="18"/>
              </w:rPr>
            </w:pPr>
            <w:r>
              <w:rPr>
                <w:rFonts w:ascii="Times New Roman" w:hAnsi="Times New Roman"/>
                <w:noProof/>
                <w:sz w:val="18"/>
                <w:szCs w:val="18"/>
              </w:rPr>
              <w:t>ECE/TRANS/WP.29/2019/72</w:t>
            </w:r>
          </w:p>
        </w:tc>
      </w:tr>
      <w:tr>
        <w:trPr>
          <w:trHeight w:val="600"/>
        </w:trPr>
        <w:tc>
          <w:tcPr>
            <w:tcW w:w="1291" w:type="dxa"/>
            <w:shd w:val="clear" w:color="auto" w:fill="auto"/>
          </w:tcPr>
          <w:p>
            <w:pPr>
              <w:rPr>
                <w:noProof/>
                <w:sz w:val="20"/>
                <w:szCs w:val="20"/>
              </w:rPr>
            </w:pPr>
          </w:p>
        </w:tc>
        <w:tc>
          <w:tcPr>
            <w:tcW w:w="4678" w:type="dxa"/>
            <w:shd w:val="clear" w:color="auto" w:fill="auto"/>
          </w:tcPr>
          <w:p>
            <w:pPr>
              <w:ind w:left="144" w:right="66"/>
              <w:rPr>
                <w:noProof/>
                <w:sz w:val="20"/>
                <w:szCs w:val="20"/>
              </w:rPr>
            </w:pPr>
            <w:r>
              <w:rPr>
                <w:noProof/>
                <w:sz w:val="20"/>
                <w:szCs w:val="20"/>
              </w:rPr>
              <w:t>Autorizzazione all'elaborazione di un nuovo regolamento tecnico mondiale delle Nazioni Unite sulla determinazione della potenza dei veicoli elettrici</w:t>
            </w:r>
          </w:p>
        </w:tc>
        <w:tc>
          <w:tcPr>
            <w:tcW w:w="2977" w:type="dxa"/>
            <w:shd w:val="clear" w:color="auto" w:fill="auto"/>
          </w:tcPr>
          <w:p>
            <w:pPr>
              <w:pStyle w:val="SingleTxtG"/>
              <w:ind w:left="147" w:right="141"/>
              <w:rPr>
                <w:rFonts w:ascii="Times New Roman" w:hAnsi="Times New Roman" w:cs="Times New Roman"/>
                <w:noProof/>
                <w:sz w:val="18"/>
                <w:szCs w:val="18"/>
              </w:rPr>
            </w:pPr>
            <w:r>
              <w:rPr>
                <w:rFonts w:ascii="Times New Roman" w:hAnsi="Times New Roman"/>
                <w:noProof/>
                <w:sz w:val="18"/>
                <w:szCs w:val="18"/>
              </w:rPr>
              <w:t>ECE/TRANS/WP.29/AC.3/53</w:t>
            </w:r>
          </w:p>
        </w:tc>
      </w:tr>
    </w:tbl>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Tutti i documenti indicati nella tabella sono disponibili al seguente indirizzo: </w:t>
      </w:r>
    </w:p>
    <w:p>
      <w:pPr>
        <w:pStyle w:val="FootnoteText"/>
        <w:rPr>
          <w:sz w:val="18"/>
        </w:rPr>
      </w:pPr>
      <w:hyperlink r:id="rId1" w:history="1">
        <w:r>
          <w:rPr>
            <w:rStyle w:val="Hyperlink"/>
            <w:sz w:val="18"/>
          </w:rPr>
          <w:t>http://www.unece.org/trans/main/wp29/wp29wgs/wp29gen/gen2018.html</w:t>
        </w:r>
      </w:hyperlink>
      <w:r>
        <w:t>.</w:t>
      </w:r>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8 09:23: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2"/>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BA8B7735-A7EA-40DE-A65F-65109A771F4A"/>
    <w:docVar w:name="LW_COVERPAGE_TYPE" w:val="1"/>
    <w:docVar w:name="LW_CROSSREFERENCE" w:val="&lt;UNUSED&gt;"/>
    <w:docVar w:name="LW_DocType" w:val="ANNEX"/>
    <w:docVar w:name="LW_EMISSION" w:val="5.6.2019"/>
    <w:docVar w:name="LW_EMISSION_ISODATE" w:val="2019-06-05"/>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che dovrà essere assunta a nome dell'Unione europea nei comitati pertinenti della commissione economica per l'Europa delle Nazioni Unite per quanto riguarda le proposte di modifica dei regolamenti delle Nazioni Unite nn.&lt;LWCR:NBS&gt;14, 17, 24, 30, 44, 51, 64, 75, 78, 79, 83, 85, 90, 115, 117, 129, 138, 139, 140 e 145, le proposte di modifica dei regolamenti tecnici mondiali (GTR) nn.&lt;LWCR:NBS&gt;15 e 19, la proposta di modifica della Mutual Resolution M.R.2., la proposta di un nuovo regolamento delle Nazioni Unite e le proposte di (modifiche delle) autorizzazioni di elaborazione di GTR_x000b_"/>
    <w:docVar w:name="LW_OBJETACTEPRINCIPAL.CP" w:val="relativa alla posizione che dovrà essere assunta a nome dell'Unione europea nei comitati pertinenti della commissione economica per l'Europa delle Nazioni Unite per quanto riguarda le proposte di modifica dei regolamenti delle Nazioni Unite nn. 14, 17, 24, 30, 44, 51, 64, 75, 78, 79, 83, 85, 90, 115, 117, 129, 138, 139, 140 e 145, le proposte di modifica dei regolamenti tecnici mondiali (GTR) nn. 15 e 19, la proposta di modifica della Mutual Resolution M.R.2., la proposta di un nuovo regolamento delle Nazioni Unite e le proposte di (modifiche delle) autorizzazioni di elaborazione di GTR_x000b_"/>
    <w:docVar w:name="LW_PART_NBR" w:val="1"/>
    <w:docVar w:name="LW_PART_NBR_TOTAL" w:val="1"/>
    <w:docVar w:name="LW_REF.INST.NEW" w:val="COM"/>
    <w:docVar w:name="LW_REF.INST.NEW_ADOPTED" w:val="final"/>
    <w:docVar w:name="LW_REF.INST.NEW_TEXT" w:val="(2019) 2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it-IT"/>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it-IT"/>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57AD-CCD9-4E4F-B373-D92FE2F6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1070</Words>
  <Characters>6713</Characters>
  <Application>Microsoft Office Word</Application>
  <DocSecurity>0</DocSecurity>
  <Lines>279</Lines>
  <Paragraphs>141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DIGIT/C6</cp:lastModifiedBy>
  <cp:revision>8</cp:revision>
  <cp:lastPrinted>2019-05-06T08:32:00Z</cp:lastPrinted>
  <dcterms:created xsi:type="dcterms:W3CDTF">2019-05-24T14:47:00Z</dcterms:created>
  <dcterms:modified xsi:type="dcterms:W3CDTF">2019-05-28T07:23:00Z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