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0424ED0-A99C-4C05-960C-A02DA6A29959"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Η πρόταση αφορά σχέδιο απόφασης του Συμβουλίου για τη δεύτερη δόση των χρηματοδοτικών συνεισφορών στο 11</w:t>
      </w:r>
      <w:r>
        <w:rPr>
          <w:noProof/>
          <w:vertAlign w:val="superscript"/>
        </w:rPr>
        <w:t>ο</w:t>
      </w:r>
      <w:r>
        <w:rPr>
          <w:noProof/>
        </w:rPr>
        <w:t xml:space="preserve"> Ευρωπαϊκό Ταμείο Ανάπτυξης (ΕΤΑ) που πρέπει να καταβάλουν τα κράτη μέλη το 2019.</w:t>
      </w:r>
    </w:p>
    <w:p>
      <w:pPr>
        <w:pBdr>
          <w:top w:val="nil"/>
          <w:left w:val="nil"/>
          <w:bottom w:val="nil"/>
          <w:right w:val="nil"/>
          <w:between w:val="nil"/>
          <w:bar w:val="nil"/>
        </w:pBdr>
        <w:spacing w:before="0" w:after="240"/>
        <w:rPr>
          <w:rFonts w:eastAsia="Arial Unicode MS"/>
          <w:noProof/>
        </w:rPr>
      </w:pPr>
      <w:r>
        <w:rPr>
          <w:noProof/>
        </w:rPr>
        <w:t>Η διαχείριση του 11</w:t>
      </w:r>
      <w:r>
        <w:rPr>
          <w:noProof/>
          <w:vertAlign w:val="superscript"/>
        </w:rPr>
        <w:t>ου</w:t>
      </w:r>
      <w:r>
        <w:rPr>
          <w:noProof/>
        </w:rPr>
        <w:t xml:space="preserve"> ΕΤΑ και των άλλων κονδυλίων του ΕΤΑ που είναι ακόμη ανοικτά (δηλ. του 8ου, του 9ου και του 10ου ΕΤΑ) γίνεται σύμφωνα με τους ακόλουθους κανόνες: </w:t>
      </w:r>
    </w:p>
    <w:p>
      <w:pPr>
        <w:pBdr>
          <w:top w:val="nil"/>
          <w:left w:val="nil"/>
          <w:bottom w:val="nil"/>
          <w:right w:val="nil"/>
          <w:between w:val="nil"/>
          <w:bar w:val="nil"/>
        </w:pBdr>
        <w:spacing w:before="0" w:after="240"/>
        <w:rPr>
          <w:rFonts w:eastAsia="Arial Unicode MS"/>
          <w:noProof/>
        </w:rPr>
      </w:pPr>
      <w:r>
        <w:rPr>
          <w:noProof/>
        </w:rPr>
        <w:t>την τρέχουσα συμφωνία εταιρικής σχέσης μεταξύ των μελών της ομάδας των κρατών της Αφρικής, της Καραϊβικής και του Ειρηνικού, αφενός, και της Ευρωπαϊκής Κοινότητας και των κρατών μελών της, αφετέρου (εφεξής η «συμφωνία εταιρικής σχέσης ΑΚΕ-ΕΕ»), όπως τροποποιήθηκε τελευταία</w:t>
      </w:r>
      <w:r>
        <w:rPr>
          <w:rStyle w:val="FootnoteReference"/>
          <w:rFonts w:eastAsia="Arial Unicode MS"/>
          <w:noProof/>
        </w:rPr>
        <w:footnoteReference w:id="1"/>
      </w:r>
      <w:r>
        <w:rPr>
          <w:noProof/>
        </w:rPr>
        <w:t>,</w:t>
      </w:r>
    </w:p>
    <w:p>
      <w:pPr>
        <w:pBdr>
          <w:top w:val="nil"/>
          <w:left w:val="nil"/>
          <w:bottom w:val="nil"/>
          <w:right w:val="nil"/>
          <w:between w:val="nil"/>
          <w:bar w:val="nil"/>
        </w:pBdr>
        <w:spacing w:before="0" w:after="240"/>
        <w:rPr>
          <w:rFonts w:eastAsia="Arial Unicode MS"/>
          <w:noProof/>
        </w:rPr>
      </w:pPr>
      <w:r>
        <w:rPr>
          <w:noProof/>
        </w:rPr>
        <w:t>την εσωτερική συμφωνία μεταξύ των αντιπροσώπων των κυβερνήσεων των κρατών μελών της Ευρωπαϊκής Ένωσης, που συνήλθαν στο πλαίσιο του Συμβουλίου, για τη χρηματοδότηση της βοήθειας της Ευρωπαϊκής Ένωσης από το πολυετές δημοσιονομικό πλαίσιο, για την περίοδο 2014-2020, δυνάμει της συμφωνίας εταιρικής σχέσης ΑΚΕ-ΕΕ, καθώς και για τη χορήγηση χρηματοδοτικής ενίσχυσης στις υπερπόντιες χώρες και εδάφη για τις οποίες ισχύει το τέταρτο μέρος της Συνθήκης για τη λειτουργία της Ευρωπαϊκής Ένωσης</w:t>
      </w:r>
      <w:r>
        <w:rPr>
          <w:rStyle w:val="FootnoteReference"/>
          <w:rFonts w:eastAsia="Arial Unicode MS"/>
          <w:noProof/>
        </w:rPr>
        <w:footnoteReference w:id="2"/>
      </w:r>
      <w:r>
        <w:rPr>
          <w:noProof/>
        </w:rPr>
        <w:t xml:space="preserve"> (εφεξής «η εσωτερική συμφωνία για το 11</w:t>
      </w:r>
      <w:r>
        <w:rPr>
          <w:noProof/>
          <w:vertAlign w:val="superscript"/>
        </w:rPr>
        <w:t>ο</w:t>
      </w:r>
      <w:r>
        <w:rPr>
          <w:noProof/>
        </w:rPr>
        <w:t xml:space="preserve"> ΕΤΑ),</w:t>
      </w:r>
    </w:p>
    <w:p>
      <w:pPr>
        <w:pBdr>
          <w:top w:val="nil"/>
          <w:left w:val="nil"/>
          <w:bottom w:val="nil"/>
          <w:right w:val="nil"/>
          <w:between w:val="nil"/>
          <w:bar w:val="nil"/>
        </w:pBdr>
        <w:spacing w:before="0" w:after="240"/>
        <w:rPr>
          <w:rFonts w:eastAsia="Arial Unicode MS"/>
          <w:noProof/>
        </w:rPr>
      </w:pPr>
      <w:r>
        <w:rPr>
          <w:noProof/>
        </w:rPr>
        <w:t>τον κανονισμό (ΕΕ) 2018/1877 του Συμβουλίου σχετικά με τον δημοσιονομικό κανονισμό που εφαρμόζεται στο 11</w:t>
      </w:r>
      <w:r>
        <w:rPr>
          <w:noProof/>
          <w:vertAlign w:val="superscript"/>
        </w:rPr>
        <w:t>ο</w:t>
      </w:r>
      <w:r>
        <w:rPr>
          <w:noProof/>
        </w:rPr>
        <w:t xml:space="preserve"> Ευρωπαϊκό Ταμείο Ανάπτυξης</w:t>
      </w:r>
      <w:r>
        <w:rPr>
          <w:rStyle w:val="FootnoteReference"/>
          <w:rFonts w:eastAsia="Arial Unicode MS"/>
          <w:noProof/>
        </w:rPr>
        <w:footnoteReference w:id="3"/>
      </w:r>
      <w:r>
        <w:rPr>
          <w:noProof/>
        </w:rPr>
        <w:t xml:space="preserve"> (εφεξής «ο δημοσιονομικός κανονισμός του 11</w:t>
      </w:r>
      <w:r>
        <w:rPr>
          <w:noProof/>
          <w:vertAlign w:val="superscript"/>
        </w:rPr>
        <w:t>ου</w:t>
      </w:r>
      <w:r>
        <w:rPr>
          <w:noProof/>
        </w:rPr>
        <w:t xml:space="preserve"> ΕΤΑ»).</w:t>
      </w:r>
    </w:p>
    <w:p>
      <w:pPr>
        <w:pBdr>
          <w:top w:val="nil"/>
          <w:left w:val="nil"/>
          <w:bottom w:val="nil"/>
          <w:right w:val="nil"/>
          <w:between w:val="nil"/>
          <w:bar w:val="nil"/>
        </w:pBdr>
        <w:spacing w:before="0" w:after="240"/>
        <w:rPr>
          <w:rFonts w:eastAsia="Arial Unicode MS"/>
          <w:noProof/>
        </w:rPr>
      </w:pPr>
      <w:r>
        <w:rPr>
          <w:noProof/>
        </w:rPr>
        <w:t xml:space="preserve">Τα προαναφερθέντα έγγραφα περιλαμβάνουν τις πολυετείς δεσμεύσεις των κρατών μελών να υποστηρίξουν οικονομικά το ταμείο του ΕΤΑ. Ο δημοσιονομικός κανονισμός του 11ου ΕΤΑ προβλέπει τακτικές συνεισφορές των κρατών μελών στο ταμείο του ΕΤΑ σύμφωνα με προκαθορισμένες οικονομικές δεσμεύσεις. Οι τακτικές συνεισφορές πραγματοποιούνται βάσει τεχνικών αποφάσεων του Συμβουλίου στις οποίες αποτυπώνεται η υλοποίηση των οικονομικών δεσμεύσεων που έχουν αποφασισθεί προηγουμένως. </w:t>
      </w:r>
    </w:p>
    <w:p>
      <w:pPr>
        <w:pBdr>
          <w:top w:val="nil"/>
          <w:left w:val="nil"/>
          <w:bottom w:val="nil"/>
          <w:right w:val="nil"/>
          <w:between w:val="nil"/>
          <w:bar w:val="nil"/>
        </w:pBdr>
        <w:spacing w:before="0" w:after="240"/>
        <w:rPr>
          <w:rFonts w:eastAsia="Arial Unicode MS"/>
          <w:noProof/>
        </w:rPr>
      </w:pPr>
      <w:r>
        <w:rPr>
          <w:noProof/>
        </w:rPr>
        <w:t>Ορισμένες επικεφαλίδες της αιτιολογικής έκθεσης δεν έχουν, επομένως, εφαρμογή στις προσκλήσεις για καταβολή τακτικών συνεισφορών, όπως η παρούσα.</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rPr>
        <w:t>Σύμφωνα με το άρθρο 19 παράγραφος 7 του δημοσιονομικού κανονισμού του 11ου ΕΤΑ, το ποσό που τελεί υπό τη διαχείριση της Ευρωπαϊκής Επιτροπής και το ποσό που τελεί υπό τη διαχείριση της Ευρωπαϊκής Τράπεζας Επενδύσεων (ΕΤΕπ) προσδιορίζονται χωριστά.</w:t>
      </w:r>
    </w:p>
    <w:p>
      <w:pPr>
        <w:pBdr>
          <w:top w:val="nil"/>
          <w:left w:val="nil"/>
          <w:bottom w:val="nil"/>
          <w:right w:val="nil"/>
          <w:between w:val="nil"/>
          <w:bar w:val="nil"/>
        </w:pBdr>
        <w:spacing w:before="0" w:after="240"/>
        <w:rPr>
          <w:rFonts w:eastAsia="Arial Unicode MS"/>
          <w:noProof/>
        </w:rPr>
      </w:pPr>
      <w:r>
        <w:rPr>
          <w:noProof/>
        </w:rPr>
        <w:t>Σύμφωνα με το άρθρο 46 του δημοσιονομικού κανονισμού του 11ου ΕΤΑ, η ΕΤΕπ διαβίβασε στην Ευρωπαϊκή Επιτροπή τις επικαιροποιημένες προβλέψεις της για τις αναλήψεις υποχρεώσεων και τις πληρωμές για τα μέσα που τελούν υπό τη διαχείρισή της.</w:t>
      </w:r>
    </w:p>
    <w:p>
      <w:pPr>
        <w:pBdr>
          <w:top w:val="nil"/>
          <w:left w:val="nil"/>
          <w:bottom w:val="nil"/>
          <w:right w:val="nil"/>
          <w:between w:val="nil"/>
          <w:bar w:val="nil"/>
        </w:pBdr>
        <w:spacing w:before="0" w:after="240"/>
        <w:rPr>
          <w:rFonts w:eastAsia="Arial Unicode MS"/>
          <w:noProof/>
        </w:rPr>
      </w:pPr>
      <w:r>
        <w:rPr>
          <w:noProof/>
        </w:rPr>
        <w:t>Σύμφωνα με το άρθρο 20 παράγραφος 1 του δημοσιονομικού κανονισμού του 11ου ΕΤΑ, οι προσκλήσεις για την καταβολή συνεισφορών απορροφούν πρωτίστως τα διαθέσιμα από τα προηγούμενα ΕΤΑ ποσά, το ένα μετά το άλλο. Επομένως, οι προσκλήσεις καταβολής συνεισφορών στην παρούσα πρόταση αφορούν τα ποσά του 10ου ΕΤΑ για την ΕΤΕπ και τα ποσά του 11ου ΕΤΑ για την Ευρωπαϊκή Επιτροπή.</w:t>
      </w:r>
    </w:p>
    <w:p>
      <w:pPr>
        <w:pBdr>
          <w:top w:val="nil"/>
          <w:left w:val="nil"/>
          <w:bottom w:val="nil"/>
          <w:right w:val="nil"/>
          <w:between w:val="nil"/>
          <w:bar w:val="nil"/>
        </w:pBdr>
        <w:spacing w:before="0" w:after="240"/>
        <w:rPr>
          <w:rFonts w:eastAsia="Arial Unicode MS"/>
          <w:noProof/>
        </w:rPr>
      </w:pPr>
      <w:r>
        <w:rPr>
          <w:noProof/>
        </w:rPr>
        <w:t>Σύμφωνα με το άρθρο 19 παράγραφος 3 του δημοσιονομικού κανονισμού του 11ου ΕΤΑ, το Συμβούλιο πρέπει να αποφασίσει σχετικά με την παρούσα πρόταση το αργότερο εντός 21 ημερολογιακών ημερών έπειτα από την έκδοση της πρότασης της Ευρωπαϊκής Επιτροπής, η οποία ενεργεί εξ ονόματος της Ευρωπαϊκής Ένωσης.</w:t>
      </w:r>
    </w:p>
    <w:p>
      <w:pPr>
        <w:pBdr>
          <w:top w:val="nil"/>
          <w:left w:val="nil"/>
          <w:bottom w:val="nil"/>
          <w:right w:val="nil"/>
          <w:between w:val="nil"/>
          <w:bar w:val="nil"/>
        </w:pBdr>
        <w:spacing w:before="0" w:after="240"/>
        <w:rPr>
          <w:rFonts w:eastAsia="Arial Unicode MS"/>
          <w:noProof/>
        </w:rPr>
      </w:pPr>
      <w:r>
        <w:rPr>
          <w:noProof/>
        </w:rPr>
        <w:t>Το άρθρο 21 παράγραφος 1 του δημοσιονομικού κανονισμού του 11ου ΕΤΑ προβλέπει ότι, εάν οι δόσεις συνεισφορών που καθίστανται απαιτητές δεν καταβληθούν εντός της καθοριζόμενης προθεσμίας, το αντίστοιχο κράτος μέλος υποχρεούται σε καταβολή τόκων επί του μη καταβληθέντος ποσού. Οι λεπτομέρειες καταβολής των τόκων διευκρινίζονται στο ίδιο άρθρο.</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2019/0123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τον καθορισμό των χρηματοδοτικών συνεισφορών που πρέπει να καταβάλουν τα κράτη μέλη για τη χρηματοδότηση του Ευρωπαϊκού Ταμείου Ανάπτυξης, συμπεριλαμβανομένης της δεύτερης δόσης για το 2019</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την Ευρωπαϊκή Ένωση και τη Συνθήκη για τη λειτουργία της Ευρωπαϊκής Ένωσης,</w:t>
      </w:r>
    </w:p>
    <w:p>
      <w:pPr>
        <w:rPr>
          <w:noProof/>
        </w:rPr>
      </w:pPr>
      <w:r>
        <w:rPr>
          <w:noProof/>
        </w:rPr>
        <w:t>Έχοντας υπόψη την εσωτερική συμφωνία μεταξύ των αντιπροσώπων των κυβερνήσεων των κρατών μελών της Ευρωπαϊκής Ένωσης, που συνήλθαν στο πλαίσιο του Συμβουλίου, για τη χρηματοδότηση της βοήθειας της Ευρωπαϊκής Ένωσης από το πολυετές δημοσιονομικό πλαίσιο, για την περίοδο 2014-2020, δυνάμει της συμφωνίας εταιρικής σχέσης ΑΚΕ-ΕΕ, καθώς και για τη χορήγηση χρηματοδοτικής ενίσχυσης στις υπερπόντιες χώρες και εδάφη για τις οποίες ισχύει το τέταρτο μέρος της Συνθήκης για τη λειτουργία της Ευρωπαϊκής Ένωσης</w:t>
      </w:r>
      <w:r>
        <w:rPr>
          <w:rStyle w:val="FootnoteReference"/>
          <w:noProof/>
        </w:rPr>
        <w:footnoteReference w:id="4"/>
      </w:r>
      <w:r>
        <w:rPr>
          <w:noProof/>
        </w:rPr>
        <w:t xml:space="preserve"> («η εσωτερική συμφωνία»), και ιδίως το άρθρο 7,</w:t>
      </w:r>
    </w:p>
    <w:p>
      <w:pPr>
        <w:rPr>
          <w:noProof/>
        </w:rPr>
      </w:pPr>
      <w:r>
        <w:rPr>
          <w:noProof/>
        </w:rPr>
        <w:t>Έχοντας υπόψη τον κανονισμό (ΕΕ) 2018/1877 του Συμβουλίου, της 26ης Νοεμβρίου 2018, σχετικά με τον δημοσιονομικό κανονισμό που εφαρμόζεται στο 11ο Ευρωπαϊκό Ταμείο Ανάπτυξης («ο δημοσιονομικός κανονισμός του 11ου ΕΤΑ»)</w:t>
      </w:r>
      <w:r>
        <w:rPr>
          <w:rStyle w:val="FootnoteReference"/>
          <w:noProof/>
        </w:rPr>
        <w:footnoteReference w:id="5"/>
      </w:r>
      <w:r>
        <w:rPr>
          <w:noProof/>
        </w:rPr>
        <w:t>, και ιδίως το άρθρο 19 παράγραφοι 3 και 4,</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rPr>
          <w:noProof/>
        </w:rPr>
        <w:t>(1)</w:t>
      </w:r>
      <w:r>
        <w:rPr>
          <w:noProof/>
        </w:rPr>
        <w:tab/>
        <w:t>Σύμφωνα με τη διαδικασία που προβλέπεται στα άρθρα 19 έως 22 του δημοσιονομικού κανονισμού του 11ου ΕΤΑ, η Ευρωπαϊκή Επιτροπή υποβάλλει έως τις 15 Ιουνίου 2019 πρόταση στην οποία προσδιορίζονται α) το ποσό της δεύτερης δόσης της συνεισφοράς για το 2019, β) το αναθεωρημένο ετήσιο ποσό της συνεισφοράς για το έτος 2019, σε περιπτώσεις κατά τις οποίες το ποσό παρεκκλίνει από τις πραγματικές ανάγκες,</w:t>
      </w:r>
    </w:p>
    <w:p>
      <w:pPr>
        <w:pStyle w:val="ManualConsidrant"/>
        <w:rPr>
          <w:noProof/>
        </w:rPr>
      </w:pPr>
      <w:r>
        <w:rPr>
          <w:noProof/>
        </w:rPr>
        <w:t>(2)</w:t>
      </w:r>
      <w:r>
        <w:rPr>
          <w:noProof/>
        </w:rPr>
        <w:tab/>
        <w:t>Σύμφωνα με το άρθρο 46 του δημοσιονομικού κανονισμού του 11ου ΕΤΑ, η Ευρωπαϊκή Τράπεζα Επενδύσεων διαβίβασε στην Ευρωπαϊκή Επιτροπή, στις 24 Απριλίου 2019, τις επικαιροποιημένες προβλέψεις της για τις αναλήψεις υποχρεώσεων και τις πληρωμές για τα μέσα που τελούν υπό τη διαχείρισή της,</w:t>
      </w:r>
    </w:p>
    <w:p>
      <w:pPr>
        <w:pStyle w:val="ManualConsidrant"/>
        <w:rPr>
          <w:noProof/>
        </w:rPr>
      </w:pPr>
      <w:r>
        <w:rPr>
          <w:noProof/>
        </w:rPr>
        <w:t>(3)</w:t>
      </w:r>
      <w:r>
        <w:rPr>
          <w:noProof/>
        </w:rPr>
        <w:tab/>
        <w:t>Το άρθρο 20 παράγραφος 1 του δημοσιονομικού κανονισμού του 11ου ΕΤΑ ορίζει ότι οι προσκλήσεις για την καταβολή συνεισφορών απορροφούν πρωτίστως τα διαθέσιμα από τα προηγούμενα ΕΤΑ ποσά. Συνεπώς, θα πρέπει να γίνει πρόσκληση για ποσά του 10ου ΕΤΑ για την ΕΤΕπ και τα ποσά του 11ου ΕΤΑ για την Επιτροπή.</w:t>
      </w:r>
    </w:p>
    <w:p>
      <w:pPr>
        <w:pStyle w:val="ManualConsidrant"/>
        <w:rPr>
          <w:noProof/>
        </w:rPr>
      </w:pPr>
      <w:r>
        <w:rPr>
          <w:noProof/>
        </w:rPr>
        <w:t>(4)</w:t>
      </w:r>
      <w:r>
        <w:rPr>
          <w:noProof/>
        </w:rPr>
        <w:tab/>
        <w:t>Δυνάμει της απόφασης (ΕΕ) 2018/1715</w:t>
      </w:r>
      <w:r>
        <w:rPr>
          <w:rStyle w:val="FootnoteReference"/>
          <w:noProof/>
        </w:rPr>
        <w:footnoteReference w:id="6"/>
      </w:r>
      <w:r>
        <w:rPr>
          <w:noProof/>
        </w:rPr>
        <w:t>, το Συμβούλιο εξέδωσε στις 12 Νοεμβρίου 2018, βάσει πρότασης της Ευρωπαϊκής Επιτροπής, την απόφαση να καθοριστεί το ετήσιο ποσό των συνεισφορών των κρατών μελών στο ΕΤΑ για το 2019 σε 4 400 000 000 EUR για την Ευρωπαϊκή Επιτροπή και σε 300 000 000 EUR για την Ευρωπαϊκή Τράπεζα Επενδύσεων.</w:t>
      </w:r>
    </w:p>
    <w:p>
      <w:pPr>
        <w:pStyle w:val="ManualConsidrant"/>
        <w:rPr>
          <w:rStyle w:val="CommentReference"/>
          <w:noProof/>
          <w:sz w:val="24"/>
          <w:szCs w:val="22"/>
        </w:rPr>
      </w:pPr>
      <w:r>
        <w:rPr>
          <w:noProof/>
        </w:rPr>
        <w:t>(5)</w:t>
      </w:r>
      <w:r>
        <w:rPr>
          <w:noProof/>
        </w:rPr>
        <w:tab/>
        <w:t>Δεδομένου ότι η Επιτροπή έχει προτείνει νέους τρόπους υλοποίησης της αναπτυξιακής και της διεθνούς συνεργασίας για την περίοδο 2021-2027, οι οποίοι θα αντικαταστήσουν το ισχύον καθεστώς του ΕΤΑ, η Επιτροπή μειώνει τις εκτιμήσεις της για τις πληρωμές στο πλαίσιο του ΕΤΑ και, ως εκ τούτου, μειώνει επίσης κατά 200 000 000 EUR το ανώτατο όριο του ποσού για το 2020.</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Οι μεμονωμένες συνεισφορές στο Ευρωπαϊκό Ταμείο Ανάπτυξης που πρέπει να καταβληθούν από τα κράτη μέλη στην Ευρωπαϊκή Επιτροπή και την Ευρωπαϊκή Τράπεζα Επενδύσεων ως δεύτερη δόση για το 2019 καθορίζονται στον πίνακα του παραρτήματος της παρούσας απόφασης.</w:t>
      </w:r>
    </w:p>
    <w:p>
      <w:pPr>
        <w:pStyle w:val="Titrearticle"/>
        <w:keepNext w:val="0"/>
        <w:rPr>
          <w:noProof/>
        </w:rPr>
      </w:pPr>
      <w:r>
        <w:rPr>
          <w:noProof/>
        </w:rPr>
        <w:t>Άρθρο 2</w:t>
      </w:r>
    </w:p>
    <w:p>
      <w:pPr>
        <w:keepLines/>
        <w:rPr>
          <w:noProof/>
        </w:rPr>
      </w:pPr>
      <w:r>
        <w:rPr>
          <w:noProof/>
        </w:rPr>
        <w:t>Το ανώτατο όριο του ετήσιου ποσού των συνεισφορών των κρατών μελών στο ΕΤΑ για το 2020 ορίζεται σε 4 700 000 000 EUR. Κατανέμεται σε 4 400 000 000 EUR για την Επιτροπή και 300 000 000 EUR για την ΕΤΕπ.</w:t>
      </w:r>
    </w:p>
    <w:p>
      <w:pPr>
        <w:pStyle w:val="Titrearticle"/>
        <w:keepNext w:val="0"/>
        <w:rPr>
          <w:noProof/>
        </w:rPr>
      </w:pPr>
      <w:r>
        <w:rPr>
          <w:noProof/>
        </w:rPr>
        <w:t>Άρθρο 3</w:t>
      </w:r>
    </w:p>
    <w:p>
      <w:pPr>
        <w:keepLines/>
        <w:rPr>
          <w:noProof/>
        </w:rPr>
      </w:pPr>
      <w:r>
        <w:rPr>
          <w:noProof/>
        </w:rPr>
        <w:t>Η παρούσα απόφαση αρχίζει να ισχύει την ημέρα της δημοσίευσής της στην Επίσημη Εφημερίδα της Ευρωπαϊκής Ένωσης.</w:t>
      </w:r>
    </w:p>
    <w:p>
      <w:pPr>
        <w:pStyle w:val="Titrearticle"/>
        <w:rPr>
          <w:noProof/>
        </w:rPr>
      </w:pPr>
      <w:r>
        <w:rPr>
          <w:noProof/>
        </w:rPr>
        <w:t>Άρθρο 4</w:t>
      </w:r>
    </w:p>
    <w:p>
      <w:pPr>
        <w:rPr>
          <w:noProof/>
        </w:rPr>
      </w:pPr>
      <w:r>
        <w:rPr>
          <w:noProof/>
        </w:rPr>
        <w:t>Η παρούσα απόφαση απευθύνεται στα κράτη μέλη.</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317 της 15.12.2000, σ. 3</w:t>
      </w:r>
    </w:p>
  </w:footnote>
  <w:footnote w:id="2">
    <w:p>
      <w:pPr>
        <w:pStyle w:val="FootnoteText"/>
      </w:pPr>
      <w:r>
        <w:rPr>
          <w:rStyle w:val="FootnoteReference"/>
        </w:rPr>
        <w:footnoteRef/>
      </w:r>
      <w:r>
        <w:tab/>
        <w:t>ΕΕ L 210 της 6.8.2013, σ. 1</w:t>
      </w:r>
    </w:p>
  </w:footnote>
  <w:footnote w:id="3">
    <w:p>
      <w:pPr>
        <w:pStyle w:val="FootnoteText"/>
      </w:pPr>
      <w:r>
        <w:rPr>
          <w:rStyle w:val="FootnoteReference"/>
        </w:rPr>
        <w:footnoteRef/>
      </w:r>
      <w:r>
        <w:tab/>
        <w:t>ΕΕ L 307 της 3.12.2018, σ. 1-21.</w:t>
      </w:r>
    </w:p>
  </w:footnote>
  <w:footnote w:id="4">
    <w:p>
      <w:pPr>
        <w:pStyle w:val="FootnoteText"/>
      </w:pPr>
      <w:r>
        <w:rPr>
          <w:rStyle w:val="FootnoteReference"/>
        </w:rPr>
        <w:footnoteRef/>
      </w:r>
      <w:r>
        <w:tab/>
        <w:t>ΕΕ L 210 της 6.8.2013, σ. 1</w:t>
      </w:r>
    </w:p>
  </w:footnote>
  <w:footnote w:id="5">
    <w:p>
      <w:pPr>
        <w:pStyle w:val="FootnoteText"/>
      </w:pPr>
      <w:r>
        <w:rPr>
          <w:rStyle w:val="FootnoteReference"/>
        </w:rPr>
        <w:footnoteRef/>
      </w:r>
      <w:r>
        <w:tab/>
        <w:t>ΕΕ L 307 της 3.12.2018, σ. 7-9.</w:t>
      </w:r>
    </w:p>
  </w:footnote>
  <w:footnote w:id="6">
    <w:p>
      <w:pPr>
        <w:pStyle w:val="FootnoteText"/>
      </w:pPr>
      <w:r>
        <w:rPr>
          <w:rStyle w:val="FootnoteReference"/>
        </w:rPr>
        <w:footnoteRef/>
      </w:r>
      <w:r>
        <w:tab/>
        <w:t>ΕΕ L 286 της 14.11.2018, σ. 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88ED2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9DC4F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7DCDE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9F2CA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1EAA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A80A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8A40A6"/>
    <w:lvl w:ilvl="0">
      <w:start w:val="1"/>
      <w:numFmt w:val="decimal"/>
      <w:pStyle w:val="ListNumber"/>
      <w:lvlText w:val="%1."/>
      <w:lvlJc w:val="left"/>
      <w:pPr>
        <w:tabs>
          <w:tab w:val="num" w:pos="360"/>
        </w:tabs>
        <w:ind w:left="360" w:hanging="360"/>
      </w:pPr>
    </w:lvl>
  </w:abstractNum>
  <w:abstractNum w:abstractNumId="7">
    <w:nsid w:val="FFFFFF89"/>
    <w:multiLevelType w:val="singleLevel"/>
    <w:tmpl w:val="7C3C79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31 10:59: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0424ED0-A99C-4C05-960C-A02DA6A29959"/>
    <w:docVar w:name="LW_COVERPAGE_TYPE" w:val="1"/>
    <w:docVar w:name="LW_CROSSREFERENCE" w:val="&lt;UNUSED&gt;"/>
    <w:docVar w:name="LW_DocType" w:val="COM"/>
    <w:docVar w:name="LW_EMISSION" w:val="5.6.2019"/>
    <w:docVar w:name="LW_EMISSION_ISODATE" w:val="2019-06-05"/>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23"/>
    <w:docVar w:name="LW_REF.II.NEW.CP_YEAR" w:val="2019"/>
    <w:docVar w:name="LW_REF.INST.NEW" w:val="COM"/>
    <w:docVar w:name="LW_REF.INST.NEW_ADOPTED" w:val="final"/>
    <w:docVar w:name="LW_REF.INST.NEW_TEXT" w:val="(2019) 2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9?\u957? \u954?\u945?\u952?\u959?\u961?\u953?\u963?\u956?\u972? \u964?\u969?\u957? \u967?\u961?\u951?\u956?\u945?\u964?\u959?\u948?\u959?\u964?\u953?\u954?\u974?\u957? \u963?\u965?\u957?\u949?\u953?\u963?\u966?\u959?\u961?\u974?\u957? \u960?\u959?\u965? \u960?\u961?\u941?\u960?\u949?\u953? \u957?\u945? \u954?\u945?\u964?\u945?\u946?\u940?\u955?\u959?\u965?\u957? \u964?\u945? \u954?\u961?\u940?\u964?\u951? \u956?\u941?\u955?\u951? \u947?\u953?\u945? \u964?\u951? \u967?\u961?\u951?\u956?\u945?\u964?\u959?\u948?\u972?\u964?\u951?\u963?\u951? \u964?\u959?\u965? \u917?\u965?\u961?\u969?\u960?\u945?\u970?\u954?\u959?\u973? \u932?\u945?\u956?\u949?\u943?\u959?\u965? \u913?\u957?\u940?\u960?\u964?\u965?\u958?\u951?\u962?, \u963?\u965?\u956?\u960?\u949?\u961?\u953?\u955?\u945?\u956?\u946?\u945?\u957?\u959?\u956?\u941?\u957?\u951?\u962? \u964?\u951?\u962? \u948?\u949?\u973?\u964?\u949?\u961?\u951?\u962? \u948?\u972?\u963?\u951?\u962? \u947?\u953?\u945? \u964?\u959? 2019"/>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CADFAD1-7C6A-4FC2-B8DC-77FF2740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1112</Words>
  <Characters>6197</Characters>
  <Application>Microsoft Office Word</Application>
  <DocSecurity>0</DocSecurity>
  <Lines>119</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2019-05-21T12:52:00Z</dcterms:created>
  <dcterms:modified xsi:type="dcterms:W3CDTF">2019-05-31T08:59:00Z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