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301C7BF-D9B3-4CD6-AFDE-35051D5EF25F" style="width:450.75pt;height:3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bookmarkStart w:id="1" w:name="_GoBack"/>
      <w:bookmarkEnd w:id="1"/>
      <w:r>
        <w:rPr>
          <w:b/>
          <w:noProof/>
          <w:color w:val="000000" w:themeColor="text1"/>
          <w:sz w:val="28"/>
        </w:rPr>
        <w:lastRenderedPageBreak/>
        <w:t>Ftehim fir-Rigward tal-Limitazzjonijiet ta’ Żmien fuq l-Arranġamenti għall-Forniment ta’ Inġenji tal-Ajru bl-Ekwipaġġ</w:t>
      </w:r>
    </w:p>
    <w:p>
      <w:pPr>
        <w:jc w:val="center"/>
        <w:rPr>
          <w:noProof/>
          <w:color w:val="000000" w:themeColor="text1"/>
          <w:sz w:val="28"/>
          <w:szCs w:val="28"/>
        </w:rPr>
      </w:pP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>L-ISTATI UNITI TAL-AMERKA (minn hawn ’il quddiem, “l-Istati Uniti”), L-UNJONI EWROPEA, L-IŻLANDA, u r-RENJU TAN-NORVEĠJA (minn hawn ’il quddiem, “in-Norveġja”),</w:t>
      </w: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  <w:r>
        <w:rPr>
          <w:i/>
          <w:noProof/>
        </w:rPr>
        <w:t>Jirrikonoxxu</w:t>
      </w:r>
      <w:r>
        <w:rPr>
          <w:noProof/>
        </w:rPr>
        <w:t xml:space="preserve"> </w:t>
      </w:r>
      <w:r>
        <w:rPr>
          <w:noProof/>
          <w:color w:val="000000" w:themeColor="text1"/>
          <w:sz w:val="28"/>
        </w:rPr>
        <w:t>l-benefiċċju tal-promozzjoni tal-flessibbiltà u tal-opportunitajiet ġusti u ndaqs fir-rigward tal-arranġamenti operattivi konklużi mil-linji tal-ajru skont l-Artikolu 10(9) tal-Ftehim dwar it-Trasport bl-Ajru bejn l-Istati Uniti tal-Amerka u l-Komunità Ewropea u l-Istati Membri tagħha, li ġie ffirmat fil-25 u fit-30 ta’ April 2007, kif emendat mill-Protokoll li Jemenda l-Ftehim dwar it-Trasport bl-Ajru bejn l-Istati Uniti tal-Amerka u l-Komunità Ewropea u l-Istati Membri tagħha, li ġie ffirmat fl-24 ta’ Ġunju 2010 (minn hawn ‘il quddiem “l-ATA bejn l-Istati Uniti u l-UE”) u li ġie applikat skont il-Ftehim dwar it-Trasport bl-Ajru bejn l-Istati Uniti tal-Amerka, l-Unjoni Ewropea u l-Istati Membri tagħha, l-Iżlanda, u r-Renju tan-Norveġja, li ġie ffirmat fis-16 u fil-21 ta’ Ġunju 2011 (minn hawn ‘il quddiem l-“ATA bejn Erba’ Partijiet”)</w:t>
      </w:r>
      <w:r>
        <w:rPr>
          <w:noProof/>
        </w:rPr>
        <w:t>;</w:t>
      </w: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  <w:r>
        <w:rPr>
          <w:i/>
          <w:noProof/>
        </w:rPr>
        <w:t>Jirrikonoxxu</w:t>
      </w:r>
      <w:r>
        <w:rPr>
          <w:noProof/>
        </w:rPr>
        <w:t xml:space="preserve"> </w:t>
      </w:r>
      <w:r>
        <w:rPr>
          <w:noProof/>
          <w:color w:val="000000" w:themeColor="text1"/>
          <w:sz w:val="28"/>
        </w:rPr>
        <w:t xml:space="preserve">r-relazzjoni komprensiva tal-avjazzjoni bejn il-partijiet, stabbilita mill-ATA bejn l-Istati Uniti u l-UE u mill-ATA bejn Erba’ Partijiet, u l-kooperazzjoni mill-qrib bejn il-partijiet li ġiet żviluppata fil-kuntest ta’ dawn il-Ftehimiet; </w:t>
      </w: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  <w:r>
        <w:rPr>
          <w:i/>
          <w:noProof/>
        </w:rPr>
        <w:t>Jaffermaw</w:t>
      </w:r>
      <w:r>
        <w:rPr>
          <w:noProof/>
        </w:rPr>
        <w:t xml:space="preserve"> </w:t>
      </w:r>
      <w:r>
        <w:rPr>
          <w:noProof/>
          <w:color w:val="000000" w:themeColor="text1"/>
          <w:sz w:val="28"/>
        </w:rPr>
        <w:t>mill-ġdid l-objettiv komuni tal-Partijiet li jiżguraw l-ogħla grad ta’ sikurezza u sigurtà fit-trasport internazzjonali bl-ajru, kif rifless fl-oqfsa regolatorji simili tagħhom;</w:t>
      </w: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i/>
          <w:noProof/>
          <w:color w:val="000000" w:themeColor="text1"/>
          <w:sz w:val="28"/>
          <w:szCs w:val="28"/>
        </w:rPr>
      </w:pP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  <w:r>
        <w:rPr>
          <w:i/>
          <w:noProof/>
        </w:rPr>
        <w:t>Jirrikonoxxu</w:t>
      </w:r>
      <w:r>
        <w:rPr>
          <w:noProof/>
        </w:rPr>
        <w:t xml:space="preserve"> </w:t>
      </w:r>
      <w:r>
        <w:rPr>
          <w:noProof/>
          <w:color w:val="000000" w:themeColor="text1"/>
          <w:sz w:val="28"/>
        </w:rPr>
        <w:t xml:space="preserve">l-eżistenza ta’ kundizzjonijiet soċjali u ekonomiċi komparabbli bejn il-Partijiet fir-rigward tat-trasport internazzjonali bl-ajru; u </w:t>
      </w: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i/>
          <w:noProof/>
          <w:color w:val="000000" w:themeColor="text1"/>
          <w:sz w:val="28"/>
          <w:szCs w:val="28"/>
        </w:rPr>
      </w:pP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  <w:r>
        <w:rPr>
          <w:i/>
          <w:noProof/>
        </w:rPr>
        <w:t>Jimpenjaw ruħhom</w:t>
      </w:r>
      <w:r>
        <w:rPr>
          <w:noProof/>
        </w:rPr>
        <w:t xml:space="preserve"> </w:t>
      </w:r>
      <w:r>
        <w:rPr>
          <w:noProof/>
          <w:color w:val="000000" w:themeColor="text1"/>
          <w:sz w:val="28"/>
        </w:rPr>
        <w:t>li jippromwovu l-flessibbiltà fl-arranġamenti operattivi bejn il-linji tal-ajru biex jikru l-inġenji tal-ajru bl-ekwipaġġ kif previst mill-ATA bejn l-Istati Uniti u l-UE, inkluż kif applikat mill-ATA bejn Erba’ Partijiet, billi jneħħu b’mod reċiproku l-limiti ta’ żmien fuq tali arranġamenti, mingħajr ma jaffettwaw b’mod ieħor l-applikazzjoni ta’ dawk il-Ftehimiet;</w:t>
      </w: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>QABLU FUQ DAN LI ĠEJ:</w:t>
      </w: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Artikolu 1</w:t>
      </w:r>
    </w:p>
    <w:p>
      <w:pPr>
        <w:jc w:val="center"/>
        <w:rPr>
          <w:b/>
          <w:noProof/>
          <w:color w:val="000000" w:themeColor="text1"/>
          <w:sz w:val="28"/>
          <w:szCs w:val="28"/>
          <w:u w:val="single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Definizzjonijiet</w:t>
      </w:r>
    </w:p>
    <w:p>
      <w:pPr>
        <w:jc w:val="center"/>
        <w:rPr>
          <w:noProof/>
          <w:color w:val="000000" w:themeColor="text1"/>
          <w:sz w:val="28"/>
          <w:szCs w:val="28"/>
        </w:rPr>
      </w:pP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>Għall-finijiet ta’ dan il-Ftehim:</w:t>
      </w: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ind w:left="720"/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numPr>
          <w:ilvl w:val="0"/>
          <w:numId w:val="7"/>
        </w:num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rFonts w:eastAsia="Times New Roman"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>“Linji tal-ajru Ewropej” tfisser linji tal-ajru tal-Unjoni Ewropea u tal-Istati Membri tagħha, tal-Iżlanda u tan-Norveġja, li huma awtorizzati biex jipprovdu trasport internazzjonali bl-ajru skont l-Artikolu 4 tal-ATA bejn l-Istati Uniti u l-UE, inkluż kif applikat mill-ATA bejn Erba’ Partijiet.</w:t>
      </w:r>
    </w:p>
    <w:p>
      <w:p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ind w:left="720"/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 xml:space="preserve">“Parti” tfisser l-Istati Uniti, l-Unjoni Ewropea, l-Iżlanda, jew in-Norveġja. </w:t>
      </w:r>
    </w:p>
    <w:p>
      <w:pPr>
        <w:pStyle w:val="ListParagraph"/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>“Linji tal-ajru tal-Istati Uniti” tfisser linji tal-ajru tal-Istati Uniti awtorizzati biex jipprovdu trasport internazzjonali bl-ajru skont l-Artikolu 4 tal-ATA bejn l-Istati Uniti u l-UE, inkluż kif applikat mill-ATA bejn Erba’ Partijiet.</w:t>
      </w:r>
    </w:p>
    <w:p>
      <w:pPr>
        <w:pStyle w:val="ListParagraph"/>
        <w:ind w:left="0"/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 xml:space="preserve">“Kiri bl-ekwipaġġ” tfisser kwalunkwe arranġament bejn żewġ linji tal-ajru għall-forniment ta’ inġenju tal-ajru bl-ekwipaġġ għat-trasport internazzjonali bl-ajru. </w:t>
      </w:r>
    </w:p>
    <w:p>
      <w:pPr>
        <w:pStyle w:val="ListParagraph"/>
        <w:ind w:left="0"/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Artikolu 2</w:t>
      </w:r>
    </w:p>
    <w:p>
      <w:pPr>
        <w:jc w:val="center"/>
        <w:rPr>
          <w:b/>
          <w:noProof/>
          <w:color w:val="000000" w:themeColor="text1"/>
          <w:sz w:val="28"/>
          <w:szCs w:val="28"/>
          <w:u w:val="single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Limitazzjonijiet ta’ Żmien</w:t>
      </w:r>
    </w:p>
    <w:p>
      <w:pPr>
        <w:tabs>
          <w:tab w:val="left" w:pos="720"/>
          <w:tab w:val="left" w:pos="2520"/>
          <w:tab w:val="left" w:pos="4320"/>
          <w:tab w:val="left" w:pos="6120"/>
        </w:tabs>
        <w:ind w:left="720" w:hanging="720"/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pStyle w:val="ListParagraph"/>
        <w:numPr>
          <w:ilvl w:val="0"/>
          <w:numId w:val="44"/>
        </w:numPr>
        <w:tabs>
          <w:tab w:val="left" w:pos="720"/>
          <w:tab w:val="left" w:pos="2520"/>
          <w:tab w:val="left" w:pos="4320"/>
          <w:tab w:val="left" w:pos="6120"/>
        </w:tabs>
        <w:rPr>
          <w:rFonts w:eastAsia="Times New Roman"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 xml:space="preserve">L-ebda Parti ma għandha timponi, inkluż permezz ta’ statut jew regolament, limitazzjonijiet ta’ żmien fuq l-operat ta’ ebda kiri bl-ekwipaġġ skont l-Artikolu 10(9) tal-ATA bejn l-Istati Uniti u l-UE, inkluż kif applikat mill-ATA bejn Erba’ Partijiet, dment li tali kiri bl-ekwipaġġ jikkonforma mat-termini u l-kundizzjonijiet kollha tal- Artikolu 10(9) imsemmi. </w:t>
      </w:r>
    </w:p>
    <w:p>
      <w:pPr>
        <w:tabs>
          <w:tab w:val="left" w:pos="720"/>
          <w:tab w:val="left" w:pos="2520"/>
          <w:tab w:val="left" w:pos="4320"/>
          <w:tab w:val="left" w:pos="6120"/>
        </w:tabs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pStyle w:val="ListParagraph"/>
        <w:numPr>
          <w:ilvl w:val="0"/>
          <w:numId w:val="44"/>
        </w:numPr>
        <w:tabs>
          <w:tab w:val="left" w:pos="720"/>
          <w:tab w:val="left" w:pos="2520"/>
          <w:tab w:val="left" w:pos="4320"/>
          <w:tab w:val="left" w:pos="6120"/>
        </w:tabs>
        <w:jc w:val="both"/>
        <w:rPr>
          <w:rFonts w:eastAsia="Times New Roman"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>L-ebda ħaġa fil-paragrafu 1 ma għandha tinftiehem bħala li tillimita d-dritt ta’ Parti li tapplika b’mod ieħor l-istatuti u r-regolamenti tagħha fir-rigward tal-arranġamenti tal-kiri bl-ekwipaġġ li jinvolvu l-linji tal-ajru tagħha u dawk tal-pajjiżi li mhumiex parti għal dan il-Ftehim.</w:t>
      </w:r>
    </w:p>
    <w:p>
      <w:pPr>
        <w:tabs>
          <w:tab w:val="left" w:pos="720"/>
          <w:tab w:val="left" w:pos="2520"/>
          <w:tab w:val="left" w:pos="4320"/>
          <w:tab w:val="left" w:pos="6120"/>
        </w:tabs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tabs>
          <w:tab w:val="left" w:pos="720"/>
          <w:tab w:val="left" w:pos="2520"/>
          <w:tab w:val="left" w:pos="4320"/>
          <w:tab w:val="left" w:pos="6120"/>
        </w:tabs>
        <w:ind w:left="720" w:hanging="720"/>
        <w:rPr>
          <w:noProof/>
          <w:color w:val="000000" w:themeColor="text1"/>
          <w:sz w:val="28"/>
        </w:rPr>
      </w:pPr>
    </w:p>
    <w:p>
      <w:pPr>
        <w:rPr>
          <w:b/>
          <w:noProof/>
          <w:color w:val="000000" w:themeColor="text1"/>
          <w:sz w:val="28"/>
          <w:szCs w:val="28"/>
        </w:rPr>
      </w:pPr>
      <w:r>
        <w:rPr>
          <w:noProof/>
        </w:rPr>
        <w:br w:type="page"/>
      </w: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Artikolu 3</w:t>
      </w:r>
    </w:p>
    <w:p>
      <w:pPr>
        <w:jc w:val="center"/>
        <w:rPr>
          <w:b/>
          <w:noProof/>
          <w:color w:val="000000" w:themeColor="text1"/>
          <w:sz w:val="28"/>
          <w:szCs w:val="28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Konsultazzjonijiet</w:t>
      </w:r>
    </w:p>
    <w:p>
      <w:pPr>
        <w:jc w:val="center"/>
        <w:rPr>
          <w:b/>
          <w:noProof/>
          <w:color w:val="000000" w:themeColor="text1"/>
          <w:sz w:val="28"/>
          <w:szCs w:val="28"/>
        </w:rPr>
      </w:pPr>
    </w:p>
    <w:p>
      <w:pPr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>Kwalunkwe Parti tista’, fi kwalunkwe mument, titlob konsultazzjonijiet ma’ kwalunkwe Parti jew Partijiet oħra fir-rigward ta’ kwalunkwe kwistjoni relatata ma’ dan il-Ftehim.  Tali konsultazzjonijiet għandhom jibdew fl-aktar data kmieni possibbli, iżda mhux aktar tard minn 60 jum mid-data li fiha l-Parti l-oħra tirċievi t-talba jew, kif xieraq, mid-data li fiha l-Partijiet l-oħra kollha jkunu rċevew it-talba, sakemm ma jkunx miftiehem mod ieħor.  Tali konsultazzjonijiet jistgħu jiġu organizzati b’rabta ma’ laqgħa tal-Kumitat Konġunt imsemmi fl-Artikolu 18 tal-ATA bejn l-Istati Uniti u l-UE.</w:t>
      </w:r>
    </w:p>
    <w:p>
      <w:pPr>
        <w:rPr>
          <w:noProof/>
          <w:color w:val="000000" w:themeColor="text1"/>
          <w:sz w:val="28"/>
          <w:szCs w:val="28"/>
        </w:rPr>
      </w:pPr>
    </w:p>
    <w:p>
      <w:pPr>
        <w:rPr>
          <w:noProof/>
          <w:color w:val="000000" w:themeColor="text1"/>
          <w:sz w:val="28"/>
          <w:szCs w:val="28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Artikolu 4</w:t>
      </w:r>
    </w:p>
    <w:p>
      <w:pPr>
        <w:rPr>
          <w:b/>
          <w:noProof/>
          <w:color w:val="000000" w:themeColor="text1"/>
          <w:sz w:val="28"/>
          <w:szCs w:val="28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Rieżami</w:t>
      </w:r>
    </w:p>
    <w:p>
      <w:pPr>
        <w:rPr>
          <w:b/>
          <w:noProof/>
          <w:color w:val="000000" w:themeColor="text1"/>
          <w:sz w:val="28"/>
          <w:szCs w:val="28"/>
        </w:rPr>
      </w:pPr>
    </w:p>
    <w:p>
      <w:pPr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>Il-Partijiet għandhom jeżaminaw mill-ġdid, kif xieraq, l-implimentazzjoni ta’ dan il-Ftehim.  Tali rieżami jista’ jsir b’rabta ma’ laqgħa tal-Kumitat Konġunt imsemmi fl-Artikolu 18 tal-ATA bejn l-Istati Uniti u l-UE.</w:t>
      </w:r>
    </w:p>
    <w:p>
      <w:pPr>
        <w:rPr>
          <w:noProof/>
          <w:color w:val="000000" w:themeColor="text1"/>
          <w:sz w:val="28"/>
          <w:szCs w:val="28"/>
        </w:rPr>
      </w:pPr>
    </w:p>
    <w:p>
      <w:pPr>
        <w:rPr>
          <w:b/>
          <w:noProof/>
          <w:color w:val="000000" w:themeColor="text1"/>
          <w:sz w:val="28"/>
          <w:szCs w:val="28"/>
        </w:rPr>
      </w:pPr>
    </w:p>
    <w:p>
      <w:pPr>
        <w:rPr>
          <w:b/>
          <w:noProof/>
          <w:color w:val="000000" w:themeColor="text1"/>
          <w:sz w:val="28"/>
          <w:szCs w:val="28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Artikolu 5</w:t>
      </w:r>
    </w:p>
    <w:p>
      <w:pPr>
        <w:jc w:val="center"/>
        <w:rPr>
          <w:b/>
          <w:noProof/>
          <w:color w:val="000000" w:themeColor="text1"/>
          <w:sz w:val="28"/>
          <w:szCs w:val="28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Riżoluzzjoni ta’ tilwim</w:t>
      </w:r>
    </w:p>
    <w:p>
      <w:pPr>
        <w:jc w:val="center"/>
        <w:rPr>
          <w:noProof/>
          <w:color w:val="000000" w:themeColor="text1"/>
          <w:sz w:val="28"/>
          <w:szCs w:val="28"/>
        </w:rPr>
      </w:pPr>
    </w:p>
    <w:p>
      <w:pPr>
        <w:pStyle w:val="Default"/>
        <w:numPr>
          <w:ilvl w:val="0"/>
          <w:numId w:val="13"/>
        </w:numPr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 xml:space="preserve">Kwalunkwe tilwima li tirriżulta fil-qafas ta’ dan il-Ftehim li ma tiġix solvuta bil-konsultazzjonijiet imsemmija fl-Artikolu 3 tista’ titressaq quddiem persuna jew korp biex tittieħed deċiżjoni bi ftehim tal-partijiet għat-tilwima.  Jekk il-partijiet għat-tilwima ma jaqblux dwar dan, fuq talba ta’ waħda mill-partijiet għat-tilwima, it-tilwima għandha titressaq għall-arbitraġġ permezz tal-proċeduri previsti fl-Artikolu 19(2)-(8) tal-ATA bejn l-Istati Uniti u l-UE, ħlief kif ipprovdut hawnhekk.  </w:t>
      </w:r>
    </w:p>
    <w:p>
      <w:pPr>
        <w:pStyle w:val="Default"/>
        <w:ind w:left="720"/>
        <w:rPr>
          <w:noProof/>
          <w:color w:val="000000" w:themeColor="text1"/>
          <w:sz w:val="28"/>
          <w:szCs w:val="28"/>
        </w:rPr>
      </w:pPr>
    </w:p>
    <w:p>
      <w:pPr>
        <w:pStyle w:val="Default"/>
        <w:numPr>
          <w:ilvl w:val="0"/>
          <w:numId w:val="13"/>
        </w:numPr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 xml:space="preserve">Fil-każ ta’ tilwima li tinvolvi: </w:t>
      </w:r>
    </w:p>
    <w:p>
      <w:pPr>
        <w:pStyle w:val="Default"/>
        <w:ind w:left="720"/>
        <w:rPr>
          <w:noProof/>
          <w:color w:val="000000" w:themeColor="text1"/>
          <w:sz w:val="28"/>
          <w:szCs w:val="28"/>
        </w:rPr>
      </w:pPr>
    </w:p>
    <w:p>
      <w:pPr>
        <w:pStyle w:val="Default"/>
        <w:numPr>
          <w:ilvl w:val="4"/>
          <w:numId w:val="8"/>
        </w:numPr>
        <w:tabs>
          <w:tab w:val="left" w:pos="1800"/>
        </w:tabs>
        <w:ind w:left="180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 xml:space="preserve"> </w:t>
      </w:r>
      <w:r>
        <w:rPr>
          <w:noProof/>
          <w:color w:val="auto"/>
          <w:sz w:val="28"/>
        </w:rPr>
        <w:t>żewġ Partijiet għal dan il-Ftehim, it-terminu “Parti” jew “Partijiet” fl-Artikolu 19(2)-(8)</w:t>
      </w:r>
      <w:r>
        <w:rPr>
          <w:noProof/>
        </w:rPr>
        <w:t xml:space="preserve"> tal-ATA bejn l-Istati Uniti u l-UE, meta jiġi applikat għal tali tilwima taħt dan il-Ftehim, għandu jfisser parti jew partijiet għal tilwima taħt dan il-Ftehim;</w:t>
      </w:r>
      <w:r>
        <w:rPr>
          <w:noProof/>
          <w:color w:val="000000" w:themeColor="text1"/>
          <w:sz w:val="28"/>
        </w:rPr>
        <w:t xml:space="preserve">  </w:t>
      </w:r>
    </w:p>
    <w:p>
      <w:pPr>
        <w:pStyle w:val="Default"/>
        <w:tabs>
          <w:tab w:val="left" w:pos="1800"/>
        </w:tabs>
        <w:ind w:left="1800"/>
        <w:rPr>
          <w:noProof/>
          <w:color w:val="000000" w:themeColor="text1"/>
          <w:sz w:val="28"/>
          <w:szCs w:val="28"/>
        </w:rPr>
      </w:pPr>
    </w:p>
    <w:p>
      <w:pPr>
        <w:pStyle w:val="Default"/>
        <w:numPr>
          <w:ilvl w:val="4"/>
          <w:numId w:val="8"/>
        </w:numPr>
        <w:tabs>
          <w:tab w:val="left" w:pos="1800"/>
        </w:tabs>
        <w:ind w:left="180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>aktar minn żewġ Partijiet għal dan il-Ftehim, waħda min-naħat jew iż-żewġ naħat jistgħu jinkludu diversi Partijiet għall-finijiet ta’ parteċipazzjoni fi proċediment deskritt f’dan l-Artikolu.  Fil-każ ta’ tali tilwima taħt dan il-Ftehim, ir-referenzi kollha għal “Parti” fl-Artikoli 19(2)-(8) tal-ATA bejn l-Istati Uniti u l-UE, meta jiġu applikati għal dik it-tilwima, għandhom ifissru naħa waħda għat-tilwima taħt dan il-Ftehim, u r-referenzi kollha għal “Partijiet”, meta jiġu applikati għal dik it-tilwima, għandhom ifissru ż-żewġ naħat għat-tilwima taħt dan il-Ftehim.</w:t>
      </w:r>
    </w:p>
    <w:p>
      <w:pPr>
        <w:pStyle w:val="Default"/>
        <w:ind w:left="1440"/>
        <w:rPr>
          <w:noProof/>
          <w:color w:val="000000" w:themeColor="text1"/>
          <w:sz w:val="28"/>
          <w:szCs w:val="28"/>
        </w:rPr>
      </w:pPr>
    </w:p>
    <w:p>
      <w:pPr>
        <w:pStyle w:val="Default"/>
        <w:numPr>
          <w:ilvl w:val="0"/>
          <w:numId w:val="13"/>
        </w:numPr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>It-terminu “dan il-Ftehim” fl-Artikolu 19(3) u (7) tal-ATA bejn l-Istati Uniti u l-UE, meta jiġi applikat għal tilwima fil-qafas ta’ dan il-Ftehim, għandu jfisser dan il-Ftehim fir-Rigward tal-Limitazzjonijiet ta’ Żmien fuq l-Arranġamenti għall-Forniment ta’ Inġenji tal-Ajru bl-Ekwipaġġ bejn l-Istati Uniti tal-Amerika, l-Unjoni Ewropea, l-Iżlanda, u r-Renju tan-Norveġja.</w:t>
      </w:r>
    </w:p>
    <w:p>
      <w:pPr>
        <w:pStyle w:val="Default"/>
        <w:ind w:left="360"/>
        <w:rPr>
          <w:noProof/>
          <w:color w:val="000000" w:themeColor="text1"/>
          <w:sz w:val="28"/>
          <w:szCs w:val="28"/>
        </w:rPr>
      </w:pPr>
    </w:p>
    <w:p>
      <w:pPr>
        <w:pStyle w:val="ListParagraph"/>
        <w:numPr>
          <w:ilvl w:val="0"/>
          <w:numId w:val="13"/>
        </w:numPr>
        <w:rPr>
          <w:noProof/>
          <w:sz w:val="28"/>
          <w:szCs w:val="28"/>
        </w:rPr>
      </w:pPr>
      <w:r>
        <w:rPr>
          <w:noProof/>
          <w:sz w:val="28"/>
        </w:rPr>
        <w:t xml:space="preserve">Ir-referenza għal “Stat Membru” fl-Artikolu 19(2) tal-ATA bejn l-Istati Uniti u l-UE, meta tiġi applikata għal tilwima fil-qafas ta’ dan il-Ftehim, għandha tinkludi lill-Iżlanda u lin-Noverġja. </w:t>
      </w:r>
    </w:p>
    <w:p>
      <w:pPr>
        <w:shd w:val="clear" w:color="auto" w:fill="FFFFFF"/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shd w:val="clear" w:color="auto" w:fill="FFFFFF"/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Artikolu 6</w:t>
      </w:r>
    </w:p>
    <w:p>
      <w:pPr>
        <w:jc w:val="center"/>
        <w:rPr>
          <w:b/>
          <w:noProof/>
          <w:color w:val="000000" w:themeColor="text1"/>
          <w:sz w:val="28"/>
          <w:szCs w:val="28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Reġistrazzjoni mal-Organizzazzjoni Internazzjonali tal-Avjazzjoni Ċivili (ICAO)</w:t>
      </w:r>
    </w:p>
    <w:p>
      <w:pPr>
        <w:jc w:val="center"/>
        <w:rPr>
          <w:noProof/>
          <w:color w:val="000000" w:themeColor="text1"/>
          <w:sz w:val="28"/>
          <w:szCs w:val="28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>Dan il-Ftehim u l-emendi kollha li jsiru fih għandhom jiġu rreġistrati mal-ICAO mis-Segretarjat Ġenerali tal-Kunsill tal-Unjoni Ewropea.</w:t>
      </w:r>
    </w:p>
    <w:p>
      <w:pPr>
        <w:shd w:val="clear" w:color="auto" w:fill="FFFFFF"/>
        <w:ind w:left="1080"/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pStyle w:val="ListParagraph"/>
        <w:shd w:val="clear" w:color="auto" w:fill="FFFFFF"/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Artikolu 7</w:t>
      </w:r>
    </w:p>
    <w:p>
      <w:pPr>
        <w:jc w:val="center"/>
        <w:rPr>
          <w:b/>
          <w:noProof/>
          <w:color w:val="000000" w:themeColor="text1"/>
          <w:sz w:val="28"/>
          <w:szCs w:val="28"/>
        </w:rPr>
      </w:pPr>
    </w:p>
    <w:p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</w:rPr>
        <w:t>Dħul fis-Seħħ, Applikazzjoni Proviżorja u Terminazzjoni</w:t>
      </w:r>
    </w:p>
    <w:p>
      <w:pPr>
        <w:tabs>
          <w:tab w:val="left" w:pos="720"/>
          <w:tab w:val="left" w:pos="2520"/>
          <w:tab w:val="left" w:pos="4320"/>
          <w:tab w:val="left" w:pos="6120"/>
        </w:tabs>
        <w:rPr>
          <w:noProof/>
          <w:color w:val="000000" w:themeColor="text1"/>
          <w:sz w:val="28"/>
          <w:szCs w:val="28"/>
        </w:rPr>
      </w:pPr>
    </w:p>
    <w:p>
      <w:pPr>
        <w:numPr>
          <w:ilvl w:val="0"/>
          <w:numId w:val="6"/>
        </w:numPr>
        <w:tabs>
          <w:tab w:val="left" w:pos="720"/>
          <w:tab w:val="left" w:pos="2520"/>
          <w:tab w:val="left" w:pos="4320"/>
          <w:tab w:val="left" w:pos="6120"/>
        </w:tabs>
        <w:rPr>
          <w:rFonts w:eastAsia="Times New Roman"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 xml:space="preserve">Dan il-Ftehim għandu jidħol fis-seħħ xahar wara d-data tal-aħħar nota tal-iskambji ta’ noti diplomatiċi bejn il-Partijiet, li tikkonferma li l-proċeduri kollha meħtieġa biex dan il-Ftehim jidħol fis-seħħ ikunu tlestew.  </w:t>
      </w:r>
    </w:p>
    <w:p>
      <w:pPr>
        <w:tabs>
          <w:tab w:val="left" w:pos="720"/>
          <w:tab w:val="left" w:pos="2520"/>
          <w:tab w:val="left" w:pos="4320"/>
          <w:tab w:val="left" w:pos="6120"/>
        </w:tabs>
        <w:ind w:left="720"/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numPr>
          <w:ilvl w:val="0"/>
          <w:numId w:val="6"/>
        </w:numPr>
        <w:tabs>
          <w:tab w:val="left" w:pos="720"/>
          <w:tab w:val="left" w:pos="2520"/>
          <w:tab w:val="left" w:pos="4320"/>
          <w:tab w:val="left" w:pos="6120"/>
        </w:tabs>
        <w:rPr>
          <w:rFonts w:eastAsia="Times New Roman"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 xml:space="preserve">Sakemm jidħol fis-seħħ, il-Partijiet jaqblu li dan il-Ftehim għandu jiġi applikat b’mod proviżorju mill-Istati Uniti u mill-Unjoni Ewropea malli jiġi ffirmat mill-Istati Uniti u mill-Unjoni Ewropea, u min-Norveġja u l-Iżlanda fl-aktar data tard tal-applikazzjoni proviżorja mill-Istati Uniti u mill-Unjoni Ewropea u l-firma minn dak l-Istat ta’ dan il-Ftehim. </w:t>
      </w:r>
    </w:p>
    <w:p>
      <w:pPr>
        <w:tabs>
          <w:tab w:val="left" w:pos="720"/>
          <w:tab w:val="left" w:pos="2520"/>
          <w:tab w:val="left" w:pos="4320"/>
          <w:tab w:val="left" w:pos="6120"/>
        </w:tabs>
        <w:ind w:left="720"/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numPr>
          <w:ilvl w:val="0"/>
          <w:numId w:val="6"/>
        </w:numPr>
        <w:tabs>
          <w:tab w:val="left" w:pos="720"/>
          <w:tab w:val="left" w:pos="2520"/>
          <w:tab w:val="left" w:pos="4320"/>
          <w:tab w:val="left" w:pos="6120"/>
        </w:tabs>
        <w:rPr>
          <w:rFonts w:eastAsia="Times New Roman"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hd w:val="clear" w:color="auto" w:fill="FFFFFF"/>
        </w:rPr>
        <w:t>L-Istati Uniti jew l-Unjoni Ewropea jistgħu, fi kwalunkwe mument, jagħtu avviż bil-miktub lill-Partijiet l-oħra, permezz ta’ kanali diplomatiċi, dwar id-deċiżjoni tagħhom li jtemmu dan il-Ftehim jew li jtemmu l-applikazzjoni proviżorja ta’ dan il-Ftehim skont il-paragrafu 2 ta’ dan l-Artikolu.</w:t>
      </w:r>
      <w:r>
        <w:rPr>
          <w:rStyle w:val="apple-converted-space"/>
          <w:noProof/>
          <w:color w:val="000000" w:themeColor="text1"/>
          <w:sz w:val="28"/>
          <w:shd w:val="clear" w:color="auto" w:fill="FFFFFF"/>
        </w:rPr>
        <w:t xml:space="preserve">  </w:t>
      </w:r>
      <w:r>
        <w:rPr>
          <w:noProof/>
          <w:color w:val="000000" w:themeColor="text1"/>
          <w:sz w:val="28"/>
          <w:shd w:val="clear" w:color="auto" w:fill="FFFFFF"/>
        </w:rPr>
        <w:t xml:space="preserve">Kopja tal-avviż għandha tintbagħat fl-istess ħin lill-ICAO.  </w:t>
      </w:r>
      <w:r>
        <w:rPr>
          <w:noProof/>
          <w:color w:val="000000" w:themeColor="text1"/>
          <w:sz w:val="28"/>
        </w:rPr>
        <w:t>Dan il-Ftehim għandu jintemm, jew l-applikazzjoni proviżorja ta’ dan il-Ftehim għandha tintemm, f’nofsillejl GMT 90 jum wara d-data tal-avviż bil-miktub, sakemm l-avviż ma jiġix irtirat bi ftehim tal-Istati Uniti u tal-Unjoni Ewropea qabel it-tmiem ta’ dan il-perjodu.</w:t>
      </w:r>
    </w:p>
    <w:p>
      <w:pPr>
        <w:pStyle w:val="ListParagraph"/>
        <w:rPr>
          <w:noProof/>
          <w:color w:val="000000" w:themeColor="text1"/>
          <w:sz w:val="28"/>
          <w:szCs w:val="28"/>
        </w:rPr>
      </w:pPr>
    </w:p>
    <w:p>
      <w:pPr>
        <w:numPr>
          <w:ilvl w:val="0"/>
          <w:numId w:val="6"/>
        </w:numPr>
        <w:tabs>
          <w:tab w:val="left" w:pos="720"/>
          <w:tab w:val="left" w:pos="2520"/>
          <w:tab w:val="left" w:pos="4320"/>
          <w:tab w:val="left" w:pos="6120"/>
        </w:tabs>
        <w:rPr>
          <w:rFonts w:eastAsia="Times New Roman"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hd w:val="clear" w:color="auto" w:fill="FFFFFF"/>
        </w:rPr>
        <w:t>L-Iżlanda jew in-Norveġja jistgħu, fi kwalunkwe mument, jagħtu avviż bil-miktub lill-Partijiet l-oħra, permezz ta’ kanali diplomatiċi, dwar id-deċiżjoni tagħhom li jirtiraw minn dan il-Ftehim jew li jtemmu l-applikazzjoni proviżorja tagħhom ta’ dan il-Ftehim skont il-paragrafu 2 ta’ dan l-Artikolu.  Kopja tal-avviż għandha tintbagħat fl-istess ħin lill-ICAO.  Tali rtirar jew waqfien tal-applikazzjoni proviżorja għandu jkun effettiv f’nofsillejl GMT 90 jum wara d-data tal-avviż bil-miktub, sakemm l-avviż ma jiġix irtirat bi ftehim tal-Parti li tagħti l-avviż bil-miktub, l-Istati Uniti, u l-Unjoni Ewropea qabel it-tmiem ta’ dan il-perjodu.</w:t>
      </w:r>
    </w:p>
    <w:p>
      <w:pPr>
        <w:tabs>
          <w:tab w:val="left" w:pos="720"/>
          <w:tab w:val="left" w:pos="2520"/>
          <w:tab w:val="left" w:pos="4320"/>
          <w:tab w:val="left" w:pos="6120"/>
        </w:tabs>
        <w:ind w:left="720"/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numPr>
          <w:ilvl w:val="0"/>
          <w:numId w:val="6"/>
        </w:numPr>
        <w:tabs>
          <w:tab w:val="left" w:pos="720"/>
          <w:tab w:val="left" w:pos="2520"/>
          <w:tab w:val="left" w:pos="4320"/>
          <w:tab w:val="left" w:pos="6120"/>
        </w:tabs>
        <w:rPr>
          <w:rFonts w:eastAsia="Times New Roman"/>
          <w:noProof/>
          <w:color w:val="000000" w:themeColor="text1"/>
          <w:sz w:val="28"/>
          <w:szCs w:val="28"/>
        </w:rPr>
      </w:pPr>
      <w:r>
        <w:rPr>
          <w:noProof/>
        </w:rPr>
        <w:t>Minkejja kwalunkwe dispożizzjoni oħra ta’ dan l-Artikolu, jekk l-ATA bejn l-Istati Uniti u l-UE jintemm jew il-partijiet għal dak il-ftehim ma jibqgħux japplikawh b’mod proviżorju, dan il-Ftehim għandu jintemm fl-istess ħin.</w:t>
      </w:r>
    </w:p>
    <w:p>
      <w:pPr>
        <w:pStyle w:val="ListParagraph"/>
        <w:rPr>
          <w:noProof/>
          <w:color w:val="000000" w:themeColor="text1"/>
          <w:sz w:val="28"/>
          <w:szCs w:val="28"/>
          <w:shd w:val="clear" w:color="auto" w:fill="FFFFFF"/>
        </w:rPr>
      </w:pPr>
    </w:p>
    <w:p>
      <w:pPr>
        <w:numPr>
          <w:ilvl w:val="0"/>
          <w:numId w:val="6"/>
        </w:numPr>
        <w:tabs>
          <w:tab w:val="left" w:pos="720"/>
          <w:tab w:val="left" w:pos="2520"/>
          <w:tab w:val="left" w:pos="4320"/>
          <w:tab w:val="left" w:pos="6120"/>
        </w:tabs>
        <w:rPr>
          <w:rFonts w:eastAsia="Times New Roman"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hd w:val="clear" w:color="auto" w:fill="FFFFFF"/>
        </w:rPr>
        <w:t>Minkejja kwalunkwe dispożizzjoni oħra ta’ dan l-Artikolu, jekk l-ATA bejn Erba’ Partijiet jintemm skont l-Artikolu 3(1) ta’ dak il-ftehim, jew il-partijiet għal dak il-ftehim ma jibqgħux japplikawh b’mod proviżorju, jew jekk dak il-ftehim jintemm fir-rigward tan-Norveġja jew tal-Iżlanda skont l-Artikolu 3(3), dan il-Ftehim għandu jintemm fir-rigward tan-Norveġja u/jew tal-Iżlanda fl-istess data li fiha l-waqfien jew it-tmiem isir effettiv għal dik il-Parti jew Partijiet.</w:t>
      </w:r>
      <w:r>
        <w:rPr>
          <w:noProof/>
          <w:color w:val="000000" w:themeColor="text1"/>
          <w:sz w:val="28"/>
        </w:rPr>
        <w:t xml:space="preserve">  </w:t>
      </w:r>
    </w:p>
    <w:p>
      <w:pPr>
        <w:tabs>
          <w:tab w:val="left" w:pos="720"/>
          <w:tab w:val="left" w:pos="2520"/>
          <w:tab w:val="left" w:pos="4320"/>
          <w:tab w:val="left" w:pos="6120"/>
        </w:tabs>
        <w:ind w:left="720"/>
        <w:rPr>
          <w:noProof/>
          <w:color w:val="000000" w:themeColor="text1"/>
          <w:sz w:val="28"/>
          <w:szCs w:val="28"/>
          <w:shd w:val="clear" w:color="auto" w:fill="FFFFFF"/>
        </w:rPr>
      </w:pPr>
    </w:p>
    <w:p>
      <w:pPr>
        <w:pStyle w:val="ListParagraph"/>
        <w:numPr>
          <w:ilvl w:val="0"/>
          <w:numId w:val="6"/>
        </w:numPr>
        <w:tabs>
          <w:tab w:val="left" w:pos="720"/>
          <w:tab w:val="left" w:pos="2520"/>
          <w:tab w:val="left" w:pos="4320"/>
          <w:tab w:val="left" w:pos="6120"/>
        </w:tabs>
        <w:rPr>
          <w:rFonts w:eastAsia="Times New Roman"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 xml:space="preserve">Minkejja kwalunkwe dispożizzjoni oħra ta’ dan l-Artikolu, jekk in-Norveġja u/jew l-Iżlanda jirtiraw mill-ATA bejn Erba’ Partijiet skont l-Artikolu 3(2) ta’ dak il-ftehim, dan il-Ftehim għandu jintemm fir-rigward tal-Parti jew tal-Partijiet li jirtiraw mill-ATA bejn Erba’ Partijiet fl-istess data li fiha l-irtirar mill-ATA bejn Erba’ Partijiet isir effettiv għal dik il-Parti jew Partijiet. </w:t>
      </w:r>
    </w:p>
    <w:p>
      <w:pPr>
        <w:tabs>
          <w:tab w:val="left" w:pos="720"/>
          <w:tab w:val="left" w:pos="2520"/>
          <w:tab w:val="left" w:pos="4320"/>
          <w:tab w:val="left" w:pos="6120"/>
        </w:tabs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tabs>
          <w:tab w:val="left" w:pos="720"/>
          <w:tab w:val="left" w:pos="2520"/>
          <w:tab w:val="left" w:pos="4320"/>
          <w:tab w:val="left" w:pos="6120"/>
        </w:tabs>
        <w:rPr>
          <w:rFonts w:eastAsia="Times New Roman"/>
          <w:noProof/>
          <w:color w:val="000000" w:themeColor="text1"/>
          <w:sz w:val="28"/>
          <w:szCs w:val="28"/>
        </w:rPr>
      </w:pPr>
    </w:p>
    <w:p>
      <w:pPr>
        <w:tabs>
          <w:tab w:val="left" w:pos="720"/>
          <w:tab w:val="left" w:pos="2520"/>
          <w:tab w:val="left" w:pos="4320"/>
          <w:tab w:val="left" w:pos="6120"/>
        </w:tabs>
        <w:ind w:left="720" w:hanging="720"/>
        <w:rPr>
          <w:noProof/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t>B’XHIEDA TA’ DAN, il-firmatarji, debitament awtorizzati, iffirmaw dan il-Ftehim.</w:t>
      </w:r>
    </w:p>
    <w:p>
      <w:pPr>
        <w:tabs>
          <w:tab w:val="left" w:pos="720"/>
          <w:tab w:val="left" w:pos="2520"/>
          <w:tab w:val="left" w:pos="4320"/>
          <w:tab w:val="left" w:pos="6120"/>
        </w:tabs>
        <w:ind w:left="720" w:hanging="720"/>
        <w:rPr>
          <w:noProof/>
          <w:color w:val="000000" w:themeColor="text1"/>
          <w:sz w:val="28"/>
        </w:rPr>
      </w:pPr>
    </w:p>
    <w:p>
      <w:pPr>
        <w:tabs>
          <w:tab w:val="left" w:pos="720"/>
          <w:tab w:val="left" w:pos="2520"/>
          <w:tab w:val="left" w:pos="4320"/>
          <w:tab w:val="left" w:pos="6120"/>
        </w:tabs>
        <w:ind w:left="720" w:hanging="720"/>
        <w:rPr>
          <w:noProof/>
          <w:color w:val="000000" w:themeColor="text1"/>
          <w:sz w:val="28"/>
        </w:rPr>
      </w:pPr>
      <w:r>
        <w:rPr>
          <w:i/>
          <w:noProof/>
          <w:color w:val="000000" w:themeColor="text1"/>
          <w:sz w:val="28"/>
        </w:rPr>
        <w:t>Magħmul fi</w:t>
      </w:r>
      <w:r>
        <w:rPr>
          <w:noProof/>
        </w:rPr>
        <w:t xml:space="preserve"> __________ f’erba’ kopji, bil-lingwa Ingliża, fil- ____________ 2019.</w:t>
      </w:r>
    </w:p>
    <w:p>
      <w:pPr>
        <w:tabs>
          <w:tab w:val="left" w:pos="720"/>
          <w:tab w:val="left" w:pos="2520"/>
          <w:tab w:val="left" w:pos="4320"/>
          <w:tab w:val="left" w:pos="6120"/>
        </w:tabs>
        <w:ind w:left="720" w:hanging="720"/>
        <w:rPr>
          <w:noProof/>
          <w:color w:val="000000" w:themeColor="text1"/>
          <w:sz w:val="28"/>
        </w:rPr>
      </w:pPr>
    </w:p>
    <w:p>
      <w:pPr>
        <w:tabs>
          <w:tab w:val="left" w:pos="720"/>
          <w:tab w:val="left" w:pos="2520"/>
          <w:tab w:val="left" w:pos="4320"/>
          <w:tab w:val="left" w:pos="6120"/>
        </w:tabs>
        <w:ind w:left="720" w:hanging="720"/>
        <w:rPr>
          <w:noProof/>
          <w:color w:val="000000" w:themeColor="text1"/>
          <w:sz w:val="28"/>
        </w:rPr>
      </w:pPr>
    </w:p>
    <w:p>
      <w:pPr>
        <w:tabs>
          <w:tab w:val="left" w:pos="720"/>
          <w:tab w:val="left" w:pos="2520"/>
          <w:tab w:val="left" w:pos="4320"/>
          <w:tab w:val="left" w:pos="6120"/>
        </w:tabs>
        <w:ind w:left="720" w:hanging="720"/>
        <w:rPr>
          <w:noProof/>
          <w:color w:val="000000" w:themeColor="text1"/>
          <w:sz w:val="28"/>
        </w:rPr>
      </w:pPr>
    </w:p>
    <w:p>
      <w:pPr>
        <w:tabs>
          <w:tab w:val="left" w:pos="720"/>
          <w:tab w:val="left" w:pos="2520"/>
          <w:tab w:val="left" w:pos="4320"/>
          <w:tab w:val="left" w:pos="5245"/>
        </w:tabs>
        <w:ind w:left="720" w:hanging="720"/>
        <w:rPr>
          <w:noProof/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t xml:space="preserve">Għall-Istati Uniti tal-Amerka: 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color w:val="000000" w:themeColor="text1"/>
          <w:sz w:val="28"/>
        </w:rPr>
        <w:t>Għall-Unjoni Ewropea:</w:t>
      </w:r>
    </w:p>
    <w:p>
      <w:pPr>
        <w:tabs>
          <w:tab w:val="left" w:pos="720"/>
          <w:tab w:val="left" w:pos="2520"/>
          <w:tab w:val="left" w:pos="4320"/>
          <w:tab w:val="left" w:pos="6120"/>
        </w:tabs>
        <w:ind w:left="720" w:hanging="720"/>
        <w:rPr>
          <w:noProof/>
          <w:color w:val="000000" w:themeColor="text1"/>
          <w:sz w:val="28"/>
        </w:rPr>
      </w:pPr>
    </w:p>
    <w:p>
      <w:pPr>
        <w:tabs>
          <w:tab w:val="left" w:pos="720"/>
          <w:tab w:val="left" w:pos="2520"/>
          <w:tab w:val="left" w:pos="4320"/>
          <w:tab w:val="left" w:pos="6120"/>
        </w:tabs>
        <w:ind w:left="720" w:hanging="720"/>
        <w:rPr>
          <w:noProof/>
          <w:color w:val="000000" w:themeColor="text1"/>
          <w:sz w:val="28"/>
        </w:rPr>
      </w:pPr>
    </w:p>
    <w:p>
      <w:pPr>
        <w:contextualSpacing/>
        <w:rPr>
          <w:noProof/>
          <w:sz w:val="28"/>
          <w:szCs w:val="28"/>
          <w:highlight w:val="cyan"/>
        </w:rPr>
      </w:pPr>
    </w:p>
    <w:p>
      <w:pPr>
        <w:contextualSpacing/>
        <w:rPr>
          <w:noProof/>
          <w:sz w:val="28"/>
          <w:szCs w:val="28"/>
          <w:highlight w:val="green"/>
        </w:rPr>
      </w:pPr>
    </w:p>
    <w:p>
      <w:pPr>
        <w:contextualSpacing/>
        <w:rPr>
          <w:noProof/>
          <w:sz w:val="28"/>
          <w:szCs w:val="28"/>
          <w:highlight w:val="green"/>
        </w:rPr>
      </w:pPr>
    </w:p>
    <w:p>
      <w:pPr>
        <w:tabs>
          <w:tab w:val="left" w:pos="720"/>
          <w:tab w:val="left" w:pos="2520"/>
          <w:tab w:val="left" w:pos="4320"/>
          <w:tab w:val="left" w:pos="5245"/>
        </w:tabs>
        <w:ind w:left="720" w:hanging="720"/>
        <w:rPr>
          <w:noProof/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t>Għall-Iżlanda: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color w:val="000000" w:themeColor="text1"/>
          <w:sz w:val="28"/>
        </w:rPr>
        <w:t>Għar-Renju tan-Norveġja: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spacing w:after="200" w:line="276" w:lineRule="auto"/>
        <w:jc w:val="center"/>
        <w:rPr>
          <w:rFonts w:eastAsiaTheme="minorHAnsi" w:cstheme="minorBidi"/>
          <w:b/>
          <w:noProof/>
          <w:color w:val="auto"/>
          <w:sz w:val="28"/>
          <w:szCs w:val="28"/>
        </w:rPr>
      </w:pPr>
      <w:r>
        <w:rPr>
          <w:rFonts w:eastAsiaTheme="minorHAnsi" w:cstheme="minorBidi"/>
          <w:b/>
          <w:noProof/>
          <w:color w:val="auto"/>
          <w:sz w:val="28"/>
        </w:rPr>
        <w:t>Dikjarazzjoni Konġunta</w:t>
      </w:r>
    </w:p>
    <w:p>
      <w:pPr>
        <w:spacing w:after="200" w:line="276" w:lineRule="auto"/>
        <w:jc w:val="both"/>
        <w:rPr>
          <w:rFonts w:eastAsiaTheme="minorHAnsi" w:cstheme="minorBidi"/>
          <w:noProof/>
          <w:color w:val="auto"/>
          <w:sz w:val="28"/>
          <w:szCs w:val="28"/>
        </w:rPr>
      </w:pPr>
      <w:r>
        <w:rPr>
          <w:rFonts w:eastAsiaTheme="minorHAnsi" w:cstheme="minorBidi"/>
          <w:noProof/>
          <w:color w:val="auto"/>
          <w:sz w:val="28"/>
        </w:rPr>
        <w:t>Ir-rappreżentanti tal-Istati Uniti, tal-Unjoni Ewropea, tal-Iżlanda, u tan-Norveġja kkonfermaw li l-Ftehim fir-Rigward tal-Limitazzjonijiet ta’ Żmien fuq l-Arranġamenti għall-Forniment ta’ Inġenji tal-Ajru bl-Ekwipaġġ, li għandu jiġi ffirmat bl-Ingliż biss, għandu jiġi awtentikat f’lingwi oħra, kif previst minn skambju ta’ ittri fost il-Partijiet.</w:t>
      </w:r>
    </w:p>
    <w:p>
      <w:pPr>
        <w:spacing w:after="200" w:line="276" w:lineRule="auto"/>
        <w:rPr>
          <w:rFonts w:eastAsiaTheme="minorHAnsi" w:cstheme="minorBidi"/>
          <w:noProof/>
          <w:color w:val="auto"/>
          <w:sz w:val="28"/>
          <w:szCs w:val="28"/>
        </w:rPr>
      </w:pPr>
      <w:r>
        <w:rPr>
          <w:rFonts w:eastAsiaTheme="minorHAnsi" w:cstheme="minorBidi"/>
          <w:noProof/>
          <w:color w:val="auto"/>
          <w:sz w:val="28"/>
        </w:rPr>
        <w:t xml:space="preserve">Din id-Dikjarazzjoni Konġunta hija parti integrali tal-Ftehim. </w:t>
      </w:r>
    </w:p>
    <w:p>
      <w:pPr>
        <w:spacing w:after="200" w:line="276" w:lineRule="auto"/>
        <w:rPr>
          <w:rFonts w:eastAsiaTheme="minorHAnsi" w:cstheme="minorBidi"/>
          <w:noProof/>
          <w:color w:val="auto"/>
          <w:sz w:val="28"/>
          <w:szCs w:val="28"/>
        </w:rPr>
      </w:pPr>
    </w:p>
    <w:p>
      <w:pPr>
        <w:tabs>
          <w:tab w:val="left" w:pos="720"/>
          <w:tab w:val="left" w:pos="2520"/>
          <w:tab w:val="left" w:pos="4320"/>
          <w:tab w:val="left" w:pos="5670"/>
        </w:tabs>
        <w:spacing w:line="276" w:lineRule="auto"/>
        <w:ind w:left="720" w:hanging="720"/>
        <w:rPr>
          <w:rFonts w:eastAsiaTheme="minorHAnsi"/>
          <w:noProof/>
          <w:color w:val="000000" w:themeColor="text1"/>
          <w:sz w:val="28"/>
          <w:szCs w:val="22"/>
        </w:rPr>
      </w:pPr>
      <w:r>
        <w:rPr>
          <w:rFonts w:eastAsiaTheme="minorHAnsi"/>
          <w:noProof/>
          <w:color w:val="000000" w:themeColor="text1"/>
          <w:sz w:val="28"/>
        </w:rPr>
        <w:t xml:space="preserve">Għall-Istati Uniti tal-Amerka: </w:t>
      </w:r>
      <w:r>
        <w:rPr>
          <w:noProof/>
        </w:rPr>
        <w:tab/>
      </w:r>
      <w:r>
        <w:rPr>
          <w:noProof/>
        </w:rPr>
        <w:tab/>
      </w:r>
      <w:r>
        <w:rPr>
          <w:rFonts w:eastAsiaTheme="minorHAnsi"/>
          <w:noProof/>
          <w:color w:val="000000" w:themeColor="text1"/>
          <w:sz w:val="28"/>
        </w:rPr>
        <w:t>Għall-Unjoni Ewropea:</w:t>
      </w:r>
    </w:p>
    <w:p>
      <w:pPr>
        <w:tabs>
          <w:tab w:val="left" w:pos="720"/>
          <w:tab w:val="left" w:pos="2520"/>
          <w:tab w:val="left" w:pos="4320"/>
          <w:tab w:val="left" w:pos="6120"/>
        </w:tabs>
        <w:spacing w:line="276" w:lineRule="auto"/>
        <w:rPr>
          <w:rFonts w:eastAsiaTheme="minorHAnsi"/>
          <w:noProof/>
          <w:color w:val="000000" w:themeColor="text1"/>
          <w:sz w:val="28"/>
          <w:szCs w:val="22"/>
        </w:rPr>
      </w:pPr>
    </w:p>
    <w:p>
      <w:pPr>
        <w:tabs>
          <w:tab w:val="left" w:pos="720"/>
          <w:tab w:val="left" w:pos="2520"/>
          <w:tab w:val="left" w:pos="4320"/>
          <w:tab w:val="left" w:pos="6120"/>
        </w:tabs>
        <w:spacing w:line="276" w:lineRule="auto"/>
        <w:ind w:left="720" w:hanging="720"/>
        <w:rPr>
          <w:rFonts w:eastAsiaTheme="minorHAnsi"/>
          <w:noProof/>
          <w:color w:val="000000" w:themeColor="text1"/>
          <w:sz w:val="28"/>
          <w:szCs w:val="22"/>
        </w:rPr>
      </w:pPr>
    </w:p>
    <w:p>
      <w:pPr>
        <w:spacing w:after="200" w:line="276" w:lineRule="auto"/>
        <w:contextualSpacing/>
        <w:rPr>
          <w:rFonts w:eastAsiaTheme="minorHAnsi" w:cstheme="minorBidi"/>
          <w:noProof/>
          <w:color w:val="auto"/>
          <w:sz w:val="28"/>
          <w:szCs w:val="28"/>
          <w:highlight w:val="cyan"/>
        </w:rPr>
      </w:pPr>
    </w:p>
    <w:p>
      <w:pPr>
        <w:spacing w:after="200" w:line="276" w:lineRule="auto"/>
        <w:contextualSpacing/>
        <w:rPr>
          <w:rFonts w:eastAsiaTheme="minorHAnsi" w:cstheme="minorBidi"/>
          <w:noProof/>
          <w:color w:val="auto"/>
          <w:sz w:val="28"/>
          <w:szCs w:val="28"/>
          <w:highlight w:val="green"/>
        </w:rPr>
      </w:pPr>
    </w:p>
    <w:p>
      <w:pPr>
        <w:spacing w:after="200" w:line="276" w:lineRule="auto"/>
        <w:contextualSpacing/>
        <w:rPr>
          <w:rFonts w:eastAsiaTheme="minorHAnsi" w:cstheme="minorBidi"/>
          <w:noProof/>
          <w:color w:val="auto"/>
          <w:sz w:val="28"/>
          <w:szCs w:val="28"/>
          <w:highlight w:val="green"/>
        </w:rPr>
      </w:pPr>
    </w:p>
    <w:p>
      <w:pPr>
        <w:tabs>
          <w:tab w:val="left" w:pos="720"/>
          <w:tab w:val="left" w:pos="2520"/>
          <w:tab w:val="left" w:pos="4320"/>
          <w:tab w:val="left" w:pos="5245"/>
        </w:tabs>
        <w:ind w:left="720" w:hanging="720"/>
        <w:rPr>
          <w:noProof/>
          <w:color w:val="000000" w:themeColor="text1"/>
          <w:sz w:val="28"/>
        </w:rPr>
      </w:pPr>
      <w:r>
        <w:rPr>
          <w:rFonts w:eastAsiaTheme="minorHAnsi"/>
          <w:noProof/>
          <w:color w:val="000000" w:themeColor="text1"/>
          <w:sz w:val="28"/>
        </w:rPr>
        <w:t>Għall-Iżlanda: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eastAsiaTheme="minorHAnsi"/>
          <w:noProof/>
          <w:color w:val="000000" w:themeColor="text1"/>
          <w:sz w:val="28"/>
        </w:rPr>
        <w:t>Għar-Renju tan-Norveġja: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87327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1"/>
      <w:tabs>
        <w:tab w:val="clear" w:pos="8640"/>
        <w:tab w:val="right" w:pos="8620"/>
      </w:tabs>
      <w:rPr>
        <w:color w:val="auto"/>
        <w:sz w:val="20"/>
      </w:rPr>
    </w:pPr>
    <w:r>
      <w:rPr>
        <w:color w:val="auto"/>
        <w:sz w:val="20"/>
      </w:rPr>
      <w:t>Abbozz tal-10 ta’ Novembru 2017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1"/>
      <w:tabs>
        <w:tab w:val="clear" w:pos="8640"/>
        <w:tab w:val="right" w:pos="8620"/>
      </w:tabs>
      <w:rPr>
        <w:color w:val="auto"/>
        <w:sz w:val="22"/>
        <w:szCs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627"/>
    <w:multiLevelType w:val="hybridMultilevel"/>
    <w:tmpl w:val="A2E4A8EA"/>
    <w:lvl w:ilvl="0" w:tplc="0526DB0A">
      <w:start w:val="1"/>
      <w:numFmt w:val="lowerLetter"/>
      <w:lvlText w:val="(%1)"/>
      <w:lvlJc w:val="left"/>
      <w:pPr>
        <w:ind w:left="144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23147"/>
    <w:multiLevelType w:val="hybridMultilevel"/>
    <w:tmpl w:val="1C8216C8"/>
    <w:lvl w:ilvl="0" w:tplc="A8C4F6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A1500"/>
    <w:multiLevelType w:val="hybridMultilevel"/>
    <w:tmpl w:val="0D50F308"/>
    <w:lvl w:ilvl="0" w:tplc="88943A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92B"/>
    <w:multiLevelType w:val="hybridMultilevel"/>
    <w:tmpl w:val="D05006D2"/>
    <w:lvl w:ilvl="0" w:tplc="147AE6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2E31AE"/>
    <w:multiLevelType w:val="hybridMultilevel"/>
    <w:tmpl w:val="6A22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673E3"/>
    <w:multiLevelType w:val="hybridMultilevel"/>
    <w:tmpl w:val="20722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32FB7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97B58"/>
    <w:multiLevelType w:val="hybridMultilevel"/>
    <w:tmpl w:val="3EB4E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42DEB"/>
    <w:multiLevelType w:val="hybridMultilevel"/>
    <w:tmpl w:val="95E4AFA4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42504B7"/>
    <w:multiLevelType w:val="hybridMultilevel"/>
    <w:tmpl w:val="6A22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81754"/>
    <w:multiLevelType w:val="hybridMultilevel"/>
    <w:tmpl w:val="B5146C18"/>
    <w:lvl w:ilvl="0" w:tplc="A9DCD0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261C1F"/>
    <w:multiLevelType w:val="hybridMultilevel"/>
    <w:tmpl w:val="193A3FCA"/>
    <w:lvl w:ilvl="0" w:tplc="633430F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20DC2"/>
    <w:multiLevelType w:val="hybridMultilevel"/>
    <w:tmpl w:val="180246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97E4E"/>
    <w:multiLevelType w:val="hybridMultilevel"/>
    <w:tmpl w:val="23108C6A"/>
    <w:lvl w:ilvl="0" w:tplc="8D56A876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E1C5D7F"/>
    <w:multiLevelType w:val="hybridMultilevel"/>
    <w:tmpl w:val="2A1CC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3A5C35"/>
    <w:multiLevelType w:val="hybridMultilevel"/>
    <w:tmpl w:val="839EE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66A674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56050"/>
    <w:multiLevelType w:val="hybridMultilevel"/>
    <w:tmpl w:val="49583178"/>
    <w:lvl w:ilvl="0" w:tplc="9CA28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C7307E"/>
    <w:multiLevelType w:val="hybridMultilevel"/>
    <w:tmpl w:val="046ABC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AB351E"/>
    <w:multiLevelType w:val="hybridMultilevel"/>
    <w:tmpl w:val="A448D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32FB7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F7319"/>
    <w:multiLevelType w:val="hybridMultilevel"/>
    <w:tmpl w:val="FEA6AA02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3F16112"/>
    <w:multiLevelType w:val="hybridMultilevel"/>
    <w:tmpl w:val="DE98EED4"/>
    <w:lvl w:ilvl="0" w:tplc="B18E1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B1C42"/>
    <w:multiLevelType w:val="hybridMultilevel"/>
    <w:tmpl w:val="A4364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C04C5"/>
    <w:multiLevelType w:val="hybridMultilevel"/>
    <w:tmpl w:val="60C6F16E"/>
    <w:lvl w:ilvl="0" w:tplc="5B0C3E6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424BA"/>
    <w:multiLevelType w:val="hybridMultilevel"/>
    <w:tmpl w:val="43EE56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947D4"/>
    <w:multiLevelType w:val="hybridMultilevel"/>
    <w:tmpl w:val="90D0E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34EBF"/>
    <w:multiLevelType w:val="hybridMultilevel"/>
    <w:tmpl w:val="0778DCF2"/>
    <w:lvl w:ilvl="0" w:tplc="A914E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432149"/>
    <w:multiLevelType w:val="hybridMultilevel"/>
    <w:tmpl w:val="50F66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32FB7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64FE1"/>
    <w:multiLevelType w:val="hybridMultilevel"/>
    <w:tmpl w:val="EC8E94C4"/>
    <w:lvl w:ilvl="0" w:tplc="4ACC0BF4">
      <w:start w:val="2"/>
      <w:numFmt w:val="lowerRoman"/>
      <w:lvlText w:val="%1."/>
      <w:lvlJc w:val="left"/>
      <w:pPr>
        <w:ind w:left="180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815FDB"/>
    <w:multiLevelType w:val="multilevel"/>
    <w:tmpl w:val="63F0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F12FC"/>
    <w:multiLevelType w:val="hybridMultilevel"/>
    <w:tmpl w:val="CFB0194A"/>
    <w:lvl w:ilvl="0" w:tplc="7AB25F98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2D7824"/>
    <w:multiLevelType w:val="hybridMultilevel"/>
    <w:tmpl w:val="1C044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20556E"/>
    <w:multiLevelType w:val="hybridMultilevel"/>
    <w:tmpl w:val="C6B23226"/>
    <w:lvl w:ilvl="0" w:tplc="586CA012">
      <w:start w:val="1"/>
      <w:numFmt w:val="lowerLetter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A41E32"/>
    <w:multiLevelType w:val="hybridMultilevel"/>
    <w:tmpl w:val="2A86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9C8D5E0">
      <w:start w:val="1"/>
      <w:numFmt w:val="lowerRoman"/>
      <w:lvlText w:val="%2."/>
      <w:lvlJc w:val="left"/>
      <w:pPr>
        <w:ind w:left="1440" w:hanging="360"/>
      </w:pPr>
      <w:rPr>
        <w:rFonts w:ascii="Times New Roman" w:eastAsia="ヒラギノ角ゴ Pro W3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A013C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633430F2">
      <w:start w:val="1"/>
      <w:numFmt w:val="lowerLetter"/>
      <w:lvlText w:val="(%5)"/>
      <w:lvlJc w:val="left"/>
      <w:pPr>
        <w:ind w:left="360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52F03"/>
    <w:multiLevelType w:val="hybridMultilevel"/>
    <w:tmpl w:val="9FF2A5C8"/>
    <w:lvl w:ilvl="0" w:tplc="54D2937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BA02CC3"/>
    <w:multiLevelType w:val="hybridMultilevel"/>
    <w:tmpl w:val="1C044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B05578"/>
    <w:multiLevelType w:val="hybridMultilevel"/>
    <w:tmpl w:val="10B2C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9328D9"/>
    <w:multiLevelType w:val="hybridMultilevel"/>
    <w:tmpl w:val="916C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87A7E"/>
    <w:multiLevelType w:val="hybridMultilevel"/>
    <w:tmpl w:val="20722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32FB7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C1E41"/>
    <w:multiLevelType w:val="hybridMultilevel"/>
    <w:tmpl w:val="1B5CE43A"/>
    <w:lvl w:ilvl="0" w:tplc="DC22B9F2">
      <w:start w:val="1"/>
      <w:numFmt w:val="lowerRoman"/>
      <w:lvlText w:val="%1."/>
      <w:lvlJc w:val="left"/>
      <w:pPr>
        <w:ind w:left="216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4D27F29"/>
    <w:multiLevelType w:val="hybridMultilevel"/>
    <w:tmpl w:val="E19813A6"/>
    <w:lvl w:ilvl="0" w:tplc="972880AC">
      <w:start w:val="1"/>
      <w:numFmt w:val="lowerLetter"/>
      <w:lvlText w:val="(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A041D"/>
    <w:multiLevelType w:val="multilevel"/>
    <w:tmpl w:val="B008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lowerRoman"/>
      <w:lvlText w:val="(%4)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AB2243"/>
    <w:multiLevelType w:val="hybridMultilevel"/>
    <w:tmpl w:val="1C5C5252"/>
    <w:lvl w:ilvl="0" w:tplc="633430F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8629C"/>
    <w:multiLevelType w:val="hybridMultilevel"/>
    <w:tmpl w:val="A560DE62"/>
    <w:lvl w:ilvl="0" w:tplc="633430F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3"/>
  </w:num>
  <w:num w:numId="4">
    <w:abstractNumId w:val="34"/>
  </w:num>
  <w:num w:numId="5">
    <w:abstractNumId w:val="29"/>
  </w:num>
  <w:num w:numId="6">
    <w:abstractNumId w:val="4"/>
  </w:num>
  <w:num w:numId="7">
    <w:abstractNumId w:val="14"/>
  </w:num>
  <w:num w:numId="8">
    <w:abstractNumId w:val="31"/>
  </w:num>
  <w:num w:numId="9">
    <w:abstractNumId w:val="6"/>
  </w:num>
  <w:num w:numId="10">
    <w:abstractNumId w:val="9"/>
  </w:num>
  <w:num w:numId="11">
    <w:abstractNumId w:val="2"/>
  </w:num>
  <w:num w:numId="12">
    <w:abstractNumId w:val="15"/>
  </w:num>
  <w:num w:numId="13">
    <w:abstractNumId w:val="5"/>
  </w:num>
  <w:num w:numId="14">
    <w:abstractNumId w:val="39"/>
  </w:num>
  <w:num w:numId="15">
    <w:abstractNumId w:val="39"/>
    <w:lvlOverride w:ilvl="0"/>
    <w:lvlOverride w:ilvl="1">
      <w:startOverride w:val="1"/>
    </w:lvlOverride>
  </w:num>
  <w:num w:numId="16">
    <w:abstractNumId w:val="39"/>
  </w:num>
  <w:num w:numId="17">
    <w:abstractNumId w:val="25"/>
  </w:num>
  <w:num w:numId="18">
    <w:abstractNumId w:val="17"/>
  </w:num>
  <w:num w:numId="19">
    <w:abstractNumId w:val="36"/>
  </w:num>
  <w:num w:numId="20">
    <w:abstractNumId w:val="37"/>
  </w:num>
  <w:num w:numId="21">
    <w:abstractNumId w:val="21"/>
  </w:num>
  <w:num w:numId="22">
    <w:abstractNumId w:val="26"/>
  </w:num>
  <w:num w:numId="23">
    <w:abstractNumId w:val="19"/>
  </w:num>
  <w:num w:numId="24">
    <w:abstractNumId w:val="27"/>
  </w:num>
  <w:num w:numId="25">
    <w:abstractNumId w:val="24"/>
  </w:num>
  <w:num w:numId="26">
    <w:abstractNumId w:val="38"/>
  </w:num>
  <w:num w:numId="27">
    <w:abstractNumId w:val="30"/>
  </w:num>
  <w:num w:numId="28">
    <w:abstractNumId w:val="28"/>
  </w:num>
  <w:num w:numId="29">
    <w:abstractNumId w:val="1"/>
  </w:num>
  <w:num w:numId="30">
    <w:abstractNumId w:val="12"/>
  </w:num>
  <w:num w:numId="31">
    <w:abstractNumId w:val="16"/>
  </w:num>
  <w:num w:numId="32">
    <w:abstractNumId w:val="0"/>
  </w:num>
  <w:num w:numId="33">
    <w:abstractNumId w:val="18"/>
  </w:num>
  <w:num w:numId="34">
    <w:abstractNumId w:val="32"/>
  </w:num>
  <w:num w:numId="35">
    <w:abstractNumId w:val="3"/>
  </w:num>
  <w:num w:numId="36">
    <w:abstractNumId w:val="22"/>
  </w:num>
  <w:num w:numId="37">
    <w:abstractNumId w:val="11"/>
  </w:num>
  <w:num w:numId="38">
    <w:abstractNumId w:val="20"/>
  </w:num>
  <w:num w:numId="39">
    <w:abstractNumId w:val="10"/>
  </w:num>
  <w:num w:numId="40">
    <w:abstractNumId w:val="35"/>
  </w:num>
  <w:num w:numId="41">
    <w:abstractNumId w:val="41"/>
  </w:num>
  <w:num w:numId="42">
    <w:abstractNumId w:val="40"/>
  </w:num>
  <w:num w:numId="43">
    <w:abstractNumId w:val="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markup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l-Proposta g\u295?al De\u267?i\u380?joni tal-Kunsill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E301C7BF-D9B3-4CD6-AFDE-35051D5EF25F"/>
    <w:docVar w:name="LW_COVERPAGE_TYPE" w:val="1"/>
    <w:docVar w:name="LW_CROSSREFERENCE" w:val="&lt;UNUSED&gt;"/>
    <w:docVar w:name="LW_DocType" w:val="NORMAL"/>
    <w:docVar w:name="LW_EMISSION" w:val="5.6.2019"/>
    <w:docVar w:name="LW_EMISSION_ISODATE" w:val="2019-06-05"/>
    <w:docVar w:name="LW_EMISSION_LOCATION" w:val="BRX"/>
    <w:docVar w:name="LW_EMISSION_PREFIX" w:val="Brussell, "/>
    <w:docVar w:name="LW_EMISSION_SUFFIX" w:val=" "/>
    <w:docVar w:name="LW_ID_DOCTYPE_NONLW" w:val="CP-03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2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dwar il-konklu\u380?joni, f\u8217?isem l-Unjoni Ewropea, u dwar l-applikazzjoni provi\u380?orja tal-Ftehim fir-Rigward tal-Limitazzjonijiet ta\u8217? \u379?mien fuq l-Arran\u289?amenti g\u295?all-Forniment ta\u8217? In\u289?enji tal-Ajru bl-Ekwipa\u289?\u289? bejn l-Istati Uniti tal-Amerka, l-Unjoni Ewropea, l-I\u380?landa u r-Renju tan-Norve\u289?ja"/>
  </w:docVar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400FF"/>
      <w:sz w:val="20"/>
      <w:u w:val="single"/>
    </w:rPr>
  </w:style>
  <w:style w:type="character" w:styleId="Hyperlink">
    <w:name w:val="Hyperlink"/>
    <w:locked/>
    <w:rPr>
      <w:color w:val="0000FF"/>
      <w:u w:val="single"/>
    </w:rPr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locked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locked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Pr>
      <w:sz w:val="20"/>
      <w:szCs w:val="20"/>
    </w:rPr>
  </w:style>
  <w:style w:type="character" w:customStyle="1" w:styleId="CommentTextChar">
    <w:name w:val="Comment Text Char"/>
    <w:link w:val="CommentText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Pr>
      <w:b/>
      <w:bCs/>
    </w:rPr>
  </w:style>
  <w:style w:type="character" w:customStyle="1" w:styleId="CommentSubjectChar">
    <w:name w:val="Comment Subject Char"/>
    <w:link w:val="CommentSubject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Pr>
      <w:rFonts w:eastAsia="ヒラギノ角ゴ Pro W3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pPr>
      <w:spacing w:before="100" w:beforeAutospacing="1" w:after="100" w:afterAutospacing="1"/>
    </w:pPr>
    <w:rPr>
      <w:rFonts w:eastAsia="Times New Roman"/>
      <w:color w:val="auto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</w:style>
  <w:style w:type="character" w:customStyle="1" w:styleId="FooterChar">
    <w:name w:val="Footer Char"/>
    <w:basedOn w:val="DefaultParagraphFont"/>
    <w:link w:val="Footer"/>
    <w:uiPriority w:val="99"/>
    <w:rPr>
      <w:rFonts w:eastAsia="ヒラギノ角ゴ Pro W3"/>
      <w:color w:val="000000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pPr>
      <w:spacing w:line="271" w:lineRule="atLeast"/>
    </w:pPr>
    <w:rPr>
      <w:color w:val="auto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color w:val="auto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eastAsia="ヒラギノ角ゴ Pro W3"/>
      <w:color w:val="000000"/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eastAsia="ヒラギノ角ゴ Pro W3"/>
      <w:b/>
      <w:color w:val="000000"/>
      <w:sz w:val="32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eastAsia="ヒラギノ角ゴ Pro W3"/>
      <w:color w:val="000000"/>
      <w:sz w:val="24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eastAsia="ヒラギノ角ゴ Pro W3"/>
      <w:b/>
      <w:color w:val="00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400FF"/>
      <w:sz w:val="20"/>
      <w:u w:val="single"/>
    </w:rPr>
  </w:style>
  <w:style w:type="character" w:styleId="Hyperlink">
    <w:name w:val="Hyperlink"/>
    <w:locked/>
    <w:rPr>
      <w:color w:val="0000FF"/>
      <w:u w:val="single"/>
    </w:rPr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locked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locked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Pr>
      <w:sz w:val="20"/>
      <w:szCs w:val="20"/>
    </w:rPr>
  </w:style>
  <w:style w:type="character" w:customStyle="1" w:styleId="CommentTextChar">
    <w:name w:val="Comment Text Char"/>
    <w:link w:val="CommentText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Pr>
      <w:b/>
      <w:bCs/>
    </w:rPr>
  </w:style>
  <w:style w:type="character" w:customStyle="1" w:styleId="CommentSubjectChar">
    <w:name w:val="Comment Subject Char"/>
    <w:link w:val="CommentSubject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Pr>
      <w:rFonts w:eastAsia="ヒラギノ角ゴ Pro W3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pPr>
      <w:spacing w:before="100" w:beforeAutospacing="1" w:after="100" w:afterAutospacing="1"/>
    </w:pPr>
    <w:rPr>
      <w:rFonts w:eastAsia="Times New Roman"/>
      <w:color w:val="auto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</w:style>
  <w:style w:type="character" w:customStyle="1" w:styleId="FooterChar">
    <w:name w:val="Footer Char"/>
    <w:basedOn w:val="DefaultParagraphFont"/>
    <w:link w:val="Footer"/>
    <w:uiPriority w:val="99"/>
    <w:rPr>
      <w:rFonts w:eastAsia="ヒラギノ角ゴ Pro W3"/>
      <w:color w:val="000000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pPr>
      <w:spacing w:line="271" w:lineRule="atLeast"/>
    </w:pPr>
    <w:rPr>
      <w:color w:val="auto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color w:val="auto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eastAsia="ヒラギノ角ゴ Pro W3"/>
      <w:color w:val="000000"/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eastAsia="ヒラギノ角ゴ Pro W3"/>
      <w:b/>
      <w:color w:val="000000"/>
      <w:sz w:val="32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eastAsia="ヒラギノ角ゴ Pro W3"/>
      <w:color w:val="000000"/>
      <w:sz w:val="24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eastAsia="ヒラギノ角ゴ Pro W3"/>
      <w:b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71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D614-2C51-4424-BC60-DC131EAC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1376</Words>
  <Characters>9234</Characters>
  <Application>Microsoft Office Word</Application>
  <DocSecurity>0</DocSecurity>
  <Lines>256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to Grant T</vt:lpstr>
      <vt:lpstr>Letter to Grant T</vt:lpstr>
    </vt:vector>
  </TitlesOfParts>
  <Company>DOT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Grant T</dc:title>
  <dc:creator>Benjamin Tourtellot</dc:creator>
  <cp:lastModifiedBy>DIGIT/C6</cp:lastModifiedBy>
  <cp:revision>8</cp:revision>
  <cp:lastPrinted>2018-04-25T15:28:00Z</cp:lastPrinted>
  <dcterms:created xsi:type="dcterms:W3CDTF">2019-05-27T11:15:00Z</dcterms:created>
  <dcterms:modified xsi:type="dcterms:W3CDTF">2019-06-05T08:14:00Z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</Properties>
</file>