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3D97638-5550-4AB6-AD0D-EC71E08183D8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Motivi e obiettivi della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L'accordo relativo ai limiti temporali degli accordi per la fornitura di aeromobili con equipaggio tra gli Stati Uniti d'America, l'Unione europea, l'Islanda e il Regno di Norvegia ("l'accordo di </w:t>
      </w:r>
      <w:r>
        <w:rPr>
          <w:i/>
          <w:noProof/>
          <w:color w:val="000000" w:themeColor="text1"/>
        </w:rPr>
        <w:t>wet lease</w:t>
      </w:r>
      <w:r>
        <w:rPr>
          <w:noProof/>
          <w:color w:val="000000" w:themeColor="text1"/>
        </w:rPr>
        <w:t xml:space="preserve">") è stato negoziato dalla Commissione sulla base dell'autorizzazione ricevuta dal Consiglio il 21 dicembre 2016.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Si basa sull'accordo sui trasporti aerei ("ATA") tra l'UE e gli Stati Uniti ("USA"),</w:t>
      </w:r>
      <w:r>
        <w:rPr>
          <w:noProof/>
        </w:rPr>
        <w:t xml:space="preserve"> firmato il 25 e 30 aprile 2007</w:t>
      </w:r>
      <w:r>
        <w:rPr>
          <w:rStyle w:val="FootnoteReference"/>
          <w:noProof/>
        </w:rPr>
        <w:footnoteReference w:id="1"/>
      </w:r>
      <w:r>
        <w:rPr>
          <w:noProof/>
        </w:rPr>
        <w:t>, e conferma la definizione di</w:t>
      </w:r>
      <w:r>
        <w:rPr>
          <w:noProof/>
          <w:color w:val="000000" w:themeColor="text1"/>
        </w:rPr>
        <w:t xml:space="preserve"> accordi di </w:t>
      </w:r>
      <w:r>
        <w:rPr>
          <w:i/>
          <w:noProof/>
          <w:color w:val="000000" w:themeColor="text1"/>
        </w:rPr>
        <w:t>wet lease</w:t>
      </w:r>
      <w:r>
        <w:rPr>
          <w:rStyle w:val="FootnoteReference"/>
          <w:i/>
          <w:noProof/>
          <w:color w:val="000000"/>
        </w:rPr>
        <w:footnoteReference w:id="2"/>
      </w:r>
      <w:r>
        <w:rPr>
          <w:noProof/>
          <w:color w:val="000000" w:themeColor="text1"/>
        </w:rPr>
        <w:t xml:space="preserve"> chiari e non restrittivi riguardanti le compagnie aeree delle Parti, garantendo in tal modo maggiore precisione alle rispettive disposizioni dell'ATA.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L'accordo di </w:t>
      </w:r>
      <w:r>
        <w:rPr>
          <w:i/>
          <w:noProof/>
          <w:color w:val="000000" w:themeColor="text1"/>
        </w:rPr>
        <w:t>wet lease</w:t>
      </w:r>
      <w:r>
        <w:rPr>
          <w:noProof/>
          <w:color w:val="000000" w:themeColor="text1"/>
        </w:rPr>
        <w:t xml:space="preserve"> non si limiterà a risolvere l'attuale controversia sull'applicazione delle pertinenti disposizioni dell'ATA, ma sarà anche fonte di chiarezza e certezza giuridica nei futuri accordi che interesseranno vettori aerei dell'UE, islandesi, norvegesi e statunitensi. Si prevede inoltre che creerà nuove opportunità commerciali e consentirà una cooperazione rafforzata tra i vettori di tutte le parti.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Contesto generale</w:t>
      </w:r>
    </w:p>
    <w:p>
      <w:pPr>
        <w:rPr>
          <w:noProof/>
        </w:rPr>
      </w:pPr>
      <w:r>
        <w:rPr>
          <w:noProof/>
          <w:color w:val="000000"/>
        </w:rPr>
        <w:t xml:space="preserve">L'ATA tra l'UE e gli Stati Uniti prevede un regime aperto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tra le parti.</w:t>
      </w:r>
      <w:r>
        <w:rPr>
          <w:noProof/>
        </w:rPr>
        <w:t xml:space="preserve"> Le direttive di negoziato stabiliscono l'obiettivo generale di negoziare un </w:t>
      </w:r>
      <w:r>
        <w:rPr>
          <w:noProof/>
          <w:color w:val="000000" w:themeColor="text1"/>
        </w:rPr>
        <w:t xml:space="preserve">accordo di </w:t>
      </w:r>
      <w:r>
        <w:rPr>
          <w:i/>
          <w:noProof/>
          <w:color w:val="000000" w:themeColor="text1"/>
        </w:rPr>
        <w:t>wet lease</w:t>
      </w:r>
      <w:r>
        <w:rPr>
          <w:noProof/>
        </w:rPr>
        <w:t xml:space="preserve"> al fine di garantire la precisione delle pertinenti disposizioni dell'ATA e di abolire i limiti temporali degli accordi di </w:t>
      </w:r>
      <w:r>
        <w:rPr>
          <w:i/>
          <w:noProof/>
        </w:rPr>
        <w:t>wet lease</w:t>
      </w:r>
      <w:r>
        <w:rPr>
          <w:noProof/>
        </w:rPr>
        <w:t xml:space="preserve"> riguardanti i vettori aerei dell'UE, islandesi, norvegesi e statunitensi.</w:t>
      </w:r>
      <w:r>
        <w:rPr>
          <w:noProof/>
          <w:color w:val="000000"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In conformità alle direttive di negoziato, l'8 marzo 2019 è stato siglato un progetto di </w:t>
      </w:r>
      <w:r>
        <w:rPr>
          <w:noProof/>
          <w:color w:val="000000" w:themeColor="text1"/>
        </w:rPr>
        <w:t xml:space="preserve">accordo di </w:t>
      </w:r>
      <w:r>
        <w:rPr>
          <w:i/>
          <w:noProof/>
          <w:color w:val="000000" w:themeColor="text1"/>
        </w:rPr>
        <w:t>wet lease</w:t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Coerenza con le disposizioni vigenti nel settore normativo interessato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L'ATA USA-UE è il più importante accordo sui trasporti aerei al mondo: garantisce infatti più di 75 milioni di posti all'anno e costituisce un elemento fondamentale della politica estera dell'UE in materia di aviazione. L'accordo di </w:t>
      </w:r>
      <w:r>
        <w:rPr>
          <w:i/>
          <w:noProof/>
        </w:rPr>
        <w:t>wet lease</w:t>
      </w:r>
      <w:r>
        <w:rPr>
          <w:noProof/>
        </w:rPr>
        <w:t xml:space="preserve"> porrà fine all'incertezza che dura da molto tempo quanto all'applicazione delle disposizioni di </w:t>
      </w:r>
      <w:r>
        <w:rPr>
          <w:i/>
          <w:noProof/>
        </w:rPr>
        <w:t>wet lease</w:t>
      </w:r>
      <w:r>
        <w:rPr>
          <w:noProof/>
        </w:rPr>
        <w:t xml:space="preserve"> contenute nell'ATA, contribuendo in tal modo al buon funzionamento della relazione transatlantica in materia di trasporto aereo.</w:t>
      </w:r>
      <w:r>
        <w:rPr>
          <w:noProof/>
          <w:color w:val="000000" w:themeColor="text1"/>
        </w:rPr>
        <w:t xml:space="preserve"> </w:t>
      </w:r>
    </w:p>
    <w:p>
      <w:pPr>
        <w:spacing w:before="60" w:after="60"/>
        <w:rPr>
          <w:noProof/>
        </w:rPr>
      </w:pPr>
      <w:r>
        <w:rPr>
          <w:noProof/>
          <w:color w:val="000000"/>
        </w:rPr>
        <w:t xml:space="preserve">L'accordo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è in linea con le norme generali dell'UE in materia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>: l'articolo 13, paragrafo 3, lettera b), del regolamento (CE) n. 1008/2008</w:t>
      </w:r>
      <w:r>
        <w:rPr>
          <w:rStyle w:val="FootnoteReference"/>
          <w:noProof/>
          <w:color w:val="000000"/>
        </w:rPr>
        <w:footnoteReference w:id="3"/>
      </w:r>
      <w:r>
        <w:rPr>
          <w:noProof/>
          <w:color w:val="000000"/>
        </w:rPr>
        <w:t xml:space="preserve">, quale modificato di </w:t>
      </w:r>
      <w:r>
        <w:rPr>
          <w:noProof/>
          <w:color w:val="000000"/>
        </w:rPr>
        <w:lastRenderedPageBreak/>
        <w:t>recente</w:t>
      </w:r>
      <w:r>
        <w:rPr>
          <w:rStyle w:val="FootnoteReference"/>
          <w:noProof/>
          <w:color w:val="000000"/>
        </w:rPr>
        <w:footnoteReference w:id="4"/>
      </w:r>
      <w:r>
        <w:rPr>
          <w:noProof/>
          <w:color w:val="000000"/>
        </w:rPr>
        <w:t xml:space="preserve">, prevede la revoca dei limiti temporali per mezzo di un accordo internazionale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sottoscritto dall'Unione, basato su un accordo sui trasporti aerei di cui è parte l'Unione sottoscritto prima del 1° gennaio 2008.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Coerenza con le </w:t>
      </w:r>
      <w:r>
        <w:rPr>
          <w:noProof/>
          <w:color w:val="000000"/>
          <w:u w:color="000000"/>
          <w:bdr w:val="nil"/>
        </w:rPr>
        <w:t>disposizioni vigenti nel settore della proposta</w:t>
      </w:r>
    </w:p>
    <w:p>
      <w:pPr>
        <w:spacing w:before="60" w:after="60"/>
        <w:rPr>
          <w:noProof/>
        </w:rPr>
      </w:pPr>
      <w:r>
        <w:rPr>
          <w:noProof/>
          <w:color w:val="000000"/>
        </w:rPr>
        <w:t xml:space="preserve">L'accordo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è in linea con le norme generali dell'UE in materia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: l'articolo 13, paragrafo 3, lettera b), del regolamento (CE) n. 1008/2008 prevede la revoca dei limiti temporali per mezzo di un accordo internazionale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sottoscritto dall'Unione, basato su un accordo sui trasporti aerei di cui è parte l'Unione sottoscritto prima del 1° gennaio 2008.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GIURIDICA, SUSSIDIARIETÀ E PROPORZIONALITÀ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giuridica</w:t>
      </w:r>
    </w:p>
    <w:p>
      <w:pPr>
        <w:rPr>
          <w:noProof/>
        </w:rPr>
      </w:pPr>
      <w:r>
        <w:rPr>
          <w:noProof/>
        </w:rPr>
        <w:t xml:space="preserve">Articolo 100, paragrafo 2, e articolo 218, paragrafo 5, del trattato sul funzionamento dell'Unione europea ("TFUE").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Sussidiarietà (per la competenza non esclusiva)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Non pertinente. L'accordo di </w:t>
      </w:r>
      <w:r>
        <w:rPr>
          <w:i/>
          <w:noProof/>
        </w:rPr>
        <w:t>wet lease</w:t>
      </w:r>
      <w:r>
        <w:rPr>
          <w:noProof/>
        </w:rPr>
        <w:t xml:space="preserve"> rientra nella competenza esclusiva dell'UE ai sensi dell'articolo 3, paragrafo 2, TFUE.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Proporzionalità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 xml:space="preserve">L'accordo di </w:t>
      </w:r>
      <w:r>
        <w:rPr>
          <w:i/>
          <w:noProof/>
        </w:rPr>
        <w:t>wet lease</w:t>
      </w:r>
      <w:r>
        <w:rPr>
          <w:noProof/>
        </w:rPr>
        <w:t xml:space="preserve"> si </w:t>
      </w:r>
      <w:r>
        <w:rPr>
          <w:noProof/>
          <w:color w:val="000000"/>
        </w:rPr>
        <w:t xml:space="preserve">limita a trattare la questione in esame e non affronta altre questioni. Poiché riguarda esclusivamente i limiti temporali che attualmente incidono sugli accordi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nel mercato transatlantico, esso chiarirà ulteriormente le disposizioni in materia di </w:t>
      </w:r>
      <w:r>
        <w:rPr>
          <w:i/>
          <w:noProof/>
          <w:color w:val="000000"/>
        </w:rPr>
        <w:t>wet lease</w:t>
      </w:r>
      <w:r>
        <w:rPr>
          <w:noProof/>
          <w:color w:val="000000"/>
        </w:rPr>
        <w:t xml:space="preserve"> contenute nell'ATA.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Gli Stati membri continueranno inoltre a svolgere i loro tradizionali compiti amministrativi nell'ambito dell'approvazione degli accordi di </w:t>
      </w:r>
      <w:r>
        <w:rPr>
          <w:i/>
          <w:noProof/>
        </w:rPr>
        <w:t>wet lease</w:t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Scelta dell'atto giuridico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Un accordo internazionale è l'unico modo per conseguire l'obiettivo prefissato.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RISULTATI DELLE VALUTAZIONI EX POST, DELLE CONSULTAZIONI DEI PORTATORI DI INTERESSI E DELLE VALUTAZIONI D'IMPATTO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Valutazioni ex post / Vaglio di adeguatezza della legislazione vigente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Consultazioni dei portatori di interessi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Durante le diverse fasi dei negoziati sono stati consultati tutti gli Stati membri dell'UE, i portatori di interessi dell'intera catena di valore dell'aviazione e le parti sociali, in particolare i </w:t>
      </w:r>
      <w:r>
        <w:rPr>
          <w:noProof/>
        </w:rPr>
        <w:lastRenderedPageBreak/>
        <w:t xml:space="preserve">sindacati. Sono state prese in considerazione le osservazioni formulate nel corso della procedura di consultazione. 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Assunzione e uso di perizie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Valutazione d'impatto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Efficienza normativa e semplificazione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Diritti fondamentali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INCIDENZA SUL BILANCIO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Nessuna.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ALTRI ELEMENTI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Sintesi dell'accordo proposto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left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 xml:space="preserve">L'accordo è costituito dal testo principale e da una dichiarazione comune sull'autenticazione di versioni linguistiche aggiuntive. 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2019/0125 (NLE)</w:t>
      </w:r>
    </w:p>
    <w:p>
      <w:pPr>
        <w:pStyle w:val="Statut"/>
        <w:rPr>
          <w:noProof/>
        </w:rPr>
      </w:pPr>
      <w:r>
        <w:rPr>
          <w:noProof/>
        </w:rPr>
        <w:t>Proposta di</w:t>
      </w:r>
    </w:p>
    <w:p>
      <w:pPr>
        <w:pStyle w:val="Typedudocument"/>
        <w:rPr>
          <w:noProof/>
        </w:rPr>
      </w:pPr>
      <w:r>
        <w:rPr>
          <w:noProof/>
        </w:rPr>
        <w:t>DECISIONE DEL CONSIGLIO</w:t>
      </w:r>
    </w:p>
    <w:p>
      <w:pPr>
        <w:pStyle w:val="Titreobjet"/>
        <w:rPr>
          <w:noProof/>
        </w:rPr>
      </w:pPr>
      <w:r>
        <w:rPr>
          <w:noProof/>
        </w:rPr>
        <w:t>relativa alla firma, a nome dell'Unione europea, e all'applicazione provvisoria dell'accordo relativo ai limiti temporali degli accordi per la fornitura di aeromobili con equipaggio tra gli Stati Uniti d'America, l'Unione europea, l'Islanda e il Regno di Norvegia</w:t>
      </w:r>
    </w:p>
    <w:p>
      <w:pPr>
        <w:pStyle w:val="Institutionquiagit"/>
        <w:rPr>
          <w:noProof/>
        </w:rPr>
      </w:pPr>
      <w:r>
        <w:rPr>
          <w:noProof/>
        </w:rPr>
        <w:t>IL CONSIGLIO DELL'UNIONE EUROPEA,</w:t>
      </w:r>
    </w:p>
    <w:p>
      <w:pPr>
        <w:rPr>
          <w:noProof/>
        </w:rPr>
      </w:pPr>
      <w:r>
        <w:rPr>
          <w:noProof/>
        </w:rPr>
        <w:t>visto il trattato sul funzionamento dell'Unione europea, in particolare l'articolo 100, paragrafo 2, in combinato disposto con l'articolo 218, paragrafo 5,</w:t>
      </w:r>
    </w:p>
    <w:p>
      <w:pPr>
        <w:rPr>
          <w:noProof/>
        </w:rPr>
      </w:pPr>
      <w:r>
        <w:rPr>
          <w:noProof/>
        </w:rPr>
        <w:t>vista la proposta della Commissione europea,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Il 21 dicembre 2016 il Consiglio ha autorizzato la Commissione ad avviare negoziati con gli Stati Uniti d'America, l'Islanda e il Regno di Norvegia per un accordo relativo ai limiti temporali degli accordi per la fornitura di aeromobili con equipaggio. I negoziati si sono conclusi positivamente con la sigla dell'accordo l'8 marzo 2019.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È opportuno che l'accordo sia firmato e applicato in via provvisoria dall'Unione, fatta salva la sua conclusione in una data successiva,</w:t>
      </w:r>
    </w:p>
    <w:p>
      <w:pPr>
        <w:pStyle w:val="Formuledadoption"/>
        <w:rPr>
          <w:noProof/>
        </w:rPr>
      </w:pPr>
      <w:r>
        <w:rPr>
          <w:noProof/>
        </w:rPr>
        <w:t xml:space="preserve">HA ADOTTATO LA PRESENTE DECISIONE: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Articolo 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È autorizzata la firma, a nome dell'Unione, dell'accordo relativo ai limiti temporali degli accordi per la fornitura di aeromobili con equipaggio tra gli Stati Uniti d'America, l'Unione europea, l'Islanda e il Regno di Norvegia, con riserva della sua conclusione.</w:t>
      </w:r>
    </w:p>
    <w:p>
      <w:pPr>
        <w:rPr>
          <w:noProof/>
        </w:rPr>
      </w:pPr>
      <w:r>
        <w:rPr>
          <w:noProof/>
        </w:rPr>
        <w:t>Il testo dell'accordo è accluso alla presente decisione.</w:t>
      </w:r>
    </w:p>
    <w:p>
      <w:pPr>
        <w:pStyle w:val="Titrearticle"/>
        <w:rPr>
          <w:noProof/>
        </w:rPr>
      </w:pPr>
      <w:r>
        <w:rPr>
          <w:noProof/>
        </w:rPr>
        <w:t xml:space="preserve">Articolo 2 </w:t>
      </w:r>
    </w:p>
    <w:p>
      <w:pPr>
        <w:rPr>
          <w:noProof/>
        </w:rPr>
      </w:pPr>
      <w:r>
        <w:rPr>
          <w:noProof/>
        </w:rPr>
        <w:t>Il presidente del Consiglio è autorizzato a designare la persona o le persone abilitate a firmare l'accordo a nome dell'Unione, con riserva della sua conclusione.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Articolo 3</w:t>
      </w:r>
    </w:p>
    <w:p>
      <w:pPr>
        <w:rPr>
          <w:noProof/>
        </w:rPr>
      </w:pPr>
      <w:r>
        <w:rPr>
          <w:noProof/>
        </w:rPr>
        <w:t xml:space="preserve">In attesa dell'entrata in vigore, l'accordo è applicato dall'Unione in via provvisoria, conformemente all'articolo 7, paragrafo 2, del medesimo.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Articolo 4</w:t>
      </w:r>
    </w:p>
    <w:p>
      <w:pPr>
        <w:keepNext/>
        <w:keepLines/>
        <w:rPr>
          <w:noProof/>
        </w:rPr>
      </w:pPr>
      <w:r>
        <w:rPr>
          <w:noProof/>
        </w:rPr>
        <w:t xml:space="preserve">La presente decisione entra in vigore il giorno dell'adozione. </w:t>
      </w:r>
    </w:p>
    <w:p>
      <w:pPr>
        <w:pStyle w:val="Fait"/>
        <w:rPr>
          <w:noProof/>
        </w:rPr>
      </w:pPr>
      <w:r>
        <w:lastRenderedPageBreak/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ab/>
        <w:t>Per il Consiglio</w:t>
      </w:r>
    </w:p>
    <w:p>
      <w:pPr>
        <w:pStyle w:val="Personnequisigne"/>
        <w:rPr>
          <w:noProof/>
        </w:rPr>
      </w:pPr>
      <w:r>
        <w:rPr>
          <w:noProof/>
        </w:rPr>
        <w:tab/>
        <w:t>Il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GU L 134 del 25.5.2007, pag. 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 xml:space="preserve">Il </w:t>
      </w:r>
      <w:r>
        <w:rPr>
          <w:i/>
          <w:color w:val="000000" w:themeColor="text1"/>
        </w:rPr>
        <w:t>wet lease</w:t>
      </w:r>
      <w:r>
        <w:rPr>
          <w:color w:val="000000" w:themeColor="text1"/>
        </w:rPr>
        <w:t xml:space="preserve"> (noleggio con equipaggio) è un </w:t>
      </w:r>
      <w:r>
        <w:t xml:space="preserve">accordo in base al quale una compagnia aerea (esercente l'aeromobile - </w:t>
      </w:r>
      <w:r>
        <w:rPr>
          <w:i/>
        </w:rPr>
        <w:t>lessor</w:t>
      </w:r>
      <w:r>
        <w:t>) effettua i voli mettendo a disposizione di un'altra compagnia aerea (</w:t>
      </w:r>
      <w:r>
        <w:rPr>
          <w:i/>
        </w:rPr>
        <w:t>lessee</w:t>
      </w:r>
      <w:r>
        <w:t>) l'aeromobile e l'equipaggio.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Regolamento (CE) n. 1008/2008 del Parlamento europeo e del Consiglio, del 24 settembre 2008, recante norme comuni per la prestazione di servizi aerei nella Comunità (rifusione) (GU L 293 del 31.10.2008, pag. 3).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Regolamento (UE) 2019/2 del Parlamento europeo e del Consiglio, dell'11 dicembre 2018, che modifica il regolamento (CE) n. 1008/2008 recante norme comuni per la prestazione di servizi aerei nella Comunità (GU L 11 del 14.1.2019, pag. 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5 10:17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3D97638-5550-4AB6-AD0D-EC71E08183D8"/>
    <w:docVar w:name="LW_COVERPAGE_TYPE" w:val="1"/>
    <w:docVar w:name="LW_CROSSREFERENCE" w:val="&lt;UNUSED&gt;"/>
    <w:docVar w:name="LW_DocType" w:val="COM"/>
    <w:docVar w:name="LW_EMISSION" w:val="5.6.2019"/>
    <w:docVar w:name="LW_EMISSION_ISODATE" w:val="2019-06-05"/>
    <w:docVar w:name="LW_EMISSION_LOCATION" w:val="BRX"/>
    <w:docVar w:name="LW_EMISSION_PREFIX" w:val="Bruxelle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5"/>
    <w:docVar w:name="LW_REF.II.NEW.CP_YEAR" w:val="2019"/>
    <w:docVar w:name="LW_REF.INST.NEW" w:val="COM"/>
    <w:docVar w:name="LW_REF.INST.NEW_ADOPTED" w:val="final"/>
    <w:docVar w:name="LW_REF.INST.NEW_TEXT" w:val="(2019) 2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i"/>
    <w:docVar w:name="LW_SUPERTITRE" w:val="&lt;UNUSED&gt;"/>
    <w:docVar w:name="LW_TITRE.OBJ.CP" w:val="relativa alla firma, a nome dell'Unione europea, e all'applicazione provvisoria dell'accordo relativo ai limiti temporali degli accordi per la fornitura di aeromobili con equipaggio tra gli Stati Uniti d'America, l'Unione europea, l'Islanda e il Regno di Norvegia"/>
    <w:docVar w:name="LW_TYPE.DOC.CP" w:val="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tabs>
        <w:tab w:val="clear" w:pos="1209"/>
        <w:tab w:val="num" w:pos="360"/>
      </w:tabs>
      <w:ind w:left="0" w:firstLine="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tabs>
        <w:tab w:val="clear" w:pos="1209"/>
        <w:tab w:val="num" w:pos="360"/>
      </w:tabs>
      <w:ind w:left="0" w:firstLine="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E023-6B6D-477C-9546-EAAE124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1000</Words>
  <Characters>5895</Characters>
  <Application>Microsoft Office Word</Application>
  <DocSecurity>0</DocSecurity>
  <Lines>120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2019-04-30T14:17:00Z</cp:lastPrinted>
  <dcterms:created xsi:type="dcterms:W3CDTF">2019-06-03T09:24:00Z</dcterms:created>
  <dcterms:modified xsi:type="dcterms:W3CDTF">2019-06-05T08:17:00Z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