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C50B42-6339-4C80-87E7-ABCC3C7E7BD0" style="width:450.75pt;height:43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Siekdamas užtikrinti reikiamą vidaus rinkos teisinį saugumą ir vientisumą, EEE jungtinis komitetas turi įtraukti visus susijusius ES teisės aktus į EEE susitarimą kuo greičiau po jų priėmimo ir sudaryti sąlygas EEE narėmis esančioms ELPA valstybėms dalyvauti su EEE susijusiuose ES veiksmuose arba programose.</w:t>
      </w:r>
    </w:p>
    <w:p>
      <w:pPr>
        <w:pBdr>
          <w:top w:val="nil"/>
          <w:left w:val="nil"/>
          <w:bottom w:val="nil"/>
          <w:right w:val="nil"/>
          <w:between w:val="nil"/>
          <w:bar w:val="nil"/>
        </w:pBdr>
        <w:spacing w:before="0" w:after="240"/>
        <w:rPr>
          <w:rFonts w:eastAsia="Arial Unicode MS"/>
          <w:noProof/>
        </w:rPr>
      </w:pPr>
      <w:r>
        <w:rPr>
          <w:noProof/>
        </w:rPr>
        <w:t>EEE jungtinio komiteto sprendimo projektu (pridedamu prie siūlomo Tarybos sprendimo) siekiama iš dalies pakeisti EEE susitarimo 31 protokolą dėl bendradarbiavimo konkrečiose srityse, nesusijusiose su keturiomis laisvėmis. Tai yra būtina tam, kad EEE narėmis esančios ELPA valstybės galėtų dalyvauti Sąjungos programose ir veiksmuose, finansuojamuose iš Europos biudžeto eilučių. Šiuo atveju šio pakeitimo tikslas – leisti EEE narėmis esančioms ELPA valstybėms (Norvegijai, Islandijai ir Lichtenšteinui) dalyvauti Sąjungos veikloje, susijusioje su biudžeto eilute Nr. 12 02 01 „Bendrosios finansinių paslaugų rinkos įgyvendinimas ir plėtojimas“, finansuojama iš 2019 finansinių metų Europos Sąjungos bendrojo biudžeto.</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Pridedamas Jungtinio komiteto sprendimo projektas visiškai atitinka EEE susitarimo tikslą stiprinti tvarius ir subalansuotus susitariančiųjų šalių prekybos ir ekonominius ryšius, taikant vienodas konkurencijos sąlygas ir laikantis tokių pačių taisyklių tam, kad būtų sukurta vientisa Europos ekonominė erdvė.</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Jungtinio komiteto sprendimas taip pat dera su kitų sričių Sąjungos politika, visų pirma siekiant apsaugoti ES vidaus rinkos vientisumą.</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rPr>
          <w:noProof/>
        </w:rPr>
      </w:pPr>
      <w:r>
        <w:rPr>
          <w:noProof/>
        </w:rPr>
        <w:t xml:space="preserve">Šio Tarybos pasiūlymo materialinis teisinis pagrindas yra Sutarties dėl Europos Sąjungos veikimo 114 straipsnis kartu su jos 218 straipsnio 9 dalimi. </w:t>
      </w:r>
    </w:p>
    <w:p>
      <w:pPr>
        <w:rPr>
          <w:noProof/>
        </w:rPr>
      </w:pPr>
      <w:r>
        <w:rPr>
          <w:noProof/>
        </w:rPr>
        <w:t>Procedūrinis teisinis pagrindas – Tarybos reglamento (EB) Nr. 2894/94 dėl EEE susitarimo įgyvendinimo tvarkos</w:t>
      </w:r>
      <w:r>
        <w:rPr>
          <w:rStyle w:val="FootnoteReference"/>
          <w:noProof/>
        </w:rPr>
        <w:footnoteReference w:id="1"/>
      </w:r>
      <w:r>
        <w:rPr>
          <w:noProof/>
        </w:rPr>
        <w:t xml:space="preserve"> 1 straipsnio 3 dalis, kurioje nustatyta, kad Taryba, remdamasi Komisijos pasiūlymu, nustato poziciją, kurios Sąjungos vardu turi būti laikomasi dėl tokių sprendimų. </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rPr>
          <w:rFonts w:cs="EUAlbertina"/>
          <w:noProof/>
          <w:color w:val="000000"/>
        </w:rPr>
      </w:pPr>
      <w:r>
        <w:rPr>
          <w:noProof/>
        </w:rPr>
        <w:t xml:space="preserve">Pasiūlymas atitinka subsidiarumo principą dėl toliau nurodytos priežasties. </w:t>
      </w:r>
    </w:p>
    <w:p>
      <w:pPr>
        <w:pBdr>
          <w:top w:val="nil"/>
          <w:left w:val="nil"/>
          <w:bottom w:val="nil"/>
          <w:right w:val="nil"/>
          <w:between w:val="nil"/>
          <w:bar w:val="nil"/>
        </w:pBdr>
        <w:spacing w:before="0" w:after="240"/>
        <w:rPr>
          <w:rFonts w:eastAsia="Arial Unicode MS"/>
          <w:noProof/>
        </w:rPr>
      </w:pPr>
      <w:r>
        <w:rPr>
          <w:noProof/>
          <w:color w:val="000000"/>
        </w:rPr>
        <w:t>Šio pasiūlymo tikslo, t. y. užtikrinti vidaus rinkos vientisumą, valstybės narės negali deramai pasiekti, todėl dėl siūlomo veiksmo poveikio to tikslo būtų geriau siekti Sąjungos lygmeniu.</w:t>
      </w: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rFonts w:eastAsia="Arial Unicode MS"/>
          <w:noProof/>
        </w:rPr>
      </w:pPr>
      <w:r>
        <w:rPr>
          <w:noProof/>
          <w:color w:val="000000"/>
        </w:rPr>
        <w:t>Pagal proporcingumo principą šiuo pasiūlymu neviršijama to, kas būtina, kad būtų pasiektas jo tikslas – užtikrinti vidaus rinkos vientisumą.</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Pagal EEE susitarimo 98 straipsnį pasirinkta priemonė yra EEE jungtinio komiteto sprendimas. EEE jungtinis komitetas užtikrina veiksmingą EEE susitarimo įgyvendinimą ir veikimą. Todėl šiame susitarime numatytais atvejais jis priima sprendimus.</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EEE narėmis esančios ELPA valstybės turi finansiškai prisidėti prie Sąjungos biudžeto, biudžeto eilutės Nr. 12 02 01 „Bendrosios finansinių paslaugų rinkos įgyvendinimas ir plėtojimas“. Tiksli suma bus nustatyta vadovaujantis EEE susitarimo nuostatomis, kai bus priimtas šis Tarybos sprendimo projektas.</w:t>
      </w:r>
    </w:p>
    <w:p>
      <w:pPr>
        <w:pStyle w:val="ManualHeading1"/>
        <w:rPr>
          <w:noProof/>
        </w:rPr>
      </w:pPr>
      <w:r>
        <w:rPr>
          <w:noProof/>
        </w:rPr>
        <w:t>5.</w:t>
      </w:r>
      <w:r>
        <w:rPr>
          <w:noProof/>
        </w:rPr>
        <w:tab/>
        <w:t>KITI ELEMENTAI</w:t>
      </w:r>
    </w:p>
    <w:p>
      <w:pPr>
        <w:spacing w:before="0" w:after="240"/>
        <w:rPr>
          <w:noProof/>
        </w:rPr>
      </w:pPr>
      <w:r>
        <w:rPr>
          <w:noProof/>
        </w:rPr>
        <w:t>Vadovaujantis ES biudžeto politika, dalyvauti ES veikloje leidžiama tik tada, kai sumokamas atitinkamas finansinis įnašas. Tačiau pagal EEE susitarimo 32 protokolą EEE narėmis esančių ELPA valstybių metinis finansinis įnašas kasmet sumokamas iki rugpjūčio mėn. 31 d. po to, kai EEE narėmis esančioms ELPA valstybėms iki rugpjūčio mėn. 15 d. pateikiamas Europos Komisijos parengtas ES lėšų reikalavimas.</w:t>
      </w:r>
    </w:p>
    <w:p>
      <w:pPr>
        <w:spacing w:before="0" w:after="240"/>
        <w:rPr>
          <w:noProof/>
        </w:rPr>
      </w:pPr>
      <w:r>
        <w:rPr>
          <w:noProof/>
        </w:rPr>
        <w:t>Todėl, siekiant užpildyti spragą nuo sausio iki rugpjūčio mėn., Jungtinio komiteto sprendimo projektas turi būti taikomas atgaline data nuo sausio mėn. Taip užtikrinama, kad EEE susitarime numatytas bendradarbiavimas nenutrūktų ištisus kalendorinius metus.</w:t>
      </w:r>
    </w:p>
    <w:p>
      <w:pPr>
        <w:pBdr>
          <w:top w:val="nil"/>
          <w:left w:val="nil"/>
          <w:bottom w:val="nil"/>
          <w:right w:val="nil"/>
          <w:between w:val="nil"/>
          <w:bar w:val="nil"/>
        </w:pBdr>
        <w:spacing w:before="0" w:after="240"/>
        <w:rPr>
          <w:rFonts w:eastAsia="Arial Unicode MS"/>
          <w:noProof/>
        </w:rPr>
      </w:pPr>
      <w:r>
        <w:rPr>
          <w:noProof/>
        </w:rPr>
        <w:t>Taikymas atgaline data nedaro poveikio suinteresuotųjų asmenų teisėms bei pareigoms ir nepažeidžia teisėtų lūkesčių principo.</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2019/0128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EEE jungtiniame komitete dėl EEE susitarimo 31 protokolo dėl bendradarbiavimo konkrečiose srityse, nesusijusiose su keturiomis laisvėmis, dalinio pakeitimo</w:t>
      </w:r>
      <w:r>
        <w:rPr>
          <w:noProof/>
        </w:rPr>
        <w:br/>
      </w:r>
      <w:r>
        <w:rPr>
          <w:noProof/>
        </w:rPr>
        <w:br/>
        <w:t>(Biudžeto eilutė Nr. 12 02 01 „Finansinės paslaugos“)</w:t>
      </w:r>
    </w:p>
    <w:p>
      <w:pPr>
        <w:pStyle w:val="IntrtEEE"/>
        <w:rPr>
          <w:noProof/>
        </w:rPr>
      </w:pPr>
      <w:r>
        <w:rPr>
          <w:noProof/>
        </w:rPr>
        <w:t>(Tekstas svarbus EEE)</w:t>
      </w:r>
    </w:p>
    <w:p>
      <w:pPr>
        <w:pStyle w:val="Institutionquiagit"/>
        <w:rPr>
          <w:noProof/>
        </w:rPr>
      </w:pPr>
      <w:r>
        <w:rPr>
          <w:noProof/>
        </w:rPr>
        <w:t>EUROPOS SĄJUNGOS TARYBA,</w:t>
      </w:r>
    </w:p>
    <w:p>
      <w:pPr>
        <w:rPr>
          <w:noProof/>
        </w:rPr>
      </w:pPr>
      <w:r>
        <w:rPr>
          <w:noProof/>
        </w:rPr>
        <w:t>atsižvelgdama į Sutartį dėl Europos Sąjungos veikimo, ypač į jos 114 straipsnį kartu su 218 straipsnio 9 dalimi,</w:t>
      </w:r>
    </w:p>
    <w:p>
      <w:pPr>
        <w:rPr>
          <w:noProof/>
        </w:rPr>
      </w:pPr>
      <w:r>
        <w:rPr>
          <w:noProof/>
        </w:rPr>
        <w:t>atsižvelgdama į 1994 m. lapkričio 28 d. Tarybos reglamentą (EB) Nr. 2894/94 dėl Europos ekonominės erdvės susitarimo įgyvendinimo tvarkos</w:t>
      </w:r>
      <w:r>
        <w:rPr>
          <w:rStyle w:val="FootnoteReference"/>
          <w:noProof/>
        </w:rPr>
        <w:footnoteReference w:id="2"/>
      </w:r>
      <w:r>
        <w:rPr>
          <w:noProof/>
        </w:rPr>
        <w:t>, ypač į jo 1 straipsnio 3 dalį,</w:t>
      </w:r>
    </w:p>
    <w:p>
      <w:pPr>
        <w:rPr>
          <w:noProof/>
        </w:rPr>
      </w:pPr>
      <w:r>
        <w:rPr>
          <w:noProof/>
        </w:rPr>
        <w:t>atsižvelgdami į Europos Komisijos pasiūlymą,</w:t>
      </w:r>
    </w:p>
    <w:p>
      <w:pPr>
        <w:rPr>
          <w:noProof/>
        </w:rPr>
      </w:pPr>
      <w:r>
        <w:rPr>
          <w:noProof/>
        </w:rPr>
        <w:t>kadangi:</w:t>
      </w:r>
    </w:p>
    <w:p>
      <w:pPr>
        <w:pStyle w:val="ManualConsidrant"/>
        <w:rPr>
          <w:noProof/>
        </w:rPr>
      </w:pPr>
      <w:r>
        <w:t>(1)</w:t>
      </w:r>
      <w:r>
        <w:tab/>
      </w:r>
      <w:r>
        <w:rPr>
          <w:noProof/>
        </w:rPr>
        <w:t>Europos ekonominės erdvės susitarimas</w:t>
      </w:r>
      <w:r>
        <w:rPr>
          <w:rStyle w:val="FootnoteReference"/>
          <w:noProof/>
        </w:rPr>
        <w:footnoteReference w:id="3"/>
      </w:r>
      <w:r>
        <w:rPr>
          <w:noProof/>
        </w:rPr>
        <w:t xml:space="preserve"> (toliau – EEE susitarimas) įsigaliojo 1994 m. sausio 1 d.;</w:t>
      </w:r>
    </w:p>
    <w:p>
      <w:pPr>
        <w:pStyle w:val="ManualConsidrant"/>
        <w:rPr>
          <w:noProof/>
        </w:rPr>
      </w:pPr>
      <w:r>
        <w:t>(2)</w:t>
      </w:r>
      <w:r>
        <w:tab/>
      </w:r>
      <w:r>
        <w:rPr>
          <w:noProof/>
        </w:rPr>
        <w:t>pagal EEE susitarimo 98 straipsnį EEE jungtinis komitetas gali nuspręsti, be kita ko, iš dalies pakeisti EEE susitarimo 31 protokolą;</w:t>
      </w:r>
    </w:p>
    <w:p>
      <w:pPr>
        <w:pStyle w:val="ManualConsidrant"/>
        <w:rPr>
          <w:noProof/>
        </w:rPr>
      </w:pPr>
      <w:r>
        <w:t>(3)</w:t>
      </w:r>
      <w:r>
        <w:tab/>
      </w:r>
      <w:r>
        <w:rPr>
          <w:noProof/>
        </w:rPr>
        <w:t>EEE susitarimo 31 protokole išdėstytos bendradarbiavimo konkrečiose srityse, nesusijusiose su keturiomis laisvėmis, nuostatos;</w:t>
      </w:r>
    </w:p>
    <w:p>
      <w:pPr>
        <w:pStyle w:val="ManualConsidrant"/>
        <w:rPr>
          <w:noProof/>
        </w:rPr>
      </w:pPr>
      <w:r>
        <w:t>(4)</w:t>
      </w:r>
      <w:r>
        <w:tab/>
      </w:r>
      <w:r>
        <w:rPr>
          <w:noProof/>
        </w:rPr>
        <w:t>tikslinga tęsti EEE susitarimo Susitariančiųjų Šalių bendradarbiavimą vykdant iš Europos Sąjungos bendrojo biudžeto finansuojamą Sąjungos veiklą, susijusią su finansinėmis paslaugomis;</w:t>
      </w:r>
    </w:p>
    <w:p>
      <w:pPr>
        <w:pStyle w:val="ManualConsidrant"/>
        <w:rPr>
          <w:noProof/>
        </w:rPr>
      </w:pPr>
      <w:r>
        <w:t>(5)</w:t>
      </w:r>
      <w:r>
        <w:tab/>
      </w:r>
      <w:r>
        <w:rPr>
          <w:noProof/>
        </w:rPr>
        <w:t>todėl tam, kad šis išplėstas bendradarbiavimas būtų tęsiamas po 2018 m. sausio 1 d., reikėtų iš dalies pakeisti EEE susitarimo 31 protokolą;</w:t>
      </w:r>
    </w:p>
    <w:p>
      <w:pPr>
        <w:pStyle w:val="ManualConsidrant"/>
        <w:rPr>
          <w:noProof/>
        </w:rPr>
      </w:pPr>
      <w:r>
        <w:t>(6)</w:t>
      </w:r>
      <w:r>
        <w:tab/>
      </w:r>
      <w:r>
        <w:rPr>
          <w:noProof/>
        </w:rPr>
        <w:t>Sąjungos pozicija EEE jungtiniame komitete turėtų būti grindžiama pridedamu sprendimo projektu,</w:t>
      </w:r>
    </w:p>
    <w:p>
      <w:pPr>
        <w:pStyle w:val="Formuledadoption"/>
        <w:rPr>
          <w:noProof/>
        </w:rPr>
      </w:pPr>
      <w:r>
        <w:rPr>
          <w:noProof/>
        </w:rPr>
        <w:t xml:space="preserve">PRIĖMĖ ŠĮ SPRENDIMĄ: </w:t>
      </w:r>
    </w:p>
    <w:p>
      <w:pPr>
        <w:pStyle w:val="Titrearticle"/>
        <w:rPr>
          <w:noProof/>
        </w:rPr>
      </w:pPr>
      <w:r>
        <w:rPr>
          <w:noProof/>
        </w:rPr>
        <w:t>1 straipsnis</w:t>
      </w:r>
    </w:p>
    <w:p>
      <w:pPr>
        <w:rPr>
          <w:noProof/>
        </w:rPr>
      </w:pPr>
      <w:r>
        <w:rPr>
          <w:noProof/>
        </w:rPr>
        <w:t>Pozicija, kurios Sąjungos vardu turi būti laikomasi EEE jungtiniame komitete dėl siūlomo EEE susitarimo 31 protokolo dėl bendradarbiavimo konkrečiose srityse, nesusijusiose su keturiomis laisvėmis, dalinio pakeitimo, grindžiama prie šio sprendimo pridėtu EEE jungtinio komiteto sprendimo projektu.</w:t>
      </w:r>
    </w:p>
    <w:p>
      <w:pPr>
        <w:pStyle w:val="Titrearticle"/>
        <w:rPr>
          <w:noProof/>
        </w:rPr>
      </w:pPr>
      <w:r>
        <w:rPr>
          <w:noProof/>
        </w:rPr>
        <w:t>2 straipsnis</w:t>
      </w:r>
    </w:p>
    <w:p>
      <w:pPr>
        <w:keepLines/>
        <w:rPr>
          <w:noProof/>
        </w:rPr>
      </w:pPr>
      <w:r>
        <w:rPr>
          <w:noProof/>
        </w:rPr>
        <w:t>Šis sprendimas įsigalioja jo priėmimo dieną.</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OL L 305, 1994 11 30, p. 6–8.</w:t>
      </w:r>
    </w:p>
  </w:footnote>
  <w:footnote w:id="2">
    <w:p>
      <w:pPr>
        <w:pStyle w:val="FootnoteText"/>
        <w:rPr>
          <w:lang w:val="pl-PL"/>
        </w:rPr>
      </w:pPr>
      <w:r>
        <w:rPr>
          <w:rStyle w:val="FootnoteReference"/>
        </w:rPr>
        <w:footnoteRef/>
      </w:r>
      <w:r>
        <w:tab/>
        <w:t>OL L 305, 1994 11 30, p. 6.</w:t>
      </w:r>
    </w:p>
  </w:footnote>
  <w:footnote w:id="3">
    <w:p>
      <w:pPr>
        <w:pStyle w:val="FootnoteText"/>
        <w:rPr>
          <w:lang w:val="pl-PL"/>
        </w:rPr>
      </w:pPr>
      <w:r>
        <w:rPr>
          <w:rStyle w:val="FootnoteReference"/>
        </w:rPr>
        <w:footnoteRef/>
      </w:r>
      <w:r>
        <w:tab/>
        <w:t xml:space="preserve">OL L 1, 1994 1 3, p.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F4E3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D687C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39CA2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C610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68476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388AD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E88862"/>
    <w:lvl w:ilvl="0">
      <w:start w:val="1"/>
      <w:numFmt w:val="decimal"/>
      <w:pStyle w:val="ListNumber"/>
      <w:lvlText w:val="%1."/>
      <w:lvlJc w:val="left"/>
      <w:pPr>
        <w:tabs>
          <w:tab w:val="num" w:pos="360"/>
        </w:tabs>
        <w:ind w:left="360" w:hanging="360"/>
      </w:pPr>
    </w:lvl>
  </w:abstractNum>
  <w:abstractNum w:abstractNumId="7">
    <w:nsid w:val="FFFFFF89"/>
    <w:multiLevelType w:val="singleLevel"/>
    <w:tmpl w:val="8F624A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1"/>
  </w:num>
  <w:num w:numId="16">
    <w:abstractNumId w:val="22"/>
    <w:lvlOverride w:ilvl="0">
      <w:startOverride w:val="1"/>
    </w:lvlOverride>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7 15:02: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EC50B42-6339-4C80-87E7-ABCC3C7E7BD0"/>
    <w:docVar w:name="LW_COVERPAGE_TYPE" w:val="1"/>
    <w:docVar w:name="LW_CROSSREFERENCE" w:val="&lt;UNUSED&gt;"/>
    <w:docVar w:name="LW_DocType" w:val="COM"/>
    <w:docVar w:name="LW_EMISSION" w:val="2019 06 07"/>
    <w:docVar w:name="LW_EMISSION_ISODATE" w:val="2019-06-07"/>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28"/>
    <w:docVar w:name="LW_REF.II.NEW.CP_YEAR" w:val="2019"/>
    <w:docVar w:name="LW_REF.INST.NEW" w:val="COM"/>
    <w:docVar w:name="LW_REF.INST.NEW_ADOPTED" w:val="final"/>
    <w:docVar w:name="LW_REF.INST.NEW_TEXT" w:val="(2019) 2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EEE jungtiniame komitete d\u279?l EEE susitarimo 31 protokolo d\u279?l bendradarbiavimo konkre\u269?iose srityse, nesusijusiose su keturiomis laisv\u279?mis, dalinio pakeitimo_x000b__x000b_(Biud\u382?eto eilut\u279? Nr. 12 02 01 \u8222?Finansin\u279?s paslaugos\u8220?)"/>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5</Pages>
  <Words>774</Words>
  <Characters>5276</Characters>
  <Application>Microsoft Office Word</Application>
  <DocSecurity>0</DocSecurity>
  <Lines>103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2019-06-04T12:02:00Z</dcterms:created>
  <dcterms:modified xsi:type="dcterms:W3CDTF">2019-06-07T13:02:00Z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