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73B2D3-6A51-47E6-9EAF-635656DA2D0F" style="width:450.75pt;height:43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rPr>
      </w:pPr>
      <w:r>
        <w:rPr>
          <w:noProof/>
        </w:rPr>
        <w:t>Nõutava õiguskindluse ja siseturu ühtsuse tagamiseks peab EMP ühiskomitee pärast asjaomaste ELi õigusaktide vastuvõtmist integreerima need võimalikult kiiresti Euroopa Majanduspiirkonna lepingusse (edaspidi „EMP leping“) ja lubama EMP ja EFTA riikidel osaleda ka EMPd käsitlevates ELi meetmetes ja programmides.</w:t>
      </w:r>
    </w:p>
    <w:p>
      <w:pPr>
        <w:pBdr>
          <w:top w:val="nil"/>
          <w:left w:val="nil"/>
          <w:bottom w:val="nil"/>
          <w:right w:val="nil"/>
          <w:between w:val="nil"/>
          <w:bar w:val="nil"/>
        </w:pBdr>
        <w:spacing w:before="0" w:after="240"/>
        <w:rPr>
          <w:rFonts w:eastAsia="Arial Unicode MS"/>
          <w:noProof/>
        </w:rPr>
      </w:pPr>
      <w:r>
        <w:rPr>
          <w:noProof/>
        </w:rPr>
        <w:t>Nõukogu otsuse ettepanekule lisatud EMP ühiskomitee otsuse eelnõu eesmärk on muuta EMP lepingu protokolli nr 31 koostöö kohta teatavates valdkondades väljaspool nelja vabadust. Otsust on vaja, et EMP ja EFTA riigid saaksid osaleda liidu programmides ja meetmetes, mida rahastatakse Euroopa Liidu eelarvest. Käesoleval juhul esitatakse muudatusettepanek selleks, et lubada EMP ja EFTA riikidel (Norra, Island ja Liechtenstein) osaleda Euroopa Liidu 2019. aasta üldeelarvesse lisatud eelarvereaga 12 02 01 („Finantsteenuste ühtse turu rakendamine ja arendamine“) seotud liidu meetmetes.</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Nõukogu otsuse ettepanekule lisatud ühiskomitee otsuse eelnõu on täielikult kooskõlas EMP lepingu eesmärgiga aidata kaasa lepinguosaliste kaubandus- ja majandussidemete püsivale ja tasakaalustatud tugevdamisele võrdsetes konkurentsitingimustes ning samu eeskirju järgides, et nii luua ühtne Euroopa Majanduspiirkond.</w:t>
      </w:r>
    </w:p>
    <w:p>
      <w:pPr>
        <w:pStyle w:val="ManualHeading2"/>
        <w:rPr>
          <w:rFonts w:eastAsia="Arial Unicode MS"/>
          <w:noProof/>
        </w:rPr>
      </w:pPr>
      <w:r>
        <w:rPr>
          <w:noProof/>
          <w:color w:val="000000"/>
          <w:u w:color="000000"/>
          <w:bdr w:val="nil"/>
        </w:rPr>
        <w:t>•</w:t>
      </w:r>
      <w:r>
        <w:rPr>
          <w:noProof/>
        </w:rPr>
        <w:tab/>
        <w:t>Kooskõla liidu muude tegevuspõhimõtetega</w:t>
      </w:r>
    </w:p>
    <w:p>
      <w:pPr>
        <w:pBdr>
          <w:top w:val="nil"/>
          <w:left w:val="nil"/>
          <w:bottom w:val="nil"/>
          <w:right w:val="nil"/>
          <w:between w:val="nil"/>
          <w:bar w:val="nil"/>
        </w:pBdr>
        <w:spacing w:before="0" w:after="240"/>
        <w:rPr>
          <w:rFonts w:eastAsia="Arial Unicode MS"/>
          <w:noProof/>
        </w:rPr>
      </w:pPr>
      <w:r>
        <w:rPr>
          <w:noProof/>
        </w:rPr>
        <w:t>Ühiskomitee otsus on samuti kooskõlas muude liidu tegevuspõhimõtetega, eelkõige eesmärgiga kaitsta ELi siseturu ühtsust.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rPr>
          <w:noProof/>
        </w:rPr>
      </w:pPr>
      <w:r>
        <w:rPr>
          <w:noProof/>
        </w:rPr>
        <w:t xml:space="preserve">Käesoleva nõukogu ettepaneku materiaalõiguslik alus on Euroopa Liidu toimimise lepingu artikkel 114 koostoimes artikli 218 lõikega 9. </w:t>
      </w:r>
    </w:p>
    <w:p>
      <w:pPr>
        <w:rPr>
          <w:noProof/>
        </w:rPr>
      </w:pPr>
      <w:r>
        <w:rPr>
          <w:noProof/>
        </w:rPr>
        <w:t>Menetlusõiguslik alus on EMP lepingu rakendamise korda käsitleva nõukogu määruse (EÜ) nr 2894/94</w:t>
      </w:r>
      <w:r>
        <w:rPr>
          <w:rStyle w:val="FootnoteReference"/>
          <w:noProof/>
        </w:rPr>
        <w:footnoteReference w:id="1"/>
      </w:r>
      <w:r>
        <w:rPr>
          <w:noProof/>
        </w:rPr>
        <w:t xml:space="preserve"> artikli 1 lõige 3, millega nähakse ette, et nõukogu määrab komisjoni ettepanekul kindlaks seisukoha, mis tuleb liidu nimel EMP ühiskomitee otsuste suhtes võtta. </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rPr>
          <w:rFonts w:cs="EUAlbertina"/>
          <w:noProof/>
          <w:color w:val="000000"/>
        </w:rPr>
      </w:pPr>
      <w:r>
        <w:rPr>
          <w:noProof/>
        </w:rPr>
        <w:t xml:space="preserve">Ettepanek on subsidiaarsuse põhimõttega kooskõlas alljärgnevatel põhjustel. </w:t>
      </w:r>
    </w:p>
    <w:p>
      <w:pPr>
        <w:pBdr>
          <w:top w:val="nil"/>
          <w:left w:val="nil"/>
          <w:bottom w:val="nil"/>
          <w:right w:val="nil"/>
          <w:between w:val="nil"/>
          <w:bar w:val="nil"/>
        </w:pBdr>
        <w:spacing w:before="0" w:after="240"/>
        <w:rPr>
          <w:rFonts w:eastAsia="Arial Unicode MS"/>
          <w:noProof/>
        </w:rPr>
      </w:pPr>
      <w:r>
        <w:rPr>
          <w:noProof/>
          <w:color w:val="000000"/>
        </w:rPr>
        <w:t>Käesoleva ettepaneku eesmärki – tagada siseturu ühtsus – ei ole võimalik piisavalt saavutada üksnes liikmesriikide tasandil ning meetme toime tõttu on eesmärk paremini saavutatav liidu tasandil.</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color w:val="000000"/>
        </w:rPr>
        <w:t>Kooskõlas proportsionaalsuse põhimõttega ei lähe ettepanek kaugemale sellest, mis on vajalik, et saavutada ettepaneku eesmärk – tagada siseturu ühtsus.</w:t>
      </w:r>
    </w:p>
    <w:p>
      <w:pPr>
        <w:pStyle w:val="ManualHeading2"/>
        <w:rPr>
          <w:rFonts w:eastAsia="Arial Unicode MS"/>
          <w:noProof/>
          <w:u w:color="000000"/>
          <w:bdr w:val="nil"/>
        </w:rPr>
      </w:pPr>
      <w:r>
        <w:rPr>
          <w:noProof/>
        </w:rPr>
        <w:lastRenderedPageBreak/>
        <w:t>•</w:t>
      </w:r>
      <w:r>
        <w:rPr>
          <w:noProof/>
        </w:rPr>
        <w:tab/>
        <w:t>Vahendi valik</w:t>
      </w:r>
    </w:p>
    <w:p>
      <w:pPr>
        <w:pBdr>
          <w:top w:val="nil"/>
          <w:left w:val="nil"/>
          <w:bottom w:val="nil"/>
          <w:right w:val="nil"/>
          <w:between w:val="nil"/>
          <w:bar w:val="nil"/>
        </w:pBdr>
        <w:spacing w:before="0" w:after="240"/>
        <w:rPr>
          <w:rFonts w:eastAsia="Arial Unicode MS"/>
          <w:noProof/>
        </w:rPr>
      </w:pPr>
      <w:r>
        <w:rPr>
          <w:noProof/>
        </w:rPr>
        <w:t>Kooskõlas EMP lepingu artikliga 98 on valitud vahend EMP ühiskomitee otsus. EMP ühiskomitee tagab EMP lepingu tulemusliku rakendamise ja toimimise. Selleks võtab ta kõnealuses lepingus sätestatud juhtudel vastu otsuseid.</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EMP ja EFTA riigid osalevad liidu eelarve eelarverea 12 02 01 („Finantsteenuste ühtse turu rakendamine ja arendamine“) rahastamisel. Täpne summa määratakse kooskõlas EMP lepingu sätetega pärast käesoleva nõukogu otsuse eelnõu vastuvõtmist.</w:t>
      </w:r>
    </w:p>
    <w:p>
      <w:pPr>
        <w:pStyle w:val="ManualHeading1"/>
        <w:rPr>
          <w:noProof/>
        </w:rPr>
      </w:pPr>
      <w:r>
        <w:rPr>
          <w:noProof/>
        </w:rPr>
        <w:t>5.</w:t>
      </w:r>
      <w:r>
        <w:rPr>
          <w:noProof/>
        </w:rPr>
        <w:tab/>
        <w:t>MUU TEAVE</w:t>
      </w:r>
    </w:p>
    <w:p>
      <w:pPr>
        <w:spacing w:before="0" w:after="240"/>
        <w:rPr>
          <w:noProof/>
        </w:rPr>
      </w:pPr>
      <w:r>
        <w:rPr>
          <w:noProof/>
        </w:rPr>
        <w:t>Kooskõlas ELi eelarvepoliitikaga on ELi tegevuses võimalik osaleda ainult juhul, kui on tasutud vastav osamakse. Kooskõlas EMP lepingu protokolliga nr 32 laekuvad EMP ja EFTA riikide iga-aastased osamaksed igal aastal 31. augustiks pärast seda, kui Euroopa Komisjon on koostanud ELi rahastamisnõude ja esitanud selle EMP ja EFTA riikidele 15. augustiks.</w:t>
      </w:r>
    </w:p>
    <w:p>
      <w:pPr>
        <w:spacing w:before="0" w:after="240"/>
        <w:rPr>
          <w:noProof/>
        </w:rPr>
      </w:pPr>
      <w:r>
        <w:rPr>
          <w:noProof/>
        </w:rPr>
        <w:t>Seetõttu on ühiskomitee otsuse eelnõu jaanuari ja augusti vahelise ajavahemiku katmiseks tagasiulatuvalt kohaldatav alates jaanuarist. Seeläbi tagatakse kogu kalendriaasta vältel EMP lepingus sätestatud koostöö järjepidevus.</w:t>
      </w:r>
    </w:p>
    <w:p>
      <w:pPr>
        <w:pBdr>
          <w:top w:val="nil"/>
          <w:left w:val="nil"/>
          <w:bottom w:val="nil"/>
          <w:right w:val="nil"/>
          <w:between w:val="nil"/>
          <w:bar w:val="nil"/>
        </w:pBdr>
        <w:spacing w:before="0" w:after="240"/>
        <w:rPr>
          <w:rFonts w:eastAsia="Arial Unicode MS"/>
          <w:noProof/>
        </w:rPr>
      </w:pPr>
      <w:r>
        <w:rPr>
          <w:noProof/>
        </w:rPr>
        <w:t>Tagasiulatuvus ei mõjuta asjaomaste isikute õigusi ja kohustusi ning selle kohaldamisel peetakse kinni õiguspärase ootuse põhimõttest.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2019/0128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millega määratakse kindlaks Euroopa Liidu nimel EMP ühiskomitees võetav seisukoht EMP lepingu protokolli nr 31 (koostöö kohta teatavates valdkondades väljaspool nelja vabadust) muutmise suhtes</w:t>
      </w:r>
      <w:r>
        <w:rPr>
          <w:noProof/>
        </w:rPr>
        <w:br/>
      </w:r>
      <w:r>
        <w:rPr>
          <w:noProof/>
        </w:rPr>
        <w:br/>
        <w:t>(Eelarverida 12.02.01 - Finantsteenused)</w:t>
      </w:r>
    </w:p>
    <w:p>
      <w:pPr>
        <w:pStyle w:val="IntrtEEE"/>
        <w:rPr>
          <w:noProof/>
        </w:rPr>
      </w:pPr>
      <w:r>
        <w:rPr>
          <w:noProof/>
        </w:rPr>
        <w:t>(EMPs kohaldatav tekst)</w:t>
      </w:r>
    </w:p>
    <w:p>
      <w:pPr>
        <w:pStyle w:val="Institutionquiagit"/>
        <w:rPr>
          <w:noProof/>
        </w:rPr>
      </w:pPr>
      <w:r>
        <w:rPr>
          <w:noProof/>
        </w:rPr>
        <w:t>EUROOPA LIIDU NÕUKOGU,</w:t>
      </w:r>
    </w:p>
    <w:p>
      <w:pPr>
        <w:rPr>
          <w:noProof/>
        </w:rPr>
      </w:pPr>
      <w:r>
        <w:rPr>
          <w:noProof/>
        </w:rPr>
        <w:t>võttes arvesse Euroopa Liidu toimimise lepingut, eriti selle artiklit 114 koostoimes artikli 218 lõikega 9,</w:t>
      </w:r>
    </w:p>
    <w:p>
      <w:pPr>
        <w:rPr>
          <w:noProof/>
        </w:rPr>
      </w:pPr>
      <w:r>
        <w:rPr>
          <w:noProof/>
        </w:rPr>
        <w:t>võttes arvesse nõukogu 28. novembri 1994. aasta määrust (EÜ) nr 2894/94 Euroopa Majanduspiirkonna lepingu rakendamise korra kohta,</w:t>
      </w:r>
      <w:r>
        <w:rPr>
          <w:rStyle w:val="FootnoteReference"/>
          <w:noProof/>
        </w:rPr>
        <w:footnoteReference w:id="2"/>
      </w:r>
      <w:r>
        <w:rPr>
          <w:noProof/>
        </w:rPr>
        <w:t xml:space="preserve"> eriti selle artikli 1 lõiget 3,</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Euroopa Majanduspiirkonna leping</w:t>
      </w:r>
      <w:r>
        <w:rPr>
          <w:rStyle w:val="FootnoteReference"/>
          <w:noProof/>
        </w:rPr>
        <w:footnoteReference w:id="3"/>
      </w:r>
      <w:r>
        <w:rPr>
          <w:noProof/>
        </w:rPr>
        <w:t xml:space="preserve"> (edaspidi „EMP leping“) jõustus 1. jaanuaril 1994.</w:t>
      </w:r>
    </w:p>
    <w:p>
      <w:pPr>
        <w:pStyle w:val="ManualConsidrant"/>
        <w:rPr>
          <w:noProof/>
        </w:rPr>
      </w:pPr>
      <w:r>
        <w:t>(2)</w:t>
      </w:r>
      <w:r>
        <w:tab/>
      </w:r>
      <w:r>
        <w:rPr>
          <w:noProof/>
        </w:rPr>
        <w:t>EMP lepingu artikli 98 kohaselt võib EMP ühiskomitee oma otsusega muu hulgas muuta EMP lepingu protokolli nr 31.</w:t>
      </w:r>
    </w:p>
    <w:p>
      <w:pPr>
        <w:pStyle w:val="ManualConsidrant"/>
        <w:rPr>
          <w:noProof/>
        </w:rPr>
      </w:pPr>
      <w:r>
        <w:t>(3)</w:t>
      </w:r>
      <w:r>
        <w:tab/>
      </w:r>
      <w:r>
        <w:rPr>
          <w:noProof/>
        </w:rPr>
        <w:t>EMP lepingu protokoll nr 31 sisaldab sätteid koostöö kohta teatavates valdkondades väljaspool nelja vabadust.</w:t>
      </w:r>
    </w:p>
    <w:p>
      <w:pPr>
        <w:pStyle w:val="ManualConsidrant"/>
        <w:rPr>
          <w:noProof/>
        </w:rPr>
      </w:pPr>
      <w:r>
        <w:t>(4)</w:t>
      </w:r>
      <w:r>
        <w:tab/>
      </w:r>
      <w:r>
        <w:rPr>
          <w:noProof/>
        </w:rPr>
        <w:t>On asjakohane jätkata EMP lepingu osaliste koostööd Euroopa Liidu üldeelarvest rahastatavate liidu meetmete raames, mis on seotud finantsteenustega.</w:t>
      </w:r>
    </w:p>
    <w:p>
      <w:pPr>
        <w:pStyle w:val="ManualConsidrant"/>
        <w:rPr>
          <w:noProof/>
        </w:rPr>
      </w:pPr>
      <w:r>
        <w:t>(5)</w:t>
      </w:r>
      <w:r>
        <w:tab/>
      </w:r>
      <w:r>
        <w:rPr>
          <w:noProof/>
        </w:rPr>
        <w:t>Seetõttu tuleks muuta EMP lepingu protokolli nr 31, et kõnealune laiendatud koostöö saaks jätkuda ka 1. jaanuaril 2018 ja pärast seda.</w:t>
      </w:r>
    </w:p>
    <w:p>
      <w:pPr>
        <w:pStyle w:val="ManualConsidrant"/>
        <w:rPr>
          <w:noProof/>
        </w:rPr>
      </w:pPr>
      <w:r>
        <w:t>(6)</w:t>
      </w:r>
      <w:r>
        <w:tab/>
      </w:r>
      <w:r>
        <w:rPr>
          <w:noProof/>
        </w:rPr>
        <w:t>Liidu seisukoht EMP ühiskomitees peaks põhinema lisatud otsuse eelnõul,</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Seisukoht, mis võetakse liidu nimel EMP ühiskomitees EMP lepingu protokolli nr 31 (koostöö kohta teatavates valdkondades väljaspool nelja vabadust) muutmise suhtes, põhineb käesolevale otsusele lisatud EMP ühiskomitee otsuse eelnõul.</w:t>
      </w:r>
    </w:p>
    <w:p>
      <w:pPr>
        <w:pStyle w:val="Titrearticle"/>
        <w:rPr>
          <w:noProof/>
        </w:rPr>
      </w:pPr>
      <w:r>
        <w:rPr>
          <w:noProof/>
        </w:rPr>
        <w:lastRenderedPageBreak/>
        <w:t>Artikkel 2</w:t>
      </w:r>
    </w:p>
    <w:p>
      <w:pPr>
        <w:keepNext/>
        <w:keepLines/>
        <w:rPr>
          <w:noProof/>
        </w:rPr>
      </w:pPr>
      <w:r>
        <w:rPr>
          <w:noProof/>
        </w:rPr>
        <w:t>Käesolev otsus jõustub selle vastuvõtmise päeval.</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EÜT L 305, 30.11.1994, lk 6–8.</w:t>
      </w:r>
    </w:p>
  </w:footnote>
  <w:footnote w:id="2">
    <w:p>
      <w:pPr>
        <w:pStyle w:val="FootnoteText"/>
        <w:rPr>
          <w:lang w:val="pl-PL"/>
        </w:rPr>
      </w:pPr>
      <w:r>
        <w:rPr>
          <w:rStyle w:val="FootnoteReference"/>
        </w:rPr>
        <w:footnoteRef/>
      </w:r>
      <w:r>
        <w:tab/>
        <w:t>EÜT L 305, 30.11.1994, lk 6.</w:t>
      </w:r>
    </w:p>
  </w:footnote>
  <w:footnote w:id="3">
    <w:p>
      <w:pPr>
        <w:pStyle w:val="FootnoteText"/>
        <w:rPr>
          <w:lang w:val="pl-PL"/>
        </w:rPr>
      </w:pPr>
      <w:r>
        <w:rPr>
          <w:rStyle w:val="FootnoteReference"/>
        </w:rPr>
        <w:footnoteRef/>
      </w:r>
      <w:r>
        <w:tab/>
        <w:t xml:space="preserve">EÜT L 1, 3.1.1994, lk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F4E3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D687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9CA2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C610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68476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88AD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E88862"/>
    <w:lvl w:ilvl="0">
      <w:start w:val="1"/>
      <w:numFmt w:val="decimal"/>
      <w:pStyle w:val="ListNumber"/>
      <w:lvlText w:val="%1."/>
      <w:lvlJc w:val="left"/>
      <w:pPr>
        <w:tabs>
          <w:tab w:val="num" w:pos="360"/>
        </w:tabs>
        <w:ind w:left="360" w:hanging="360"/>
      </w:pPr>
    </w:lvl>
  </w:abstractNum>
  <w:abstractNum w:abstractNumId="7">
    <w:nsid w:val="FFFFFF89"/>
    <w:multiLevelType w:val="singleLevel"/>
    <w:tmpl w:val="8F624A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5:03: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873B2D3-6A51-47E6-9EAF-635656DA2D0F"/>
    <w:docVar w:name="LW_COVERPAGE_TYPE" w:val="1"/>
    <w:docVar w:name="LW_CROSSREFERENCE" w:val="&lt;UNUSED&gt;"/>
    <w:docVar w:name="LW_DocType" w:val="COM"/>
    <w:docVar w:name="LW_EMISSION" w:val="7.6.2019"/>
    <w:docVar w:name="LW_EMISSION_ISODATE" w:val="2019-06-07"/>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128"/>
    <w:docVar w:name="LW_REF.II.NEW.CP_YEAR" w:val="2019"/>
    <w:docVar w:name="LW_REF.INST.NEW" w:val="COM"/>
    <w:docVar w:name="LW_REF.INST.NEW_ADOPTED" w:val="final"/>
    <w:docVar w:name="LW_REF.INST.NEW_TEXT" w:val="(2019) 2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ääratakse kindlaks Euroopa Liidu nimel EMP ühiskomitees võetav seisukoht EMP lepingu protokolli nr 31 (koostöö kohta teatavates valdkondades väljaspool nelja vabadust) muutmise suhtes_x000b__x000b_(Eelarverida 12.02.01 - Finantsteenused)"/>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5</Pages>
  <Words>687</Words>
  <Characters>4748</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2019-05-13T13:52:00Z</dcterms:created>
  <dcterms:modified xsi:type="dcterms:W3CDTF">2019-06-07T13:03:00Z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