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F65D8E7-D6DE-4329-8F1F-F223C4272A3F" style="width:450.8pt;height:478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AZ EGT VEGYES BIZOTTSÁG HATÁROZATA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FF"/>
        </w:rPr>
        <w:t>[…]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FF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az Európai Gazdasági Térségről szóló megállapodás egyes, a négy alapszabadságon kívül eső területeken folytatott együttműködésről szóló 31. jegyzőkönyvének módosításáról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AZ EGT VEGYES BIZOTTSÁG,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tekintettel az Európai Gazdasági Térségről szóló megállapodásra (a továbbiakban: az EGT-megállapodás) és különösen annak 86. és 98. cikkére,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mivel:</w:t>
      </w:r>
    </w:p>
    <w:p>
      <w:pPr>
        <w:pStyle w:val="Considrant"/>
        <w:numPr>
          <w:ilvl w:val="0"/>
          <w:numId w:val="15"/>
        </w:numPr>
        <w:rPr>
          <w:rFonts w:eastAsia="Times New Roman"/>
          <w:noProof/>
          <w:szCs w:val="24"/>
        </w:rPr>
      </w:pPr>
      <w:r>
        <w:rPr>
          <w:noProof/>
        </w:rPr>
        <w:t>Helyénvaló folytatni az EGT-megállapodás Szerződő Felei közötti együttműködést az Unió általános költségvetéséből finanszírozott azon uniós fellépések tekintetében, amelyek a pénzügyi szolgáltatások egységes piacának megvalósításához és fejlesztéséhez kapcsolódnak.</w:t>
      </w:r>
    </w:p>
    <w:p>
      <w:pPr>
        <w:pStyle w:val="Considrant"/>
        <w:numPr>
          <w:ilvl w:val="0"/>
          <w:numId w:val="15"/>
        </w:numPr>
        <w:rPr>
          <w:noProof/>
        </w:rPr>
      </w:pPr>
      <w:r>
        <w:rPr>
          <w:noProof/>
        </w:rPr>
        <w:t>Az EGT-megállapodás 31. jegyzőkönyvét ezért módosítani kell annak érdekében, hogy e kiterjesztett együttműködés 2019. január 1-jétől lehetővé váljon,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ELFOGADTA EZT A HATÁROZATOT:</w:t>
      </w:r>
    </w:p>
    <w:p>
      <w:pPr>
        <w:pStyle w:val="Articleheading"/>
        <w:rPr>
          <w:noProof/>
        </w:rPr>
      </w:pPr>
      <w:r>
        <w:rPr>
          <w:noProof/>
        </w:rPr>
        <w:t>1. cikk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Az EGT-megállapodás 31. jegyzőkönyve 7. cikkének (11) bekezdésében az „és 2018-as” szövegrész helyébe a „, 2018-as és 2019-es” szövegrész lép.</w:t>
      </w:r>
    </w:p>
    <w:p>
      <w:pPr>
        <w:pStyle w:val="Articleheading"/>
        <w:rPr>
          <w:noProof/>
        </w:rPr>
      </w:pPr>
      <w:r>
        <w:rPr>
          <w:noProof/>
        </w:rPr>
        <w:t>2. cikk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Ez a határozat az azt követő napon lép hatályba, amikor az EGT-megállapodás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 xml:space="preserve"> 103. cikkének (1) bekezdésében előírt utolsó bejelentést megtették.</w:t>
      </w:r>
    </w:p>
    <w:p>
      <w:pPr>
        <w:rPr>
          <w:rFonts w:eastAsia="Times New Roman"/>
          <w:noProof/>
          <w:szCs w:val="24"/>
        </w:rPr>
      </w:pPr>
      <w:r>
        <w:rPr>
          <w:noProof/>
          <w:color w:val="000000"/>
        </w:rPr>
        <w:footnoteReference w:customMarkFollows="1" w:id="1"/>
        <w:t>Ezt a rendeletet 2019. január 1-jétől kell alkalmazni.</w:t>
      </w:r>
    </w:p>
    <w:p>
      <w:pPr>
        <w:pStyle w:val="Articleheading"/>
        <w:rPr>
          <w:noProof/>
        </w:rPr>
      </w:pPr>
      <w:r>
        <w:rPr>
          <w:noProof/>
        </w:rPr>
        <w:t>3. cikk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Ezt a határozatot az </w:t>
      </w:r>
      <w:r>
        <w:rPr>
          <w:i/>
          <w:noProof/>
        </w:rPr>
        <w:t>Európai Unió Hivatalos Lapjának</w:t>
      </w:r>
      <w:r>
        <w:rPr>
          <w:noProof/>
        </w:rPr>
        <w:t xml:space="preserve"> EGT-re vonatkozó részében és EGT-kiegészítésében ki kell hirdetni.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Kelt Brüsszelben, -án/-én.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EGT Vegyes Bizottság részéről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elnök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  <w:color w:val="0000FF"/>
        </w:rPr>
        <w:t>[…]</w:t>
      </w:r>
    </w:p>
    <w:p>
      <w:pPr>
        <w:spacing w:before="0" w:after="200" w:line="276" w:lineRule="auto"/>
        <w:contextualSpacing/>
        <w:jc w:val="left"/>
        <w:rPr>
          <w:rFonts w:cstheme="minorBidi"/>
          <w:noProof/>
          <w:color w:val="0000FF"/>
          <w:sz w:val="20"/>
          <w:szCs w:val="20"/>
        </w:rPr>
      </w:pPr>
    </w:p>
    <w:p>
      <w:pPr>
        <w:spacing w:before="0" w:after="200" w:line="276" w:lineRule="auto"/>
        <w:contextualSpacing/>
        <w:jc w:val="left"/>
        <w:rPr>
          <w:rFonts w:cstheme="minorBidi"/>
          <w:noProof/>
          <w:color w:val="0000FF"/>
          <w:sz w:val="20"/>
          <w:szCs w:val="20"/>
        </w:rPr>
      </w:pP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EGT Vegyes Bizottság</w:t>
      </w: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titkárai</w:t>
      </w:r>
    </w:p>
    <w:p>
      <w:pPr>
        <w:tabs>
          <w:tab w:val="left" w:pos="4253"/>
        </w:tabs>
        <w:spacing w:before="0" w:after="200" w:line="276" w:lineRule="auto"/>
        <w:contextualSpacing/>
        <w:jc w:val="left"/>
        <w:rPr>
          <w:i/>
          <w:noProof/>
          <w:color w:val="0000FF"/>
          <w:szCs w:val="24"/>
        </w:rPr>
      </w:pPr>
      <w:r>
        <w:rPr>
          <w:noProof/>
        </w:rPr>
        <w:tab/>
      </w:r>
      <w:r>
        <w:rPr>
          <w:i/>
          <w:noProof/>
          <w:color w:val="0000FF"/>
        </w:rPr>
        <w:t>[…]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cstheme="minorBidi"/>
        </w:rPr>
      </w:pPr>
      <w:r>
        <w:rPr>
          <w:rStyle w:val="FootnoteReference"/>
        </w:rPr>
        <w:sym w:font="Symbol" w:char="F02A"/>
      </w:r>
      <w:r>
        <w:tab/>
        <w:t>[Alkotmányos követelmények fennállását nem jelezték.] [Alkotmányos követelmények fennállását jelezték.]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9EA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DC00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661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48D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78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60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029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02B0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CF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7E6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3"/>
  </w:num>
  <w:num w:numId="5">
    <w:abstractNumId w:val="15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18"/>
  </w:num>
  <w:num w:numId="11">
    <w:abstractNumId w:val="19"/>
  </w:num>
  <w:num w:numId="12">
    <w:abstractNumId w:val="12"/>
  </w:num>
  <w:num w:numId="13">
    <w:abstractNumId w:val="17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4"/>
  </w:num>
  <w:num w:numId="28">
    <w:abstractNumId w:val="22"/>
  </w:num>
  <w:num w:numId="29">
    <w:abstractNumId w:val="13"/>
  </w:num>
  <w:num w:numId="30">
    <w:abstractNumId w:val="15"/>
  </w:num>
  <w:num w:numId="31">
    <w:abstractNumId w:val="11"/>
  </w:num>
  <w:num w:numId="32">
    <w:abstractNumId w:val="21"/>
  </w:num>
  <w:num w:numId="33">
    <w:abstractNumId w:val="10"/>
  </w:num>
  <w:num w:numId="34">
    <w:abstractNumId w:val="16"/>
  </w:num>
  <w:num w:numId="35">
    <w:abstractNumId w:val="18"/>
  </w:num>
  <w:num w:numId="36">
    <w:abstractNumId w:val="19"/>
  </w:num>
  <w:num w:numId="37">
    <w:abstractNumId w:val="12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7 15:02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F65D8E7-D6DE-4329-8F1F-F223C4272A3F"/>
    <w:docVar w:name="LW_COVERPAGE_TYPE" w:val="1"/>
    <w:docVar w:name="LW_CROSSREFERENCE" w:val="&lt;UNUSED&gt;"/>
    <w:docVar w:name="LW_DocType" w:val="ANNEX"/>
    <w:docVar w:name="LW_EMISSION" w:val="2019.6.7."/>
    <w:docVar w:name="LW_EMISSION_ISODATE" w:val="2019-06-07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z EGT Vegyes Bizottságban az Európai Gazdasági Térségr\u337?l szóló megállapodás egyes, a négy alapszabadságon kívül es\u337? területeken folytatott együttm\u369?ködésr\u337?l szóló 31. jegyz\u337?könyvének módosításával kapcsolatban képviselend\u337? álláspontról_x000b__x000b_(12 02 01. jogcímcsoport \u8211? Pénzügyi szolgáltatások)_x000b_"/>
    <w:docVar w:name="LW_OBJETACTEPRINCIPAL.CP" w:val="az Európai Unió által az EGT Vegyes Bizottságban az Európai Gazdasági Térségr\u337?l szóló megállapodás egyes, a négy alapszabadságon kívül es\u337? területeken folytatott együttm\u369?ködésr\u337?l szóló 31. jegyz\u337?könyvének módosításával kapcsolatban képviselend\u337? álláspontról_x000b__x000b_(12 02 01. jogcímcsoport \u8211? Pénzügyi szolgáltatások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6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_x000b_A TANÁCS HATÁROZATA"/>
    <w:docVar w:name="LW_TYPEACTEPRINCIPAL.CP" w:val="Javaslat_x000b_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customStyle="1" w:styleId="Articleheading">
    <w:name w:val="Article heading"/>
    <w:basedOn w:val="Normal"/>
    <w:pPr>
      <w:keepNext/>
      <w:spacing w:before="36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customStyle="1" w:styleId="Articleheading">
    <w:name w:val="Article heading"/>
    <w:basedOn w:val="Normal"/>
    <w:pPr>
      <w:keepNext/>
      <w:spacing w:before="36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188</Words>
  <Characters>1262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DIGIT/C6</cp:lastModifiedBy>
  <cp:revision>8</cp:revision>
  <dcterms:created xsi:type="dcterms:W3CDTF">2019-05-27T09:57:00Z</dcterms:created>
  <dcterms:modified xsi:type="dcterms:W3CDTF">2019-06-07T13:02:00Z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