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A6ABD1D9-6429-489F-A280-5A7B90973B60" style="width:450.75pt;height:379.5pt">
            <v:imagedata r:id="rId9" o:title=""/>
          </v:shape>
        </w:pict>
      </w:r>
    </w:p>
    <w:p>
      <w:pPr>
        <w:rPr>
          <w:noProof/>
          <w:highlight w:val="yellow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Statut"/>
        <w:rPr>
          <w:noProof/>
        </w:rPr>
      </w:pPr>
      <w:r>
        <w:rPr>
          <w:noProof/>
        </w:rPr>
        <w:t>Препоръка за</w:t>
      </w:r>
    </w:p>
    <w:p>
      <w:pPr>
        <w:pStyle w:val="Typedudocument"/>
        <w:rPr>
          <w:noProof/>
        </w:rPr>
      </w:pPr>
      <w:r>
        <w:rPr>
          <w:noProof/>
        </w:rPr>
        <w:t>ПРЕПОРЪКА НА СЪВЕТА</w:t>
      </w:r>
    </w:p>
    <w:p>
      <w:pPr>
        <w:pStyle w:val="Titreobjet"/>
        <w:rPr>
          <w:noProof/>
        </w:rPr>
      </w:pPr>
      <w:r>
        <w:rPr>
          <w:noProof/>
        </w:rPr>
        <w:t xml:space="preserve">с цел да се отстрани наблюдаваното значително отклонение от плана за корекции за постигане на средносрочната бюджетна цел </w:t>
      </w:r>
      <w:r>
        <w:rPr>
          <w:noProof/>
        </w:rPr>
        <w:br/>
      </w:r>
      <w:r>
        <w:rPr>
          <w:noProof/>
        </w:rPr>
        <w:br/>
        <w:t>в Румъния</w:t>
      </w:r>
    </w:p>
    <w:p>
      <w:pPr>
        <w:pStyle w:val="Institutionquiagit"/>
        <w:rPr>
          <w:noProof/>
        </w:rPr>
      </w:pPr>
      <w:r>
        <w:rPr>
          <w:noProof/>
        </w:rPr>
        <w:t>СЪВЕТЪТ НА ЕВРОПЕЙСКИЯ СЪЮЗ,</w:t>
      </w:r>
    </w:p>
    <w:p>
      <w:pPr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 121, параграф 4 от него,</w:t>
      </w:r>
    </w:p>
    <w:p>
      <w:pPr>
        <w:rPr>
          <w:noProof/>
        </w:rPr>
      </w:pPr>
      <w:r>
        <w:rPr>
          <w:noProof/>
        </w:rPr>
        <w:t>като взе предвид Регламент (ЕО) № 1466/97 на Съвета от 7 юли 1997 г. за засилване на надзора върху състоянието на бюджета и на надзора и координацията на икономическите политики</w:t>
      </w:r>
      <w:r>
        <w:rPr>
          <w:rStyle w:val="FootnoteReference"/>
          <w:noProof/>
        </w:rPr>
        <w:footnoteReference w:id="2"/>
      </w:r>
      <w:r>
        <w:rPr>
          <w:noProof/>
        </w:rPr>
        <w:t>, и по-специално член 10, параграф 2, втора алинея от него,</w:t>
      </w:r>
    </w:p>
    <w:p>
      <w:pPr>
        <w:tabs>
          <w:tab w:val="num" w:pos="709"/>
        </w:tabs>
        <w:rPr>
          <w:noProof/>
        </w:rPr>
      </w:pPr>
      <w:r>
        <w:rPr>
          <w:noProof/>
        </w:rPr>
        <w:t>като взе предвид препоръката на Комисията,</w:t>
      </w:r>
    </w:p>
    <w:p>
      <w:pPr>
        <w:tabs>
          <w:tab w:val="num" w:pos="709"/>
        </w:tabs>
        <w:rPr>
          <w:noProof/>
        </w:rPr>
      </w:pPr>
      <w:r>
        <w:rPr>
          <w:noProof/>
        </w:rPr>
        <w:t>като има предвид, че: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В съответствие с член 121 от Договора държавите членки трябва да насърчават стабилни публични финанси в средносрочен план чрез координиране на икономическите политики и многостранно наблюдение, за да се избегне възникването на прекомерен държавен дефицит.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Пактът за стабилност и растеж (ПСР) се основава на целта за осигуряване на стабилни публични финанси като средство за укрепване на предпоставките за ценова стабилност и висок и устойчив растеж, водещ до създаване на трудова заетост.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През юни 2017 г.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и юни 2018 г.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Съветът констатира в съответствие с член 121, параграф 4 от Договора, че съответно за 2016 г. и 2017 г. съществува значително отклонение от плана за корекции за постигане на средносрочната бюджетна цел за Румъния или от набелязания план за постигане на тази цел. С оглед на установените значителни отклонения Съветът отправи препоръки на Румъния да предприеме необходимите мерки на политиката, за да ги отстрани. Впоследствие Съветът констатира, че Румъния не е предприела ефективни действия за изпълнение на тези препоръки. С оглед на последната препоръка, приета на 4 декември 2018 г.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Съветът препоръча на Румъния да предприеме необходимите мерки, за да гарантира, че темпът на номинален растеж на нетните първични държавни разходи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не надвишава 4,5 % през 2019 г., което съответства на годишна корекция на структурното салдо в размер на 1,0 % от БВП.</w:t>
      </w:r>
    </w:p>
    <w:p>
      <w:pPr>
        <w:pStyle w:val="ManualConsidrant"/>
        <w:rPr>
          <w:noProof/>
        </w:rPr>
      </w:pPr>
      <w:r>
        <w:rPr>
          <w:noProof/>
        </w:rPr>
        <w:t xml:space="preserve"> (4)</w:t>
      </w:r>
      <w:r>
        <w:rPr>
          <w:noProof/>
        </w:rPr>
        <w:tab/>
        <w:t>Въз основа на прогнозата на Комисията от пролетта на 2019 г. и данните за резултатите от 2018 г., потвърдени от Евростат, през 2018 г. ръстът на нетните първични държавни разходи бе доста над целевия показател за разходите, което показва значително отклонение с голяма разлика (отклонение от 2,4 % от БВП). Структурният дефицит не беше намален, продължава да е като цяло стабилен и възлиза на около 3,0 % от потенциалния БВП, което също сочи значително отклонение от препоръчаната структурна корекция (отклонение от 0,8 % от БВП). Размерът на отклонението, посочено от структурното салдо, е отрицателно повлиян от извънредни приходи, от по-високия дефлатор на БВП и от по-високата прогноза за потенциалния ръст на БВП в сравнение със средносрочната средна стойност, залегнала в целевия показател за разходите. От друга страна, размерът на отклонението, посочено от структурното салдо, е повлиян положително от ниските разходи за публични инвестиции, които се изглаждат в целевия показател за разходите. Независимо от тази разлика, и двата показателя потвърждават наличието на значително отклонение от изискванията на предпазните мерки на Пакта за стабилност и растеж през 2018 г.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На 5 юни 2019 г. след цялостна оценка Комисията счете, че в Румъния съществува наблюдавано значително отклонение от плана за корекции за постигане на средносрочната бюджетна цел, и отправи предупреждение към Румъния в съответствие с член 121, параграф 4 от Договора и член 10, параграф 2, първа алинея от Регламент (ЕО) № 1466/97.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 xml:space="preserve">В съответствие с член 10, параграф 2, втора алинея от Регламент (ЕО) № 1466/97 Съветът трябва да отправи препоръка към съответната държава членка да предприеме необходимите мерки на политиката. Съгласно Регламент (ЕО) № 1466/97 в препоръката се определя срок от не повече от пет месеца за справяне с отклонението в държавата членка. На тази основа крайният срок 15 октомври 2019 г., в който Румъния да се справи с отклонението, изглежда подходящ. В рамките на този срок Румъния следва да докладва относно действията, предприети в отговор на настоящата препоръка. 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 xml:space="preserve">Според прогнозите за разликата между фактическия и потенциалния БВП в прогнозата на Комисията от пролетта на 2019 г. Румъния ще остане в нормална икономическа ситуация през 2019 и 2020 г. Съотношението на консолидирания държавен дълг към БВП на Румъния е под прага от 60 % от БВП. Поради това изискваното минимално структурно подобрение, предвидено в Регламент (ЕО) № 1466/97 и общоприетата корекционна матрица по ПСР, в което са отчетени преобладаващите икономически условия и евентуални опасения във връзка с устойчивостта, възлиза на най-малко 0,5 % от БВП за 2019 и 2020 г. 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Структурният дефицит на Румъния постепенно нарасна от 0,1 % от БВП през 2015 г. до 1,7 % от БВП през 2016 г., 2,9 % от БВП през 2017 г. и 3,0 % от БВП през 2018 г. Минималната изисквана корекция следва да бъде допълнена от нови и упорити усилия, необходими за коригиране на натрупаните отклонения и за връщане на Румъния към подходящ план на корекции след продължаващите отклонения, натрупани от 2016 г. насам. Допълнително подобрение от 0,5 % от БВП през 2019 г. и 0,25 % от БВП през 2020 г. изглежда целесъобразно предвид мащаба на наблюдаваното значително отклонение от препоръчания план за корекции за постигане на средносрочната бюджетна цел. Подобни усилия ще бъдат в съответствие с корекцията, препоръчана за 2019 г. от Съвета на 4 декември 2018 г. Това ще ускори корекцията в посока към постигане на средносрочната бюджетна цел. 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Изискваното подобрение на структурното салдо с 1,0 % от БВП през 2019 г. и 0,75 % от БВП през 2020 г. е в съответствие с номиналния темп на растеж на нетните първични държавни разходи, ненадвишаващи 4,5 % през 2019 г. и 5,1 % през 2020 г.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Според прогнозата на Комисията от пролетта на 2019 г. се очаква допълнително влошаване на структурното салдо с 0,7 % от БВП през 2019 г. и с още 1,2 % от БВП през 2020 г. Поради това изискваното структурно подобрение съответства на необходимостта да се приемат мерки с общ структурен резултат от 1,7 % от БВП през 2019 г. и допълнителни мерки със структурен резултат от 1,95 % през 2020 г. в сравнение с настоящия основен сценарий съгласно прогнозата на Комисията от пролетта на 2019 г.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Съгласно прогнозата на Комисията от пролетта на 2019 г. бюджетният дефицит ще възлиза на 3,5 % от БВП през 2019 г. и 4,7 % от БВП през 2020 г., което е над референтната стойност от 3 % от БВП по Договора. Изискваната корекция на структурното салдо също изглежда подходяща, за да се гарантира, че Румъния спазва референтната стойност от 3 % от БВП съгласно Договора през 2019 г. и 2020 г. заедно с марж.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 xml:space="preserve">Непредприемането на действия, свързани с предишните препоръки за коригиране на наблюдаваните значителни отклонения, и рискът от превишаване на заложената в Договора референтна стойност на корективните мерки на Пакта за стабилност и растеж налагат спешни действия за връщането на фискалната политика на Румъния към предпазлив подход. 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С оглед на постигането на препоръчаните бюджетни цели, е от решаващо значение Румъния да приеме и строго да прилага необходимите мерки, както и да следи отблизо промените в текущите разходи.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Румъния следва да докладва на Съвета до 15 октомври 2019 г. за предприетите действия за изпълнение на горепосочената препоръка.</w:t>
      </w:r>
    </w:p>
    <w:p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>Целесъобразно е настоящата препоръка да се оповести публично,</w:t>
      </w:r>
    </w:p>
    <w:p>
      <w:pPr>
        <w:pStyle w:val="Formuledadoption"/>
        <w:rPr>
          <w:noProof/>
        </w:rPr>
      </w:pPr>
      <w:r>
        <w:rPr>
          <w:noProof/>
        </w:rPr>
        <w:t>ПРЕПОРЪЧВА НА РУМЪНИЯ: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 xml:space="preserve">да предприеме необходимите мерки, за да гарантира, че номиналният темп на растеж на нетните първични държавни разходи не надвишава 4,5 % през 2019 г. и 5,1 % през 2020 г., което съответства на годишна корекция на структурното салдо от 1,0 % от БВП през 2019 г. и 0,75 % през 2020 г., като по този начин държавата членка следва подходящ план на корекции за постигане на средносрочната бюджетна цел; </w:t>
      </w:r>
    </w:p>
    <w:p>
      <w:pPr>
        <w:pStyle w:val="Point0number"/>
        <w:rPr>
          <w:noProof/>
        </w:rPr>
      </w:pPr>
      <w:r>
        <w:rPr>
          <w:noProof/>
        </w:rPr>
        <w:t>да използва всички извънредни приходи за намаляване на дефицита; мерките за бюджетна консолидация следва да гарантират трайно подобрение на структурното салдо по консолидирания държавен бюджет, като същевременно подкрепят растежа;</w:t>
      </w:r>
    </w:p>
    <w:p>
      <w:pPr>
        <w:pStyle w:val="Point0number"/>
        <w:rPr>
          <w:noProof/>
          <w:spacing w:val="-2"/>
        </w:rPr>
      </w:pPr>
      <w:r>
        <w:rPr>
          <w:noProof/>
          <w:spacing w:val="-2"/>
        </w:rPr>
        <w:t>да докладва на Съвета до 15 октомври 2019 г. за предприетите действия в отговор на настоящата препоръка; докладът следва да съдържа достатъчно конкретни и надеждно представени мерки, с оглед спазването на изискванията на плана за корекции, включително бюджетното отражение на всяка от тях, както и актуализирани и подробни бюджетни прогнози за периода 2019—2020 г.</w:t>
      </w:r>
    </w:p>
    <w:p>
      <w:pPr>
        <w:rPr>
          <w:noProof/>
        </w:rPr>
      </w:pPr>
      <w:r>
        <w:rPr>
          <w:noProof/>
        </w:rPr>
        <w:t>Адресат на настоящата препоръка е Румъния.</w:t>
      </w:r>
    </w:p>
    <w:p>
      <w:pPr>
        <w:pStyle w:val="Fait"/>
        <w:rPr>
          <w:noProof/>
        </w:rPr>
      </w:pPr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rPr>
          <w:noProof/>
        </w:rPr>
      </w:pPr>
      <w:r>
        <w:rPr>
          <w:noProof/>
        </w:rPr>
        <w:tab/>
        <w:t>Председател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ab/>
        <w:t>ОВ L 209, 2.8.1997 г., стр. 1.</w:t>
      </w:r>
    </w:p>
  </w:footnote>
  <w:footnote w:id="3">
    <w:p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ab/>
        <w:t>ОВ C 216, 6.7.2017 г., стр. 1.</w:t>
      </w:r>
    </w:p>
  </w:footnote>
  <w:footnote w:id="4">
    <w:p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ab/>
        <w:t>ОВ С 223, 27.6.2018 г., стр. 3.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ОВ C 460, 21.12.2018 г., стр. 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Нетните първични държавни разходи включват общите държавни разходи без разходите за лихви, разходите по програми на Съюза, които изцяло се покриват от приходи от средства на Съюза, и недискреционни промени в разходите за обезщетения при безработица. Бруто образуването на основен капитал, финансирано от държавата, се изглажда за 4-годишен период. Дискреционните мерки по отношение на приходите и предвиденото по закон увеличаване на приходите са взети предвид. Еднократните мерки по отношение както на приходите, така и на разходите, са нетирани.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86C3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3C805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D7097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84C9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96CE9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1C2BD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2CCE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FE1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06-11 14:11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6ABD1D9-6429-489F-A280-5A7B90973B60"/>
    <w:docVar w:name="LW_COVERPAGE_TYPE" w:val="1"/>
    <w:docVar w:name="LW_CROSSREFERENCE" w:val="{SWD(2019) 533 final}"/>
    <w:docVar w:name="LW_DocType" w:val="COM"/>
    <w:docVar w:name="LW_EMISSION" w:val="5.6.2019"/>
    <w:docVar w:name="LW_EMISSION_ISODATE" w:val="2019-06-05"/>
    <w:docVar w:name="LW_EMISSION_LOCATION" w:val="BRX"/>
    <w:docVar w:name="LW_EMISSION_PREFIX" w:val="Брюксел, "/>
    <w:docVar w:name="LW_EMISSION_SUFFIX" w:val=" \u1075?."/>
    <w:docVar w:name="LW_ID_DOCMODEL" w:val="SG-002"/>
    <w:docVar w:name="LW_ID_DOCSIGNATURE" w:val="SG-002"/>
    <w:docVar w:name="LW_ID_DOCSTRUCTURE" w:val="COM/PL/ORG"/>
    <w:docVar w:name="LW_ID_DOCTYPE" w:val="SG-002"/>
    <w:docVar w:name="LW_ID_STATUT" w:val="SG-002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\u1055?\u1088?\u1077?\u1087?\u1086?\u1088?\u1098?\u1082?\u1072? \u1079?\u1072?"/>
    <w:docVar w:name="LW_SUPERTITRE" w:val="&lt;UNUSED&gt;"/>
    <w:docVar w:name="LW_TITRE.OBJ.CP" w:val="\u1089? \u1094?\u1077?\u1083? \u1076?\u1072? \u1089?\u1077? \u1086?\u1090?\u1089?\u1090?\u1088?\u1072?\u1085?\u1080? \u1085?\u1072?\u1073?\u1083?\u1102?\u1076?\u1072?\u1074?\u1072?\u1085?\u1086?\u1090?\u1086? \u1079?\u1085?\u1072?\u1095?\u1080?\u1090?\u1077?\u1083?\u1085?\u1086? \u1086?\u1090?\u1082?\u1083?\u1086?\u1085?\u1077?\u1085?\u1080?\u1077? \u1086?\u1090? \u1087?\u1083?\u1072?\u1085?\u1072? \u1079?\u1072? \u1082?\u1086?\u1088?\u1077?\u1082?\u1094?\u1080?\u1080? \u1079?\u1072? \u1087?\u1086?\u1089?\u1090?\u1080?\u1075?\u1072?\u1085?\u1077? \u1085?\u1072? \u1089?\u1088?\u1077?\u1076?\u1085?\u1086?\u1089?\u1088?\u1086?\u1095?\u1085?\u1072?\u1090?\u1072? \u1073?\u1102?\u1076?\u1078?\u1077?\u1090?\u1085?\u1072? \u1094?\u1077?\u1083? _x000b__x000b_\u1074? \u1056?\u1091?\u1084?\u1098?\u1085?\u1080?\u1103?"/>
    <w:docVar w:name="LW_TYPE.DOC.CP" w:val="\u1055?\u1056?\u1045?\u1055?\u1054?\u1056?\u1066?\u1050?\u1040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8CC0-1E02-44C2-8694-632EE221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</Pages>
  <Words>1355</Words>
  <Characters>7160</Characters>
  <Application>Microsoft Office Word</Application>
  <DocSecurity>0</DocSecurity>
  <Lines>135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20</cp:revision>
  <dcterms:created xsi:type="dcterms:W3CDTF">2019-06-06T15:14:00Z</dcterms:created>
  <dcterms:modified xsi:type="dcterms:W3CDTF">2019-06-11T12:11:00Z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SG-002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