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B07F0EEB-EAE0-4165-B702-E16E6D6FB582" style="width:450.75pt;height:379.5pt">
            <v:imagedata r:id="rId9" o:title=""/>
          </v:shape>
        </w:pict>
      </w:r>
    </w:p>
    <w:p>
      <w:pPr>
        <w:rPr>
          <w:noProof/>
          <w:highlight w:val="yellow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</w:p>
    <w:p>
      <w:pPr>
        <w:pStyle w:val="Statut"/>
        <w:rPr>
          <w:noProof/>
        </w:rPr>
      </w:pPr>
      <w:r>
        <w:rPr>
          <w:noProof/>
        </w:rPr>
        <w:t>Zalecenie</w:t>
      </w:r>
    </w:p>
    <w:p>
      <w:pPr>
        <w:pStyle w:val="Typedudocument"/>
        <w:rPr>
          <w:noProof/>
        </w:rPr>
      </w:pPr>
      <w:r>
        <w:rPr>
          <w:noProof/>
        </w:rPr>
        <w:t>ZALECENIE RADY</w:t>
      </w:r>
    </w:p>
    <w:p>
      <w:pPr>
        <w:pStyle w:val="Titreobjet"/>
        <w:rPr>
          <w:noProof/>
        </w:rPr>
      </w:pPr>
      <w:r>
        <w:rPr>
          <w:noProof/>
        </w:rPr>
        <w:t xml:space="preserve">mające na celu skorygowanie znacznego odnotowanego odchylenia od ścieżki dostosowania prowadzącej do średniookresowego celu budżetowego </w:t>
      </w:r>
      <w:r>
        <w:rPr>
          <w:noProof/>
        </w:rPr>
        <w:br/>
      </w:r>
      <w:r>
        <w:rPr>
          <w:noProof/>
        </w:rPr>
        <w:br/>
        <w:t>w Rumunii</w:t>
      </w:r>
    </w:p>
    <w:p>
      <w:pPr>
        <w:pStyle w:val="Institutionquiagit"/>
        <w:rPr>
          <w:noProof/>
        </w:rPr>
      </w:pPr>
      <w:r>
        <w:rPr>
          <w:noProof/>
        </w:rPr>
        <w:t>RADA UNII EUROPEJSKIEJ,</w:t>
      </w:r>
    </w:p>
    <w:p>
      <w:pPr>
        <w:rPr>
          <w:noProof/>
        </w:rPr>
      </w:pPr>
      <w:r>
        <w:rPr>
          <w:noProof/>
        </w:rPr>
        <w:t>uwzględniając Traktat o funkcjonowaniu Unii Europejskiej, w szczególności jego art. 121 ust. 4,</w:t>
      </w:r>
    </w:p>
    <w:p>
      <w:pPr>
        <w:rPr>
          <w:noProof/>
        </w:rPr>
      </w:pPr>
      <w:r>
        <w:rPr>
          <w:noProof/>
        </w:rPr>
        <w:t>uwzględniając rozporządzenie Rady (WE) nr 1466/97 z dnia 7 lipca 1997 r. w sprawie wzmocnienia nadzoru pozycji budżetowych oraz nadzoru i koordynacji polityk gospodarczych</w:t>
      </w:r>
      <w:r>
        <w:rPr>
          <w:rStyle w:val="FootnoteReference"/>
          <w:noProof/>
        </w:rPr>
        <w:footnoteReference w:id="2"/>
      </w:r>
      <w:r>
        <w:rPr>
          <w:noProof/>
        </w:rPr>
        <w:t>, w szczególności jego art. 10 ust. 2 akapit drugi,</w:t>
      </w:r>
    </w:p>
    <w:p>
      <w:pPr>
        <w:tabs>
          <w:tab w:val="num" w:pos="709"/>
        </w:tabs>
        <w:rPr>
          <w:noProof/>
        </w:rPr>
      </w:pPr>
      <w:r>
        <w:rPr>
          <w:noProof/>
        </w:rPr>
        <w:t>uwzględniając zalecenie Komisji,</w:t>
      </w:r>
    </w:p>
    <w:p>
      <w:pPr>
        <w:tabs>
          <w:tab w:val="num" w:pos="709"/>
        </w:tabs>
        <w:rPr>
          <w:noProof/>
        </w:rPr>
      </w:pPr>
      <w:r>
        <w:rPr>
          <w:noProof/>
        </w:rPr>
        <w:t>a także mając na uwadze, co następuje: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Zgodnie z art. 121 Traktatu państwa członkowskie wspierają zdrowe finanse publiczne w perspektywie średniookresowej poprzez koordynację polityk gospodarczych oraz nadzór wielostronny w celu zapobieżenia powstaniu nadmiernego deficytu budżetowego.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Pakt stabilności i wzrostu opiera się na dążeniu do zapewnienia dobrego stanu finansów państwa jako środka służącego umocnieniu warunków stabilności cen oraz silnego, trwałego wzrostu gospodarczego, sprzyjającego tworzeniu nowych miejsc pracy.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W czerwcu 2017 r.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i w czerwcu 2018 r.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Rada stwierdziła zgodnie z art. 121 ust. 4 Traktatu, że w latach 2016 i 2017 istniało znaczne odnotowane odchylenie od średniookresowego celu budżetowego Rumunii lub od ścieżki dostosowania prowadzącej do tego celu. W związku z tymi stwierdzonymi znacznymi odchyleniami Rada wydała skierowane do Rumunii zalecenia dotyczące zastosowania koniecznych środków z zakresu polityki, aby te odchylenia skorygować. Rada stwierdziła następnie, że Rumunia nie podjęła skutecznych działań w odpowiedzi na te zalecenia. W swoim ostatnim zaleceniu, przyjętym w dniu 4 grudnia 2018 r.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, Rada zaleciła Rumunii zastosowanie niezbędnych środków w celu zapewnienia, aby nominalna </w:t>
      </w:r>
      <w:r>
        <w:rPr>
          <w:noProof/>
        </w:rPr>
        <w:lastRenderedPageBreak/>
        <w:t>stopa wzrostu publicznych wydatków pierwotnych netto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nie przekroczyła 4,5 % w 2019 r., co odpowiada rocznej korekcie strukturalnej na poziomie 1,0 % PKB.</w:t>
      </w:r>
    </w:p>
    <w:p>
      <w:pPr>
        <w:pStyle w:val="ManualConsidrant"/>
        <w:rPr>
          <w:noProof/>
        </w:rPr>
      </w:pPr>
      <w:r>
        <w:rPr>
          <w:noProof/>
        </w:rPr>
        <w:t xml:space="preserve"> (4)</w:t>
      </w:r>
      <w:r>
        <w:rPr>
          <w:noProof/>
        </w:rPr>
        <w:tab/>
        <w:t>Z prognozy Komisji z wiosny 2019 r. i z potwierdzonych przez Eurostat danych dotyczących wyniku budżetu za 2018 r. wynika, że w 2018 r. wzrost publicznych wydatków pierwotnych netto znacznie przekroczył wartość odniesienia dotyczącą wydatków, co wskazuje na znaczne odchylenie z dużym marginesem (odchylenie o 2,4 % PKB). Deficyt strukturalny nie został zmniejszony i zasadniczo utrzymał się na poziomie około 3,0 % potencjalnego PKB, co również wskazuje na znaczne odchylenie od zalecanej korekty strukturalnej (odchylenie o 0,8 % PKB). Na wielkość tego odchylenia, którą wskazuje saldo strukturalne, negatywnie wpływają: nadzwyczajne dochody, wyższy deflator PKB oraz wyższe oszacowanie wzrostu potencjalnego PKB w porównaniu ze średniookresową średnią wykorzystywaną do obliczeń wartości odniesienia dotyczącej wydatków. Z drugiej strony pozytywny wpływ na wielkość tego odchylenia, którą wskazuje saldo strukturalne, wywierają niskie wydatki na inwestycje publiczne, których wpływ zostaje „rozmyty” w przypadku wartości odniesienia dotyczącej wydatków. Niezależnie od tej różnicy obydwa wskaźniki potwierdzają znaczne odchylenie od wymogów funkcji zapobiegawczej paktu stabilności i wzrostu w 2018 r.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W dniu 5 czerwca 2019 r. po dokonaniu ogólnej oceny Komisja uznała, że w Rumunii istnieje znaczne odnotowane odchylenie od ścieżki dostosowania prowadzącej do średniookresowego celu budżetowego, i skierowała do Rumunii ostrzeżenie zgodnie z art. 121 ust. 4 Traktatu oraz art. 10 ust. 2 akapit pierwszy rozporządzenia (WE) nr 1466/97.</w:t>
      </w:r>
    </w:p>
    <w:p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 xml:space="preserve">Zgodnie z art. 10 ust. 2 akapit drugi rozporządzenia (WE) nr 1466/97 Rada kieruje do danego państwa członkowskiego zalecenie w sprawie niezbędnych środków z zakresu polityki. W rozporządzeniu (WE) nr 1466/97 przewidziano, że w zaleceniu zostanie wyznaczony termin usunięcia odchylenia przez dane państwo członkowskie nie dłuższy niż pięć miesięcy. W świetle tego właściwe jest wyznaczenie dnia 15 października 2019 r. jako terminu usunięcia odstępstwa przez Rumunię. W tym terminie Rumunia powinna poinformować o działaniach podjętych w odpowiedzi na niniejsze zalecenie. </w:t>
      </w:r>
    </w:p>
    <w:p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 xml:space="preserve">Na podstawie prognoz Komisji z wiosny 2019 r. dotyczących wielkości luki produktowej w Rumunii utrzyma się w latach 2019 i 2020 normalna koniunktura. Wskaźnik zadłużenia sektora instytucji rządowych i samorządowych w Rumunii znajduje się poniżej progu 60 % PKB. Na podstawie rozporządzenia (WE) nr 1466/97 oraz wspólnie uzgodnionej macierzy dostosowań na mocy paktu stabilności i wzrostu minimalny wysiłek strukturalny wynosi zatem – przy uwzględnieniu obecnej sytuacji gospodarczej i ewentualnych kwestii stabilności – co najmniej 0,5 % PKB w latach 2019 i 2020. </w:t>
      </w:r>
    </w:p>
    <w:p>
      <w:pPr>
        <w:pStyle w:val="ManualConsidrant"/>
        <w:rPr>
          <w:noProof/>
        </w:rPr>
      </w:pPr>
      <w:r>
        <w:rPr>
          <w:noProof/>
        </w:rPr>
        <w:t>(8)</w:t>
      </w:r>
      <w:r>
        <w:rPr>
          <w:noProof/>
        </w:rPr>
        <w:tab/>
        <w:t xml:space="preserve">Deficyt strukturalny Rumunii stopniowo wzrastał z 0,1 % PKB w 2015 r. do 1,7 % PKB w 2016 r., 2,9 % PKB w 2017 r. oraz 3,0 % PKB w 2018 r. Obowiązkową </w:t>
      </w:r>
      <w:r>
        <w:rPr>
          <w:noProof/>
        </w:rPr>
        <w:lastRenderedPageBreak/>
        <w:t xml:space="preserve">minimalną korektę należy uzupełnić o dodatkowy, trwały wysiłek konieczny do skorygowania skumulowanego odchylenia oraz do przywrócenia Rumunii na właściwą ścieżkę dostosowania, od której stale odchodzi, począwszy od 2016 r. Z uwagi na wielkość odnotowanego znacznego odchylenia od zalecanej ścieżki dostosowania prowadzącej do osiągnięcia średniookresowego celu budżetowego odpowiedni wydaje się dodatkowy wysiłek na poziomie 0,5 % PKB w 2019 r. i 0,25 % PKB w 2020 r. Taki wysiłek byłby zgodny z korektą zaleconą na 2019 r. przez Radę w dniu 4 grudnia 2018 r. Przyspieszy to powrót do dostosowania do średniookresowego celu budżetowego. </w:t>
      </w:r>
    </w:p>
    <w:p>
      <w:pPr>
        <w:pStyle w:val="ManualConsidrant"/>
        <w:rPr>
          <w:noProof/>
        </w:rPr>
      </w:pPr>
      <w:r>
        <w:rPr>
          <w:noProof/>
        </w:rPr>
        <w:t>(9)</w:t>
      </w:r>
      <w:r>
        <w:rPr>
          <w:noProof/>
        </w:rPr>
        <w:tab/>
        <w:t>Wymagana poprawa salda strukturalnego o 1,0 % PKB w 2019 r. i o 0,75 % PKB w 2020 r. jest spójna z wymogiem utrzymania stopy wzrostu nominalnego publicznych wydatków pierwotnych netto na poziomie nieprzekraczającym 4,5 % w 2019 r. i 5,1 % w 2020 r.</w:t>
      </w:r>
    </w:p>
    <w:p>
      <w:pPr>
        <w:pStyle w:val="ManualConsidrant"/>
        <w:rPr>
          <w:noProof/>
        </w:rPr>
      </w:pPr>
      <w:r>
        <w:rPr>
          <w:noProof/>
        </w:rPr>
        <w:t>(10)</w:t>
      </w:r>
      <w:r>
        <w:rPr>
          <w:noProof/>
        </w:rPr>
        <w:tab/>
        <w:t>W prognozie Komisji z wiosny 2019 r. przewiduje się dalsze pogorszenie salda strukturalnego o 0,7 % PKB w 2019 r. i o 1,2 % PKB w 2020 r. W związku z tym wymagana strukturalna poprawa oznacza konieczność uchwalenia środków przynoszących ogółem 1,7 % PKB w 2019 r. oraz dodatkowych środków przynoszących 1,95 % PKB w 2020 r., w porównaniu z obecnym scenariuszem podstawowym przedstawionym w prognozie Komisji z wiosny 2019 r.</w:t>
      </w:r>
    </w:p>
    <w:p>
      <w:pPr>
        <w:pStyle w:val="ManualConsidrant"/>
        <w:rPr>
          <w:noProof/>
        </w:rPr>
      </w:pPr>
      <w:r>
        <w:rPr>
          <w:noProof/>
        </w:rPr>
        <w:t>(11)</w:t>
      </w:r>
      <w:r>
        <w:rPr>
          <w:noProof/>
        </w:rPr>
        <w:tab/>
        <w:t>W prognozie Komisji z wiosny 2019 r. przewiduje się, że deficyt sektora instytucji rządowych i samorządowych wyniesie 3,5 % PKB w 2019 r. i 4,7 % PKB w 2020 r., czyli powyżej określonej w Traktacie wartości odniesienia wynoszącej 3 % PKB. Wydaje się, że wymagana korekta strukturalna jest również właściwa, aby zapewnić w latach 2019 i 2020 przestrzeganie przez Rumunię, z zachowaniem pewnego marginesu, określonej w Traktacie wartości odniesienia wynoszącej 3 % PKB.</w:t>
      </w:r>
    </w:p>
    <w:p>
      <w:pPr>
        <w:pStyle w:val="ManualConsidrant"/>
        <w:rPr>
          <w:noProof/>
        </w:rPr>
      </w:pPr>
      <w:r>
        <w:rPr>
          <w:noProof/>
        </w:rPr>
        <w:t>(12)</w:t>
      </w:r>
      <w:r>
        <w:rPr>
          <w:noProof/>
        </w:rPr>
        <w:tab/>
        <w:t xml:space="preserve">Z uwagi na niepodjęcie działań w odpowiedzi na wcześniejsze zalecenia dotyczące skorygowania odnotowanego znacznego odchylenia oraz ryzyko przekroczenia określonej w Traktacie wartości odniesienia części naprawczej paktu stabilności i wzrostu wymagane jest pilne podjęcie działań w celu przywrócenia ostrożnego kursu polityki budżetowej w Rumunii. </w:t>
      </w:r>
    </w:p>
    <w:p>
      <w:pPr>
        <w:pStyle w:val="ManualConsidrant"/>
        <w:rPr>
          <w:noProof/>
        </w:rPr>
      </w:pPr>
      <w:r>
        <w:rPr>
          <w:noProof/>
        </w:rPr>
        <w:t>(13)</w:t>
      </w:r>
      <w:r>
        <w:rPr>
          <w:noProof/>
        </w:rPr>
        <w:tab/>
        <w:t>W celu osiągnięcia zalecanych celów budżetowych istotne jest, aby Rumunia przyjęła i rygorystycznie wdrażała niezbędne środki oraz ściśle monitorowała wydatki bieżące.</w:t>
      </w:r>
    </w:p>
    <w:p>
      <w:pPr>
        <w:pStyle w:val="ManualConsidrant"/>
        <w:rPr>
          <w:noProof/>
        </w:rPr>
      </w:pPr>
      <w:r>
        <w:rPr>
          <w:noProof/>
        </w:rPr>
        <w:t>(14)</w:t>
      </w:r>
      <w:r>
        <w:rPr>
          <w:noProof/>
        </w:rPr>
        <w:tab/>
        <w:t>W terminie do dnia 15 października 2019 r. Rumunia powinna poinformować Radę o działaniach podjętych w odpowiedzi na niniejsze zalecenie.</w:t>
      </w:r>
    </w:p>
    <w:p>
      <w:pPr>
        <w:pStyle w:val="ManualConsidrant"/>
        <w:rPr>
          <w:noProof/>
        </w:rPr>
      </w:pPr>
      <w:r>
        <w:rPr>
          <w:noProof/>
        </w:rPr>
        <w:t>(15)</w:t>
      </w:r>
      <w:r>
        <w:rPr>
          <w:noProof/>
        </w:rPr>
        <w:tab/>
        <w:t>Niniejsze zalecenie powinno zostać podane do wiadomości publicznej,</w:t>
      </w:r>
    </w:p>
    <w:p>
      <w:pPr>
        <w:pStyle w:val="Formuledadoption"/>
        <w:rPr>
          <w:noProof/>
        </w:rPr>
      </w:pPr>
      <w:r>
        <w:rPr>
          <w:noProof/>
        </w:rPr>
        <w:t>NINIEJSZYM ZALECA RUMUNII:</w:t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 xml:space="preserve">Wprowadzenie koniecznych środków w celu zapewnienia, by stopa wzrostu nominalnego publicznych wydatków pierwotnych netto nie przekroczyła 4,5 % w 2019 r. i 5,1 % w 2020 r., co odpowiadałoby rocznej korekcie strukturalnej wynoszącej 1,0 % PKB w 2019 r. i 0,75 % PKB w 2020 r., a tym samym sprowadzenie państwa członkowskiego na właściwą ścieżkę dostosowania prowadzącą do osiągnięcia średniookresowego celu budżetowego. </w:t>
      </w: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>Przeznaczenie wszelkich nieoczekiwanych zysków na redukcję deficytu; środki konsolidacji budżetowej powinny zapewnić trwałą poprawę salda strukturalnego sektora instytucji rządowych i samorządowych w sposób sprzyjający wzrostowi.</w:t>
      </w:r>
    </w:p>
    <w:p>
      <w:pPr>
        <w:pStyle w:val="Point0"/>
        <w:rPr>
          <w:noProof/>
        </w:rPr>
      </w:pPr>
      <w:r>
        <w:rPr>
          <w:noProof/>
        </w:rPr>
        <w:lastRenderedPageBreak/>
        <w:t>3)</w:t>
      </w:r>
      <w:r>
        <w:rPr>
          <w:noProof/>
        </w:rPr>
        <w:tab/>
        <w:t>Poinformowanie Rady w terminie do dnia 15 października 2019 r. o działaniach podjętych w odpowiedzi na niniejsze zalecenie; sprawozdanie to powinno zawierać odpowiednio szczegółowe i ogłoszone w wiarygodny sposób środki mające na celu zapewnienie zgodności z wymaganą ścieżką dostosowania, w tym wpływ na budżet każdego z tych środków, a także zaktualizowane i szczegółowe prognozy budżetowe na lata 2019–2020.</w:t>
      </w:r>
    </w:p>
    <w:p>
      <w:pPr>
        <w:rPr>
          <w:noProof/>
        </w:rPr>
      </w:pPr>
      <w:r>
        <w:rPr>
          <w:noProof/>
        </w:rPr>
        <w:t>Niniejsze zalecenie skierowane jest do Rumunii.</w:t>
      </w:r>
    </w:p>
    <w:p>
      <w:pPr>
        <w:pStyle w:val="Fait"/>
        <w:rPr>
          <w:noProof/>
        </w:rPr>
      </w:pPr>
      <w:r>
        <w:t xml:space="preserve">Sporządzono w Brukseli dnia </w:t>
      </w:r>
      <w:r>
        <w:rPr>
          <w:rStyle w:val="Marker"/>
        </w:rPr>
        <w:t>[…]</w:t>
      </w:r>
      <w:r>
        <w:t xml:space="preserve"> r.</w:t>
      </w:r>
    </w:p>
    <w:p>
      <w:pPr>
        <w:pStyle w:val="Institutionquisigne"/>
        <w:rPr>
          <w:noProof/>
        </w:rPr>
      </w:pPr>
      <w:r>
        <w:rPr>
          <w:noProof/>
        </w:rPr>
        <w:tab/>
        <w:t>W imieniu Rady</w:t>
      </w:r>
    </w:p>
    <w:p>
      <w:pPr>
        <w:pStyle w:val="Personnequisigne"/>
        <w:rPr>
          <w:noProof/>
        </w:rPr>
      </w:pPr>
      <w:r>
        <w:rPr>
          <w:noProof/>
        </w:rPr>
        <w:tab/>
        <w:t>Przewodniczący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Dz.U. L 209 z 2.8.1997, s. 1.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Dz.U. C 216 z 6.7.2017, s. 1.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Dz.U. C 223 z 27.6.2018, s. 3.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Dz.U. C 460 z 21.12.2018, s. 1.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Publiczne wydatki pierwotne netto to wydatki publiczne ogółem z wyłączeniem wydatków z tytułu odsetek, wydatków na programy unijne w pełni równoważonych dochodami z funduszy unijnych oraz niedyskrecjonalnych zmian w wydatkach na świadczenia dla bezrobotnych. Nakłady brutto na środki trwałe finansowane z zasobów krajowych rozkłada się na okres czterech lat. Uwzględnia się działania dyskrecjonalne po stronie dochodów lub prawnie przewidziany wzrost dochodów. Działania jednorazowe, zarówno po stronie dochodów, jak i wydatków, są saldowane.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786C3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3C805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D7097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784C9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96CE9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1C2BD2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2CCE8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BFE1C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9-06-11 14:11:54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B07F0EEB-EAE0-4165-B702-E16E6D6FB582"/>
    <w:docVar w:name="LW_COVERPAGE_TYPE" w:val="1"/>
    <w:docVar w:name="LW_CROSSREFERENCE" w:val="{SWD(2019) 533 final}"/>
    <w:docVar w:name="LW_DocType" w:val="COM"/>
    <w:docVar w:name="LW_EMISSION" w:val="5.6.2019"/>
    <w:docVar w:name="LW_EMISSION_ISODATE" w:val="2019-06-05"/>
    <w:docVar w:name="LW_EMISSION_LOCATION" w:val="BRX"/>
    <w:docVar w:name="LW_EMISSION_PREFIX" w:val="Bruksela, dnia "/>
    <w:docVar w:name="LW_EMISSION_SUFFIX" w:val=" r."/>
    <w:docVar w:name="LW_ID_DOCMODEL" w:val="SG-002"/>
    <w:docVar w:name="LW_ID_DOCSIGNATURE" w:val="SG-002"/>
    <w:docVar w:name="LW_ID_DOCSTRUCTURE" w:val="COM/PL/ORG"/>
    <w:docVar w:name="LW_ID_DOCTYPE" w:val="SG-002"/>
    <w:docVar w:name="LW_ID_STATUT" w:val="SG-002"/>
    <w:docVar w:name="LW_INTERETEEE.CP" w:val="&lt;UNUSED&gt;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53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TATUT.CP" w:val="Zalecenie"/>
    <w:docVar w:name="LW_SUPERTITRE" w:val="&lt;UNUSED&gt;"/>
    <w:docVar w:name="LW_TITRE.OBJ.CP" w:val="maj\u261?ce na celu skorygowanie znacznego odnotowanego odchylenia od \u347?cie\u380?ki dostosowania prowadz\u261?cej do \u347?redniookresowego celu bud\u380?etowego _x000b__x000b_w Rumunii"/>
    <w:docVar w:name="LW_TYPE.DOC.CP" w:val="ZALECENIE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C8B55-22C4-4F42-9117-1759836F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5</Pages>
  <Words>1227</Words>
  <Characters>7326</Characters>
  <Application>Microsoft Office Word</Application>
  <DocSecurity>0</DocSecurity>
  <Lines>133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20</cp:revision>
  <dcterms:created xsi:type="dcterms:W3CDTF">2019-06-11T08:23:00Z</dcterms:created>
  <dcterms:modified xsi:type="dcterms:W3CDTF">2019-06-11T12:11:00Z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5.84.2.0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SG-002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Green (DQC version 03)</vt:lpwstr>
  </property>
</Properties>
</file>