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0EC1A6C-69DD-45A1-848A-596E28B27E50" style="width:450.75pt;height:338.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Odporúčanie</w:t>
      </w:r>
    </w:p>
    <w:p>
      <w:pPr>
        <w:pStyle w:val="Typedudocument"/>
        <w:rPr>
          <w:noProof/>
        </w:rPr>
      </w:pPr>
      <w:r>
        <w:rPr>
          <w:noProof/>
        </w:rPr>
        <w:t>ROZHODNUTIE RADY,</w:t>
      </w:r>
    </w:p>
    <w:p>
      <w:pPr>
        <w:pStyle w:val="Titreobjet"/>
        <w:rPr>
          <w:noProof/>
        </w:rPr>
      </w:pPr>
      <w:r>
        <w:rPr>
          <w:noProof/>
        </w:rPr>
        <w:t>ktorým sa zrušuje rozhodnutie 2009/417/ES o existencii nadmerného deficitu v Španielsku</w:t>
      </w:r>
    </w:p>
    <w:p>
      <w:pPr>
        <w:pStyle w:val="Institutionquiagit"/>
        <w:rPr>
          <w:noProof/>
        </w:rPr>
      </w:pPr>
      <w:r>
        <w:rPr>
          <w:noProof/>
        </w:rPr>
        <w:t>RADA EURÓPSKEJ ÚNIE,</w:t>
      </w:r>
    </w:p>
    <w:p>
      <w:pPr>
        <w:rPr>
          <w:noProof/>
        </w:rPr>
      </w:pPr>
      <w:r>
        <w:rPr>
          <w:rStyle w:val="Corpsdutexte"/>
          <w:noProof/>
        </w:rPr>
        <w:t>so zreteľom na Zmluvu o fungovaní Európskej únie, a najmä na jej článok 126 ods. 12,</w:t>
      </w:r>
    </w:p>
    <w:p>
      <w:pPr>
        <w:rPr>
          <w:noProof/>
        </w:rPr>
      </w:pPr>
      <w:r>
        <w:rPr>
          <w:rStyle w:val="Corpsdutexte"/>
          <w:noProof/>
        </w:rPr>
        <w:t>so zreteľom na odporúčanie Komisie,</w:t>
      </w:r>
    </w:p>
    <w:p>
      <w:pPr>
        <w:rPr>
          <w:noProof/>
        </w:rPr>
      </w:pPr>
      <w:r>
        <w:rPr>
          <w:rStyle w:val="Corpsdutexte"/>
          <w:noProof/>
        </w:rPr>
        <w:t>keďže:</w:t>
      </w:r>
    </w:p>
    <w:p>
      <w:pPr>
        <w:pStyle w:val="ManualConsidrant"/>
        <w:rPr>
          <w:noProof/>
        </w:rPr>
      </w:pPr>
      <w:r>
        <w:rPr>
          <w:noProof/>
        </w:rPr>
        <w:t>(1)</w:t>
      </w:r>
      <w:r>
        <w:rPr>
          <w:noProof/>
        </w:rPr>
        <w:tab/>
        <w:t xml:space="preserve">Rada na základe odporúčania Komisie </w:t>
      </w:r>
      <w:r>
        <w:rPr>
          <w:rStyle w:val="Corpsdutexte"/>
          <w:noProof/>
        </w:rPr>
        <w:t>27. apríla 2009</w:t>
      </w:r>
      <w:r>
        <w:rPr>
          <w:noProof/>
        </w:rPr>
        <w:t xml:space="preserve"> rozhodnutím </w:t>
      </w:r>
      <w:r>
        <w:rPr>
          <w:rStyle w:val="Corpsdutexte2"/>
          <w:noProof/>
        </w:rPr>
        <w:t>2009/417/ES</w:t>
      </w:r>
      <w:r>
        <w:rPr>
          <w:rStyle w:val="FootnoteReference"/>
          <w:noProof/>
        </w:rPr>
        <w:footnoteReference w:id="1"/>
      </w:r>
      <w:r>
        <w:rPr>
          <w:noProof/>
        </w:rPr>
        <w:t xml:space="preserve"> v </w:t>
      </w:r>
      <w:r>
        <w:rPr>
          <w:rStyle w:val="Corpsdutexte"/>
          <w:noProof/>
        </w:rPr>
        <w:t>súlade s článkom 126 ods. 6 zmluvy rozhodla, že v Španielsku existuje nadmerný deficit</w:t>
      </w:r>
      <w:r>
        <w:rPr>
          <w:noProof/>
        </w:rPr>
        <w:t>.</w:t>
      </w:r>
      <w:r>
        <w:rPr>
          <w:rStyle w:val="Corpsdutexte"/>
          <w:noProof/>
        </w:rPr>
        <w:t xml:space="preserve"> Rada konštatovala, že deficit verejných financií oznámený pre rok 2008 bol</w:t>
      </w:r>
      <w:r>
        <w:rPr>
          <w:noProof/>
        </w:rPr>
        <w:t xml:space="preserve"> 3,4 % HDP, a teda prekročil referenčnú hodnotu 3 % HDP stanovenú v zmluve. Hrubý dlh verejnej správy mal v roku 2008 podľa plánov dosiahnuť úroveň 39,5 % HDP.</w:t>
      </w:r>
    </w:p>
    <w:p>
      <w:pPr>
        <w:pStyle w:val="ManualConsidrant"/>
        <w:rPr>
          <w:noProof/>
        </w:rPr>
      </w:pPr>
      <w:r>
        <w:rPr>
          <w:rStyle w:val="Corpsdutexte"/>
          <w:noProof/>
        </w:rPr>
        <w:t>(2)</w:t>
      </w:r>
      <w:r>
        <w:rPr>
          <w:noProof/>
        </w:rPr>
        <w:tab/>
        <w:t>V súlade s článkom 126 ods. 7 zmluvy a článkom 3 ods. 4 nariadenia (ES) č. 1467/97</w:t>
      </w:r>
      <w:r>
        <w:rPr>
          <w:rStyle w:val="FootnoteReference"/>
          <w:noProof/>
        </w:rPr>
        <w:footnoteReference w:id="2"/>
      </w:r>
      <w:r>
        <w:rPr>
          <w:noProof/>
        </w:rPr>
        <w:t xml:space="preserve"> Rada na základe odporúčania Komisie v ten istý deň vydala Španielsku odporúčanie, aby nadmerný deficit odstránilo najneskôr do roku 2012</w:t>
      </w:r>
      <w:r>
        <w:rPr>
          <w:rStyle w:val="FootnoteReference"/>
          <w:noProof/>
        </w:rPr>
        <w:footnoteReference w:id="3"/>
      </w:r>
      <w:r>
        <w:rPr>
          <w:noProof/>
        </w:rPr>
        <w:t>.</w:t>
      </w:r>
    </w:p>
    <w:p>
      <w:pPr>
        <w:pStyle w:val="ManualConsidrant"/>
        <w:rPr>
          <w:noProof/>
        </w:rPr>
      </w:pPr>
      <w:r>
        <w:rPr>
          <w:noProof/>
        </w:rPr>
        <w:t>(3)</w:t>
      </w:r>
      <w:r>
        <w:rPr>
          <w:noProof/>
        </w:rPr>
        <w:tab/>
        <w:t>Rada následne na základe článku 126 ods. 7 zmluvy adresovala Španielsku tri nové odporúčania (2. decembra 2009, 10. júla 2012 a 21. júna 2013), ktorými sa lehota na nápravu nadmerného deficitu predĺžila do roku 2013, 2014, resp. 2016. Vo všetkých troch odporúčaniach Rada dospela k záveru, že Španielsko prijalo účinné opatrenia, ale vyskytli sa neočakávané nepriaznivé hospodárske udalosti so zásadnými nepriaznivými následkami pre verejné financie.</w:t>
      </w:r>
    </w:p>
    <w:p>
      <w:pPr>
        <w:pStyle w:val="ManualConsidrant"/>
        <w:rPr>
          <w:noProof/>
        </w:rPr>
      </w:pPr>
      <w:r>
        <w:rPr>
          <w:noProof/>
        </w:rPr>
        <w:t>(4)</w:t>
      </w:r>
      <w:r>
        <w:rPr>
          <w:noProof/>
        </w:rPr>
        <w:tab/>
        <w:t xml:space="preserve">Rady 12. júla 2016 v súlade s článkom 126 ods. 8 zmluvy rozhodla, že Španielsko neprijalo účinné opatrenia v reakcii na odporúčanie Rady z 21. júna 2013. Rada </w:t>
      </w:r>
      <w:r>
        <w:rPr>
          <w:rStyle w:val="Corpsdutexte"/>
          <w:noProof/>
        </w:rPr>
        <w:t>8. augusta 2016</w:t>
      </w:r>
      <w:r>
        <w:rPr>
          <w:noProof/>
        </w:rPr>
        <w:t xml:space="preserve"> v súlade s článkom 126 ods. 9 zmluvy upozornila Španielsko, aby prijalo opatrenia na zníženie deficitu považované za nevyhnutné na nápravu situácie nadmerného deficitu, pričom pre túto nápravu stanovila novú lehotu do roku 2018. Rada takisto stanovila lehotu do 15. októbra 2016, v rámci ktorej sa mali prijať účinné opatrenia a predložiť Rade a Komisii správu o opatreniach prijatých v reakcii na upozornenie Rady.</w:t>
      </w:r>
    </w:p>
    <w:p>
      <w:pPr>
        <w:pStyle w:val="ManualConsidrant"/>
        <w:rPr>
          <w:rStyle w:val="Corpsdutexte"/>
          <w:noProof/>
        </w:rPr>
      </w:pPr>
      <w:r>
        <w:rPr>
          <w:noProof/>
        </w:rPr>
        <w:lastRenderedPageBreak/>
        <w:t>(5)</w:t>
      </w:r>
      <w:r>
        <w:rPr>
          <w:noProof/>
        </w:rPr>
        <w:tab/>
      </w:r>
      <w:r>
        <w:rPr>
          <w:rStyle w:val="Corpsdutexte"/>
          <w:noProof/>
        </w:rPr>
        <w:t>Komisia 16. novembra 2016 dospela k záveru, že Španielsko prijalo účinné opatrenia v súlade s rozhodnutím Rady z 8. augusta 2016 podľa článku 126 ods. 9 zmluvy.</w:t>
      </w:r>
    </w:p>
    <w:p>
      <w:pPr>
        <w:pStyle w:val="ManualConsidrant"/>
        <w:rPr>
          <w:rStyle w:val="Corpsdutexte"/>
          <w:noProof/>
        </w:rPr>
      </w:pPr>
      <w:r>
        <w:rPr>
          <w:noProof/>
        </w:rPr>
        <w:t>(6)</w:t>
      </w:r>
      <w:r>
        <w:rPr>
          <w:noProof/>
        </w:rPr>
        <w:tab/>
      </w:r>
      <w:r>
        <w:rPr>
          <w:rStyle w:val="Corpsdutexte"/>
          <w:noProof/>
        </w:rPr>
        <w:t>V súlade s článkom 4 Protokolu o postupe pri nadmernom deficite, ktorý je pripojený k zmluvám, Komisia poskytuje údaje na účely uplatňovania tohto protokolu. Ako súčasť uplatňovania uvedeného protokolu majú členské štáty oznamovať údaje o deficite verejných financií a verejnom dlhu, ako aj o iných súvisiacich ukazovateľoch dvakrát ročne, a to pred 1. aprílom a pred 1. októbrom, v súlade s článkom 3 nariadenia (ES) č. 479/2009</w:t>
      </w:r>
      <w:r>
        <w:rPr>
          <w:rStyle w:val="FootnoteReference"/>
          <w:noProof/>
        </w:rPr>
        <w:footnoteReference w:id="4"/>
      </w:r>
      <w:r>
        <w:rPr>
          <w:rStyle w:val="Corpsdutexte"/>
          <w:noProof/>
        </w:rPr>
        <w:t>.</w:t>
      </w:r>
    </w:p>
    <w:p>
      <w:pPr>
        <w:pStyle w:val="ManualConsidrant"/>
        <w:rPr>
          <w:noProof/>
          <w:spacing w:val="-4"/>
        </w:rPr>
      </w:pPr>
      <w:r>
        <w:rPr>
          <w:noProof/>
          <w:spacing w:val="-4"/>
        </w:rPr>
        <w:t>(7)</w:t>
      </w:r>
      <w:r>
        <w:rPr>
          <w:noProof/>
          <w:spacing w:val="-4"/>
        </w:rPr>
        <w:tab/>
      </w:r>
      <w:r>
        <w:rPr>
          <w:rStyle w:val="Corpsdutexte"/>
          <w:noProof/>
          <w:spacing w:val="-4"/>
        </w:rPr>
        <w:t>Rada prijíma rozhodnutie o zrušení rozhodnutia o existencii nadmerného deficitu na základe oznámených údajov. Rozhodnutie o existencii nadmerného deficitu by sa okrem toho malo zrušiť len vtedy, ak sa v prognózach Komisie uvádza, že deficit v prognózovanom období neprekročí referenčnú hodnotu 3 % HDP stanovenú v zmluve</w:t>
      </w:r>
      <w:r>
        <w:rPr>
          <w:rStyle w:val="FootnoteReference"/>
          <w:noProof/>
          <w:spacing w:val="-4"/>
        </w:rPr>
        <w:footnoteReference w:id="5"/>
      </w:r>
      <w:r>
        <w:rPr>
          <w:rStyle w:val="Corpsdutexte"/>
          <w:noProof/>
          <w:spacing w:val="-4"/>
        </w:rPr>
        <w:t>.</w:t>
      </w:r>
    </w:p>
    <w:p>
      <w:pPr>
        <w:pStyle w:val="ManualConsidrant"/>
        <w:rPr>
          <w:noProof/>
        </w:rPr>
      </w:pPr>
      <w:r>
        <w:rPr>
          <w:noProof/>
        </w:rPr>
        <w:t>(8)</w:t>
      </w:r>
      <w:r>
        <w:rPr>
          <w:noProof/>
        </w:rPr>
        <w:tab/>
      </w:r>
      <w:r>
        <w:rPr>
          <w:rStyle w:val="Corpsdutexte"/>
          <w:noProof/>
        </w:rPr>
        <w:t>Na základe údajov, ktoré poskytla Komisia (Eurostat) v súlade s článkom 14 nariadenia (ES) č. 479/2009 v nadväznosti na oznámenie Španielska z apríla 2019, a na základe programu stability na rok 2019 a prognózy Komisie z jari 2019 možno prijať tieto závery:</w:t>
      </w:r>
    </w:p>
    <w:p>
      <w:pPr>
        <w:pStyle w:val="Tiret1"/>
        <w:numPr>
          <w:ilvl w:val="0"/>
          <w:numId w:val="1"/>
        </w:numPr>
        <w:rPr>
          <w:noProof/>
        </w:rPr>
      </w:pPr>
      <w:r>
        <w:rPr>
          <w:rStyle w:val="Corpsdutexte"/>
          <w:noProof/>
        </w:rPr>
        <w:t>Deficit verejných financií v roku 2017 dosiahol 3,1 % HDP a následne v roku 2018 klesol na 2,5 % HDP. V </w:t>
      </w:r>
      <w:r>
        <w:rPr>
          <w:noProof/>
        </w:rPr>
        <w:t>porovnaní s prognózami v návrhu rozpočtového plánu na rok 2019, ktorý bol predložený v októbri 2018, bol deficit v roku 2018 nakoniec o 0,2 percentuálneho bodu nižší, a to vďaka vyššiemu pomeru príjmov k HDP (o 0,3 percentuálneho bodu), ktorý bol len čiastočne vykompenzovaný vyšším pomerom výdavkov (o 0,1 percentuálneho bodu). Na strane príjmov boli daňové príjmy od právnických osôb vyššie než sa čakalo, zatiaľ čo na strane výdavkov boli odmeny zamestnancov o niečo vyššie.</w:t>
      </w:r>
    </w:p>
    <w:p>
      <w:pPr>
        <w:pStyle w:val="Tiret1"/>
        <w:rPr>
          <w:noProof/>
          <w:spacing w:val="-2"/>
        </w:rPr>
      </w:pPr>
      <w:r>
        <w:rPr>
          <w:noProof/>
          <w:spacing w:val="-2"/>
        </w:rPr>
        <w:t>Podľa programu stability na roky 2019 – 2022, ktorý španielska vláda predložila 30. apríla 2019, by sa mal deficit verejných financií v roku 2019 znížiť na 2,0 % HDP a v roku 2020 by mal klesnúť na 1,1 % HDP. Podľa prognózy Komisie z jari 2019 by mal deficit v roku 2019 dosiahnuť úroveň 2,3 % HDP a v roku 2020 úroveň 2,0 % HDP, čo znamená, že v prognózovanom období by mal zotrvať pod referenčnou hodnotou 3 % HDP stanovenou v zmluve.</w:t>
      </w:r>
    </w:p>
    <w:p>
      <w:pPr>
        <w:pStyle w:val="Tiret1"/>
        <w:rPr>
          <w:rStyle w:val="Corpsdutexte"/>
          <w:noProof/>
        </w:rPr>
      </w:pPr>
      <w:r>
        <w:rPr>
          <w:rStyle w:val="Corpsdutexte"/>
          <w:noProof/>
        </w:rPr>
        <w:t>Štrukturálne saldo, čo je saldo verejných financií upravené podľa hospodárskeho cyklu a očistené od jednorazových a iných dočasných opatrení, ostalo v roku 2018 oproti roku 2017 nezmenené. Celkové zlepšenie štrukturálneho salda od roku 2016 dosiahlo 0,4 % HDP.</w:t>
      </w:r>
    </w:p>
    <w:p>
      <w:pPr>
        <w:pStyle w:val="Tiret1"/>
        <w:rPr>
          <w:rStyle w:val="Corpsdutexte"/>
          <w:noProof/>
        </w:rPr>
      </w:pPr>
      <w:r>
        <w:rPr>
          <w:rStyle w:val="Corpsdutexte"/>
          <w:noProof/>
        </w:rPr>
        <w:t>Pomer hrubého verejného dlhu k HDP sa znížil z úrovne 98,1 % v roku 2017 na 97,1 % v roku 2018, a to najmä v dôsledku dlh znižujúceho účinku reálneho rastu a inflácie, ktorý vykompenzoval a presiahol opačný účinok úrokových výdavkov, zatiaľ čo primárne saldo sa blížilo k nule. V prognóze Komisie z jari 2019 sa predpokladá, že pomer dlhu klesne v roku 2019 na 96,3 % a v roku 2020 na 95,7 %, a to najmä v dôsledku vysokého nominálneho rastu, ktorý bude väčší ako dlh zvyšujúci účinok úrokových výdavkov a zosúladenia dlhu a deficitu, zatiaľ čo primárne saldo sa bude zlepšovať len mierne.</w:t>
      </w:r>
    </w:p>
    <w:p>
      <w:pPr>
        <w:pStyle w:val="ManualConsidrant"/>
        <w:rPr>
          <w:noProof/>
        </w:rPr>
      </w:pPr>
      <w:r>
        <w:rPr>
          <w:noProof/>
        </w:rPr>
        <w:lastRenderedPageBreak/>
        <w:t>(9)</w:t>
      </w:r>
      <w:r>
        <w:rPr>
          <w:noProof/>
        </w:rPr>
        <w:tab/>
      </w:r>
      <w:r>
        <w:rPr>
          <w:rStyle w:val="Corpsdutexte"/>
          <w:noProof/>
        </w:rPr>
        <w:t>V súlade s článkom 126 ods. 12 zmluvy sa má rozhodnutie Rady o existencii nadmerného deficitu zrušiť, ak sa podľa názoru Rady v príslušnom členskom štáte nadmerný deficit napravil.</w:t>
      </w:r>
    </w:p>
    <w:p>
      <w:pPr>
        <w:pStyle w:val="ManualConsidrant"/>
        <w:rPr>
          <w:rStyle w:val="Corpsdutexte"/>
          <w:noProof/>
        </w:rPr>
      </w:pPr>
      <w:r>
        <w:rPr>
          <w:rStyle w:val="Corpsdutexte"/>
          <w:noProof/>
        </w:rPr>
        <w:t>(10)</w:t>
      </w:r>
      <w:r>
        <w:rPr>
          <w:noProof/>
        </w:rPr>
        <w:tab/>
      </w:r>
      <w:r>
        <w:rPr>
          <w:rStyle w:val="Corpsdutexte"/>
          <w:noProof/>
        </w:rPr>
        <w:t xml:space="preserve">Podľa názoru Rady bol nadmerný deficit v Španielsku napravený, a preto by sa rozhodnutie </w:t>
      </w:r>
      <w:r>
        <w:rPr>
          <w:rStyle w:val="Corpsdutexte2"/>
          <w:noProof/>
        </w:rPr>
        <w:t>2009/417/ES</w:t>
      </w:r>
      <w:r>
        <w:rPr>
          <w:noProof/>
        </w:rPr>
        <w:t xml:space="preserve"> </w:t>
      </w:r>
      <w:r>
        <w:rPr>
          <w:rStyle w:val="Corpsdutexte"/>
          <w:noProof/>
        </w:rPr>
        <w:t>malo zrušiť.</w:t>
      </w:r>
    </w:p>
    <w:p>
      <w:pPr>
        <w:pStyle w:val="ManualConsidrant"/>
        <w:rPr>
          <w:rStyle w:val="Corpsdutexte"/>
          <w:noProof/>
        </w:rPr>
      </w:pPr>
      <w:r>
        <w:rPr>
          <w:rStyle w:val="Corpsdutexte"/>
          <w:noProof/>
        </w:rPr>
        <w:t>(11)</w:t>
      </w:r>
      <w:r>
        <w:rPr>
          <w:noProof/>
        </w:rPr>
        <w:tab/>
      </w:r>
      <w:r>
        <w:rPr>
          <w:rStyle w:val="Corpsdutexte"/>
          <w:noProof/>
        </w:rPr>
        <w:t>Španielsko od roku 2019, ktorý je rokom nasledujúcim po náprave nadmerného deficitu, podlieha preventívnej časti Paktu stability a rastu a malo by sa primeraným tempom približovať k svojmu strednodobému rozpočtovému cieľu, a to vrátane dodržiavania referenčnej hodnoty pre výdavky, a spĺňať dlhové kritérium v súlade s článkom 2 ods. 1a nariadenia (ES) č. 1467/97,</w:t>
      </w:r>
    </w:p>
    <w:p>
      <w:pPr>
        <w:pStyle w:val="Formuledadoption"/>
        <w:rPr>
          <w:noProof/>
        </w:rPr>
      </w:pPr>
      <w:r>
        <w:rPr>
          <w:noProof/>
        </w:rPr>
        <w:t>PRIJALA TOTO ROZHODNUTIE:</w:t>
      </w:r>
    </w:p>
    <w:p>
      <w:pPr>
        <w:pStyle w:val="Titrearticle"/>
        <w:rPr>
          <w:noProof/>
        </w:rPr>
      </w:pPr>
      <w:r>
        <w:rPr>
          <w:noProof/>
        </w:rPr>
        <w:t>Článok 1</w:t>
      </w:r>
    </w:p>
    <w:p>
      <w:pPr>
        <w:rPr>
          <w:noProof/>
        </w:rPr>
      </w:pPr>
      <w:r>
        <w:rPr>
          <w:rStyle w:val="Corpsdutexte"/>
          <w:noProof/>
        </w:rPr>
        <w:t>Z celkového posúdenia vyplýva, že situácia nadmerného deficitu v Španielsku sa</w:t>
      </w:r>
      <w:r>
        <w:rPr>
          <w:noProof/>
        </w:rPr>
        <w:t xml:space="preserve"> </w:t>
      </w:r>
      <w:r>
        <w:rPr>
          <w:rStyle w:val="Corpsdutexte6"/>
          <w:noProof/>
        </w:rPr>
        <w:t>napravila.</w:t>
      </w:r>
    </w:p>
    <w:p>
      <w:pPr>
        <w:pStyle w:val="Titrearticle"/>
        <w:rPr>
          <w:noProof/>
        </w:rPr>
      </w:pPr>
      <w:r>
        <w:rPr>
          <w:rStyle w:val="Corpsdutexte5"/>
          <w:noProof/>
        </w:rPr>
        <w:t>Článok 2</w:t>
      </w:r>
    </w:p>
    <w:p>
      <w:pPr>
        <w:rPr>
          <w:noProof/>
        </w:rPr>
      </w:pPr>
      <w:r>
        <w:rPr>
          <w:rStyle w:val="Corpsdutexte"/>
          <w:noProof/>
        </w:rPr>
        <w:t>Rozhodnutie</w:t>
      </w:r>
      <w:r>
        <w:rPr>
          <w:noProof/>
        </w:rPr>
        <w:t xml:space="preserve"> </w:t>
      </w:r>
      <w:r>
        <w:rPr>
          <w:rStyle w:val="Corpsdutexte2"/>
          <w:noProof/>
        </w:rPr>
        <w:t>2009/417/ES</w:t>
      </w:r>
      <w:r>
        <w:rPr>
          <w:noProof/>
        </w:rPr>
        <w:t xml:space="preserve"> </w:t>
      </w:r>
      <w:r>
        <w:rPr>
          <w:rStyle w:val="Corpsdutexte"/>
          <w:noProof/>
        </w:rPr>
        <w:t>sa týmto zrušuje.</w:t>
      </w:r>
    </w:p>
    <w:p>
      <w:pPr>
        <w:pStyle w:val="Titrearticle"/>
        <w:rPr>
          <w:noProof/>
        </w:rPr>
      </w:pPr>
      <w:r>
        <w:rPr>
          <w:rStyle w:val="Corpsdutexte5"/>
          <w:noProof/>
        </w:rPr>
        <w:t>Článok 3</w:t>
      </w:r>
    </w:p>
    <w:p>
      <w:pPr>
        <w:rPr>
          <w:noProof/>
        </w:rPr>
      </w:pPr>
      <w:r>
        <w:rPr>
          <w:rStyle w:val="Corpsdutexte"/>
          <w:noProof/>
        </w:rPr>
        <w:t>Toto rozhodnutie je určené Španielskemu kráľovstvu.</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Rozhodnutie Rady 2009/417/ES z 27. apríla 2009 o existencii nadmerného deficitu v Španielsku (Ú. v. EÚ L 135, 30.5.2009, s. 25).</w:t>
      </w:r>
    </w:p>
  </w:footnote>
  <w:footnote w:id="2">
    <w:p>
      <w:pPr>
        <w:pStyle w:val="FootnoteText"/>
      </w:pPr>
      <w:r>
        <w:rPr>
          <w:rStyle w:val="FootnoteReference"/>
        </w:rPr>
        <w:footnoteRef/>
      </w:r>
      <w:r>
        <w:tab/>
        <w:t>Nariadenie Rady (ES) č. 1467/97 zo 7. júla 1997 o urýchľovaní a objasňovaní vykonania postupu pri nadmernom schodku (Ú. v. ES L 209, 2.8.1997, s. 6).</w:t>
      </w:r>
    </w:p>
  </w:footnote>
  <w:footnote w:id="3">
    <w:p>
      <w:pPr>
        <w:pStyle w:val="FootnoteText"/>
      </w:pPr>
      <w:r>
        <w:rPr>
          <w:rStyle w:val="FootnoteReference"/>
        </w:rPr>
        <w:footnoteRef/>
      </w:r>
      <w:r>
        <w:tab/>
        <w:t xml:space="preserve">Všetky dokumenty týkajúce sa postupu pri nadmernom deficite Španielska sa nachádzajú na webových stránkach: </w:t>
      </w:r>
      <w:hyperlink r:id="rId1">
        <w:r>
          <w:rPr>
            <w:rStyle w:val="Hyperlink"/>
          </w:rPr>
          <w:t>https://ec.europa.eu/info/business-economy-euro/economic-and-fiscal-policy-coordination/eu-economic-governance-monitoring-prevention-correction/stability-and-growth-pact/corrective-arm-excessive-deficit-procedure/ongoing-excessive-deficit-procedures/spain_en</w:t>
        </w:r>
      </w:hyperlink>
      <w:r>
        <w:t>.</w:t>
      </w:r>
    </w:p>
  </w:footnote>
  <w:footnote w:id="4">
    <w:p>
      <w:pPr>
        <w:pStyle w:val="FootnoteText"/>
        <w:rPr>
          <w:spacing w:val="-2"/>
        </w:rPr>
      </w:pPr>
      <w:r>
        <w:rPr>
          <w:rStyle w:val="FootnoteReference"/>
        </w:rPr>
        <w:footnoteRef/>
      </w:r>
      <w:r>
        <w:tab/>
      </w:r>
      <w:r>
        <w:rPr>
          <w:spacing w:val="-2"/>
        </w:rPr>
        <w:t xml:space="preserve">Nariadenie Rady (ES) č. 479/2009 z 25. mája 2009 o uplatňovaní Protokolu o postupe pri nadmernom schodku, ktorý tvorí prílohu Zmluvy o založení Európskeho spoločenstva </w:t>
      </w:r>
      <w:r>
        <w:rPr>
          <w:rStyle w:val="Corpsdutexte4"/>
          <w:spacing w:val="-2"/>
        </w:rPr>
        <w:t>(Ú. v. EÚ L 145, 10.6.2009, s. 1)</w:t>
      </w:r>
      <w:r>
        <w:rPr>
          <w:spacing w:val="-2"/>
        </w:rPr>
        <w:t>.</w:t>
      </w:r>
    </w:p>
  </w:footnote>
  <w:footnote w:id="5">
    <w:p>
      <w:pPr>
        <w:pStyle w:val="FootnoteText"/>
      </w:pPr>
      <w:r>
        <w:rPr>
          <w:rStyle w:val="FootnoteReference"/>
        </w:rPr>
        <w:footnoteRef/>
      </w:r>
      <w:r>
        <w:tab/>
      </w:r>
      <w:r>
        <w:rPr>
          <w:rStyle w:val="Corpsdutexte4"/>
          <w:spacing w:val="-4"/>
          <w:sz w:val="20"/>
        </w:rPr>
        <w:t xml:space="preserve">V súlade so „Špecifikáciami implementácie Paktu stability a rastu a usmerneniami k forme a obsahu programov stability a konvergenčných programov“, ktoré prijal Hospodársky a finančný výbor 15. mája 2017 a ktoré sú k dispozícii tu: </w:t>
      </w:r>
      <w:hyperlink r:id="rId2">
        <w:r>
          <w:rPr>
            <w:rStyle w:val="Hyperlink"/>
            <w:spacing w:val="-4"/>
          </w:rPr>
          <w:t>http://data.consilium.europa.eu/doc/document/ST-9344-2017-INIT/en/pdf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2ACB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0A187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0AAA6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B51EC5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5EDD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AC48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4EE6BA0"/>
    <w:lvl w:ilvl="0">
      <w:start w:val="1"/>
      <w:numFmt w:val="decimal"/>
      <w:pStyle w:val="ListNumber"/>
      <w:lvlText w:val="%1."/>
      <w:lvlJc w:val="left"/>
      <w:pPr>
        <w:tabs>
          <w:tab w:val="num" w:pos="360"/>
        </w:tabs>
        <w:ind w:left="360" w:hanging="360"/>
      </w:pPr>
    </w:lvl>
  </w:abstractNum>
  <w:abstractNum w:abstractNumId="7">
    <w:nsid w:val="FFFFFF89"/>
    <w:multiLevelType w:val="singleLevel"/>
    <w:tmpl w:val="2166BE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1 14:05:3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0EC1A6C-69DD-45A1-848A-596E28B27E50"/>
    <w:docVar w:name="LW_COVERPAGE_TYPE" w:val="1"/>
    <w:docVar w:name="LW_CROSSREFERENCE" w:val="&lt;UNUSED&gt;"/>
    <w:docVar w:name="LW_DocType" w:val="COM"/>
    <w:docVar w:name="LW_EMISSION" w:val="5. 6. 2019"/>
    <w:docVar w:name="LW_EMISSION_ISODATE" w:val="2019-06-05"/>
    <w:docVar w:name="LW_EMISSION_LOCATION" w:val="BRX"/>
    <w:docVar w:name="LW_EMISSION_PREFIX" w:val="V Bruseli"/>
    <w:docVar w:name="LW_EMISSION_SUFFIX" w:val=" "/>
    <w:docVar w:name="LW_ID_DOCMODEL" w:val="SG-001"/>
    <w:docVar w:name="LW_ID_DOCSIGNATURE" w:val="SG-001"/>
    <w:docVar w:name="LW_ID_DOCSTRUCTURE" w:val="COM/PL/ORG"/>
    <w:docVar w:name="LW_ID_DOCTYPE" w:val="SG-001"/>
    <w:docVar w:name="LW_ID_STATUT" w:val="SG-001"/>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Odporú\u269?anie"/>
    <w:docVar w:name="LW_SUPERTITRE" w:val="&lt;UNUSED&gt;"/>
    <w:docVar w:name="LW_TITRE.OBJ.CP" w:val="ktorým sa zru\u353?uje rozhodnutie 2009/417/ES o existencii nadmerného deficitu v \u352?panielsku"/>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Pr>
      <w:shd w:val="clear" w:color="auto" w:fill="FFFFFF"/>
    </w:rPr>
  </w:style>
  <w:style w:type="paragraph" w:customStyle="1" w:styleId="Corpsdutexte20">
    <w:name w:val="Corps du texte (2)"/>
    <w:basedOn w:val="Normal"/>
    <w:link w:val="Corpsdutexte2"/>
    <w:pPr>
      <w:widowControl w:val="0"/>
      <w:shd w:val="clear" w:color="auto" w:fill="FFFFFF"/>
      <w:spacing w:before="1380" w:after="0" w:line="629" w:lineRule="exact"/>
      <w:jc w:val="center"/>
    </w:pPr>
    <w:rPr>
      <w:rFonts w:asciiTheme="minorHAnsi" w:hAnsiTheme="minorHAnsi" w:cstheme="minorBidi"/>
      <w:sz w:val="22"/>
    </w:rPr>
  </w:style>
  <w:style w:type="character" w:customStyle="1" w:styleId="Corpsdutexte">
    <w:name w:val="Corps du texte_"/>
    <w:basedOn w:val="DefaultParagraphFont"/>
    <w:link w:val="Corpsdutexte0"/>
    <w:rPr>
      <w:shd w:val="clear" w:color="auto" w:fill="FFFFFF"/>
    </w:rPr>
  </w:style>
  <w:style w:type="character" w:customStyle="1" w:styleId="Corpsdutexte4">
    <w:name w:val="Corps du texte (4)_"/>
    <w:basedOn w:val="DefaultParagraphFont"/>
    <w:link w:val="Corpsdutexte40"/>
    <w:rPr>
      <w:sz w:val="19"/>
      <w:szCs w:val="19"/>
      <w:shd w:val="clear" w:color="auto" w:fill="FFFFFF"/>
    </w:rPr>
  </w:style>
  <w:style w:type="paragraph" w:customStyle="1" w:styleId="Corpsdutexte0">
    <w:name w:val="Corps du texte"/>
    <w:basedOn w:val="Normal"/>
    <w:link w:val="Corpsdutexte"/>
    <w:pPr>
      <w:widowControl w:val="0"/>
      <w:shd w:val="clear" w:color="auto" w:fill="FFFFFF"/>
      <w:spacing w:before="0" w:after="1380" w:line="274" w:lineRule="exact"/>
      <w:ind w:hanging="720"/>
      <w:jc w:val="left"/>
    </w:pPr>
    <w:rPr>
      <w:rFonts w:asciiTheme="minorHAnsi" w:hAnsiTheme="minorHAnsi" w:cstheme="minorBidi"/>
      <w:sz w:val="22"/>
    </w:rPr>
  </w:style>
  <w:style w:type="paragraph" w:customStyle="1" w:styleId="Corpsdutexte40">
    <w:name w:val="Corps du texte (4)"/>
    <w:basedOn w:val="Normal"/>
    <w:link w:val="Corpsdutexte4"/>
    <w:pPr>
      <w:widowControl w:val="0"/>
      <w:shd w:val="clear" w:color="auto" w:fill="FFFFFF"/>
      <w:spacing w:before="960" w:after="0" w:line="230" w:lineRule="exact"/>
    </w:pPr>
    <w:rPr>
      <w:rFonts w:asciiTheme="minorHAnsi" w:hAnsiTheme="minorHAnsi" w:cstheme="minorBidi"/>
      <w:sz w:val="19"/>
      <w:szCs w:val="19"/>
    </w:rPr>
  </w:style>
  <w:style w:type="character" w:customStyle="1" w:styleId="Corpsdutexte5">
    <w:name w:val="Corps du texte (5)_"/>
    <w:basedOn w:val="DefaultParagraphFont"/>
    <w:link w:val="Corpsdutexte50"/>
    <w:rPr>
      <w:sz w:val="23"/>
      <w:szCs w:val="23"/>
      <w:shd w:val="clear" w:color="auto" w:fill="FFFFFF"/>
    </w:rPr>
  </w:style>
  <w:style w:type="character" w:customStyle="1" w:styleId="Corpsdutexte6">
    <w:name w:val="Corps du texte (6)_"/>
    <w:basedOn w:val="DefaultParagraphFont"/>
    <w:link w:val="Corpsdutexte60"/>
    <w:rPr>
      <w:shd w:val="clear" w:color="auto" w:fill="FFFFFF"/>
    </w:rPr>
  </w:style>
  <w:style w:type="paragraph" w:customStyle="1" w:styleId="Corpsdutexte50">
    <w:name w:val="Corps du texte (5)"/>
    <w:basedOn w:val="Normal"/>
    <w:link w:val="Corpsdutexte5"/>
    <w:pPr>
      <w:widowControl w:val="0"/>
      <w:shd w:val="clear" w:color="auto" w:fill="FFFFFF"/>
      <w:spacing w:before="540" w:after="300" w:line="0" w:lineRule="atLeast"/>
      <w:jc w:val="left"/>
    </w:pPr>
    <w:rPr>
      <w:rFonts w:asciiTheme="minorHAnsi" w:hAnsiTheme="minorHAnsi" w:cstheme="minorBidi"/>
      <w:sz w:val="23"/>
      <w:szCs w:val="23"/>
    </w:rPr>
  </w:style>
  <w:style w:type="paragraph" w:customStyle="1" w:styleId="Corpsdutexte60">
    <w:name w:val="Corps du texte (6)"/>
    <w:basedOn w:val="Normal"/>
    <w:link w:val="Corpsdutexte6"/>
    <w:pPr>
      <w:widowControl w:val="0"/>
      <w:shd w:val="clear" w:color="auto" w:fill="FFFFFF"/>
      <w:spacing w:before="60" w:after="540" w:line="0" w:lineRule="atLeast"/>
      <w:ind w:hanging="720"/>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Hyperlink">
    <w:name w:val="Hyperlink"/>
    <w:basedOn w:val="DefaultParagraphFont"/>
    <w:uiPriority w:val="99"/>
    <w:unhideWhenUsed/>
    <w:rPr>
      <w:color w:val="0000FF" w:themeColor="hyperlink"/>
      <w:u w:val="single"/>
    </w:rPr>
  </w:style>
  <w:style w:type="paragraph" w:customStyle="1" w:styleId="Bullets">
    <w:name w:val="Bullets"/>
    <w:basedOn w:val="Normal"/>
    <w:autoRedefine/>
    <w:pPr>
      <w:spacing w:before="0"/>
      <w:ind w:left="851"/>
    </w:pPr>
    <w:rPr>
      <w:rFonts w:eastAsia="Times New Roman"/>
      <w:b/>
      <w:i/>
      <w:noProof/>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Explanatory">
    <w:name w:val="Explanatory"/>
    <w:basedOn w:val="Typedudocument"/>
  </w:style>
  <w:style w:type="paragraph" w:customStyle="1" w:styleId="Expo">
    <w:name w:val="Expo"/>
    <w:basedOn w:val="Explanatory"/>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Pr>
      <w:shd w:val="clear" w:color="auto" w:fill="FFFFFF"/>
    </w:rPr>
  </w:style>
  <w:style w:type="paragraph" w:customStyle="1" w:styleId="Corpsdutexte20">
    <w:name w:val="Corps du texte (2)"/>
    <w:basedOn w:val="Normal"/>
    <w:link w:val="Corpsdutexte2"/>
    <w:pPr>
      <w:widowControl w:val="0"/>
      <w:shd w:val="clear" w:color="auto" w:fill="FFFFFF"/>
      <w:spacing w:before="1380" w:after="0" w:line="629" w:lineRule="exact"/>
      <w:jc w:val="center"/>
    </w:pPr>
    <w:rPr>
      <w:rFonts w:asciiTheme="minorHAnsi" w:hAnsiTheme="minorHAnsi" w:cstheme="minorBidi"/>
      <w:sz w:val="22"/>
    </w:rPr>
  </w:style>
  <w:style w:type="character" w:customStyle="1" w:styleId="Corpsdutexte">
    <w:name w:val="Corps du texte_"/>
    <w:basedOn w:val="DefaultParagraphFont"/>
    <w:link w:val="Corpsdutexte0"/>
    <w:rPr>
      <w:shd w:val="clear" w:color="auto" w:fill="FFFFFF"/>
    </w:rPr>
  </w:style>
  <w:style w:type="character" w:customStyle="1" w:styleId="Corpsdutexte4">
    <w:name w:val="Corps du texte (4)_"/>
    <w:basedOn w:val="DefaultParagraphFont"/>
    <w:link w:val="Corpsdutexte40"/>
    <w:rPr>
      <w:sz w:val="19"/>
      <w:szCs w:val="19"/>
      <w:shd w:val="clear" w:color="auto" w:fill="FFFFFF"/>
    </w:rPr>
  </w:style>
  <w:style w:type="paragraph" w:customStyle="1" w:styleId="Corpsdutexte0">
    <w:name w:val="Corps du texte"/>
    <w:basedOn w:val="Normal"/>
    <w:link w:val="Corpsdutexte"/>
    <w:pPr>
      <w:widowControl w:val="0"/>
      <w:shd w:val="clear" w:color="auto" w:fill="FFFFFF"/>
      <w:spacing w:before="0" w:after="1380" w:line="274" w:lineRule="exact"/>
      <w:ind w:hanging="720"/>
      <w:jc w:val="left"/>
    </w:pPr>
    <w:rPr>
      <w:rFonts w:asciiTheme="minorHAnsi" w:hAnsiTheme="minorHAnsi" w:cstheme="minorBidi"/>
      <w:sz w:val="22"/>
    </w:rPr>
  </w:style>
  <w:style w:type="paragraph" w:customStyle="1" w:styleId="Corpsdutexte40">
    <w:name w:val="Corps du texte (4)"/>
    <w:basedOn w:val="Normal"/>
    <w:link w:val="Corpsdutexte4"/>
    <w:pPr>
      <w:widowControl w:val="0"/>
      <w:shd w:val="clear" w:color="auto" w:fill="FFFFFF"/>
      <w:spacing w:before="960" w:after="0" w:line="230" w:lineRule="exact"/>
    </w:pPr>
    <w:rPr>
      <w:rFonts w:asciiTheme="minorHAnsi" w:hAnsiTheme="minorHAnsi" w:cstheme="minorBidi"/>
      <w:sz w:val="19"/>
      <w:szCs w:val="19"/>
    </w:rPr>
  </w:style>
  <w:style w:type="character" w:customStyle="1" w:styleId="Corpsdutexte5">
    <w:name w:val="Corps du texte (5)_"/>
    <w:basedOn w:val="DefaultParagraphFont"/>
    <w:link w:val="Corpsdutexte50"/>
    <w:rPr>
      <w:sz w:val="23"/>
      <w:szCs w:val="23"/>
      <w:shd w:val="clear" w:color="auto" w:fill="FFFFFF"/>
    </w:rPr>
  </w:style>
  <w:style w:type="character" w:customStyle="1" w:styleId="Corpsdutexte6">
    <w:name w:val="Corps du texte (6)_"/>
    <w:basedOn w:val="DefaultParagraphFont"/>
    <w:link w:val="Corpsdutexte60"/>
    <w:rPr>
      <w:shd w:val="clear" w:color="auto" w:fill="FFFFFF"/>
    </w:rPr>
  </w:style>
  <w:style w:type="paragraph" w:customStyle="1" w:styleId="Corpsdutexte50">
    <w:name w:val="Corps du texte (5)"/>
    <w:basedOn w:val="Normal"/>
    <w:link w:val="Corpsdutexte5"/>
    <w:pPr>
      <w:widowControl w:val="0"/>
      <w:shd w:val="clear" w:color="auto" w:fill="FFFFFF"/>
      <w:spacing w:before="540" w:after="300" w:line="0" w:lineRule="atLeast"/>
      <w:jc w:val="left"/>
    </w:pPr>
    <w:rPr>
      <w:rFonts w:asciiTheme="minorHAnsi" w:hAnsiTheme="minorHAnsi" w:cstheme="minorBidi"/>
      <w:sz w:val="23"/>
      <w:szCs w:val="23"/>
    </w:rPr>
  </w:style>
  <w:style w:type="paragraph" w:customStyle="1" w:styleId="Corpsdutexte60">
    <w:name w:val="Corps du texte (6)"/>
    <w:basedOn w:val="Normal"/>
    <w:link w:val="Corpsdutexte6"/>
    <w:pPr>
      <w:widowControl w:val="0"/>
      <w:shd w:val="clear" w:color="auto" w:fill="FFFFFF"/>
      <w:spacing w:before="60" w:after="540" w:line="0" w:lineRule="atLeast"/>
      <w:ind w:hanging="720"/>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Hyperlink">
    <w:name w:val="Hyperlink"/>
    <w:basedOn w:val="DefaultParagraphFont"/>
    <w:uiPriority w:val="99"/>
    <w:unhideWhenUsed/>
    <w:rPr>
      <w:color w:val="0000FF" w:themeColor="hyperlink"/>
      <w:u w:val="single"/>
    </w:rPr>
  </w:style>
  <w:style w:type="paragraph" w:customStyle="1" w:styleId="Bullets">
    <w:name w:val="Bullets"/>
    <w:basedOn w:val="Normal"/>
    <w:autoRedefine/>
    <w:pPr>
      <w:spacing w:before="0"/>
      <w:ind w:left="851"/>
    </w:pPr>
    <w:rPr>
      <w:rFonts w:eastAsia="Times New Roman"/>
      <w:b/>
      <w:i/>
      <w:noProof/>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Explanatory">
    <w:name w:val="Explanatory"/>
    <w:basedOn w:val="Typedudocument"/>
  </w:style>
  <w:style w:type="paragraph" w:customStyle="1" w:styleId="Expo">
    <w:name w:val="Expo"/>
    <w:basedOn w:val="Explanatory"/>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2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data.consilium.europa.eu/doc/document/ST-9344-2017-INIT/en/pdf" TargetMode="External"/><Relationship Id="rId1" Type="http://schemas.openxmlformats.org/officeDocument/2006/relationships/hyperlink" Target="https://ec.europa.eu/info/business-economy-euro/economic-and-fiscal-policy-coordination/eu-economic-governance-monitoring-prevention-correction/stability-and-growth-pact/corrective-arm-excessive-deficit-procedure/ongoing-excessive-deficit-procedures/spai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B4940-D1CC-423D-A285-33D47D39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4</Pages>
  <Words>957</Words>
  <Characters>4997</Characters>
  <Application>Microsoft Office Word</Application>
  <DocSecurity>0</DocSecurity>
  <Lines>96</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cp:lastPrinted>2018-04-27T14:15:00Z</cp:lastPrinted>
  <dcterms:created xsi:type="dcterms:W3CDTF">2019-06-07T08:28:00Z</dcterms:created>
  <dcterms:modified xsi:type="dcterms:W3CDTF">2019-06-11T12:05:00Z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SG-001</vt:lpwstr>
  </property>
  <property fmtid="{D5CDD505-2E9C-101B-9397-08002B2CF9AE}" pid="9" name="Level of sensitivity">
    <vt:lpwstr>Standard treatment</vt:lpwstr>
  </property>
  <property fmtid="{D5CDD505-2E9C-101B-9397-08002B2CF9AE}" pid="10" name="DQCStatus">
    <vt:lpwstr>Green (DQC version 03)</vt:lpwstr>
  </property>
</Properties>
</file>