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CCEFCDC-825E-4E08-8777-2A8E185437D6" style="width:450.7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Σύσταση για</w:t>
      </w:r>
    </w:p>
    <w:p>
      <w:pPr>
        <w:pStyle w:val="Typedudocument"/>
        <w:rPr>
          <w:noProof/>
        </w:rPr>
      </w:pPr>
      <w:r>
        <w:rPr>
          <w:noProof/>
        </w:rPr>
        <w:t>ΑΠΟΦΑΣΗ ΤΟΥ ΣΥΜΒΟΥΛΙΟΥ</w:t>
      </w:r>
    </w:p>
    <w:p>
      <w:pPr>
        <w:pStyle w:val="Titreobjet"/>
        <w:rPr>
          <w:noProof/>
        </w:rPr>
      </w:pPr>
      <w:r>
        <w:rPr>
          <w:noProof/>
        </w:rPr>
        <w:t>για την κατάργηση της απόφασης 2009/417/ΕΚ σχετικά με την ύπαρξη υπερβολικού ελλείμματος στην Ισπανία</w:t>
      </w:r>
    </w:p>
    <w:p>
      <w:pPr>
        <w:pStyle w:val="Institutionquiagit"/>
        <w:rPr>
          <w:noProof/>
        </w:rPr>
      </w:pPr>
      <w:r>
        <w:rPr>
          <w:noProof/>
        </w:rPr>
        <w:t>ΤΟ ΣΥΜΒΟΥΛΙΟ ΤΗΣ ΕΥΡΩΠΑΪΚΗΣ ΕΝΩΣΗΣ,</w:t>
      </w:r>
    </w:p>
    <w:p>
      <w:pPr>
        <w:rPr>
          <w:noProof/>
        </w:rPr>
      </w:pPr>
      <w:r>
        <w:rPr>
          <w:rStyle w:val="Corpsdutexte"/>
          <w:noProof/>
        </w:rPr>
        <w:t>Έχοντας υπόψη τη Συνθήκη για τη λειτουργία της Ευρωπαϊκής Ένωσης, και ιδίως το άρθρο 126 παράγραφος 12,</w:t>
      </w:r>
    </w:p>
    <w:p>
      <w:pPr>
        <w:rPr>
          <w:noProof/>
        </w:rPr>
      </w:pPr>
      <w:r>
        <w:rPr>
          <w:rStyle w:val="Corpsdutexte"/>
          <w:noProof/>
        </w:rPr>
        <w:t>Έχοντας υπόψη τη σύσταση της Επιτροπής,</w:t>
      </w:r>
    </w:p>
    <w:p>
      <w:pPr>
        <w:rPr>
          <w:rStyle w:val="Corpsdutexte"/>
          <w:noProof/>
        </w:rPr>
      </w:pPr>
      <w:r>
        <w:rPr>
          <w:rStyle w:val="Corpsdutexte"/>
          <w:noProof/>
        </w:rPr>
        <w:t>Εκτιμώντας τα ακόλουθα:</w:t>
      </w:r>
    </w:p>
    <w:p>
      <w:pPr>
        <w:pStyle w:val="ManualConsidrant"/>
        <w:rPr>
          <w:rStyle w:val="Corpsdutexte"/>
          <w:noProof/>
        </w:rPr>
      </w:pPr>
      <w:r>
        <w:rPr>
          <w:noProof/>
        </w:rPr>
        <w:t>(1)</w:t>
      </w:r>
      <w:r>
        <w:rPr>
          <w:noProof/>
        </w:rPr>
        <w:tab/>
      </w:r>
      <w:r>
        <w:rPr>
          <w:rStyle w:val="Corpsdutexte"/>
          <w:noProof/>
          <w:shd w:val="clear" w:color="auto" w:fill="auto"/>
        </w:rPr>
        <w:t>Στις 27 Απριλίου 2009,</w:t>
      </w:r>
      <w:r>
        <w:rPr>
          <w:noProof/>
        </w:rPr>
        <w:t xml:space="preserve"> μετά από σύσταση της Επιτροπής, το Συμβούλιο, με την απόφαση </w:t>
      </w:r>
      <w:r>
        <w:rPr>
          <w:rStyle w:val="Corpsdutexte2"/>
          <w:noProof/>
          <w:shd w:val="clear" w:color="auto" w:fill="auto"/>
        </w:rPr>
        <w:t>2009/417/ΕΚ</w:t>
      </w:r>
      <w:r>
        <w:rPr>
          <w:rStyle w:val="FootnoteReference"/>
          <w:noProof/>
        </w:rPr>
        <w:footnoteReference w:id="1"/>
      </w:r>
      <w:r>
        <w:rPr>
          <w:rStyle w:val="Corpsdutexte"/>
          <w:noProof/>
          <w:shd w:val="clear" w:color="auto" w:fill="auto"/>
        </w:rPr>
        <w:t>, σύμφωνα με το άρθρο 126 παράγραφος 6 της Συνθήκης, αποφάσισε ότι στην Ισπανία υπήρχε υπερβολικό έλλειμμα. Το Συμβούλιο διαπίστωσε ότι το κοινοποιηθέν έλλειμμα της γενικής κυβέρνησης για το 2008 ανήλθε</w:t>
      </w:r>
      <w:r>
        <w:rPr>
          <w:noProof/>
        </w:rPr>
        <w:t xml:space="preserve"> στο 3,4 % του ΑΕΠ, υπερβαίνοντας έτσι την τιμή αναφοράς του 3 % του ΑΕΠ που ορίζει η Συνθήκη. Το ακαθάριστο χρέος της γενικής κυβέρνησης προβλεπόταν στο επίπεδο του 39,5 % του ΑΕΠ το 2008.</w:t>
      </w:r>
    </w:p>
    <w:p>
      <w:pPr>
        <w:pStyle w:val="ManualConsidrant"/>
        <w:rPr>
          <w:rStyle w:val="Corpsdutexte"/>
          <w:noProof/>
        </w:rPr>
      </w:pPr>
      <w:r>
        <w:rPr>
          <w:rStyle w:val="Corpsdutexte"/>
          <w:noProof/>
        </w:rPr>
        <w:t>(2)</w:t>
      </w:r>
      <w:r>
        <w:rPr>
          <w:rStyle w:val="Corpsdutexte"/>
          <w:noProof/>
        </w:rPr>
        <w:tab/>
      </w:r>
      <w:r>
        <w:rPr>
          <w:noProof/>
        </w:rPr>
        <w:t>Την ίδια ημερομηνία, σύμφωνα με το άρθρο 126 παράγραφος 7 της Συνθήκης και το άρθρο 3 παράγραφος 4 του κανονισμού (ΕΚ) αριθ. 1467/97</w:t>
      </w:r>
      <w:r>
        <w:rPr>
          <w:rStyle w:val="FootnoteReference"/>
          <w:noProof/>
        </w:rPr>
        <w:footnoteReference w:id="2"/>
      </w:r>
      <w:r>
        <w:rPr>
          <w:noProof/>
        </w:rPr>
        <w:t>, το Συμβούλιο, κατόπιν συστάσεως της Επιτροπής, απηύθυνε σύσταση προς την Ισπανία προκειμένου να τερματιστεί η κατάσταση υπερβολικού ελλείμματος το αργότερο έως το 2012</w:t>
      </w:r>
      <w:r>
        <w:rPr>
          <w:rStyle w:val="FootnoteReference"/>
          <w:noProof/>
        </w:rPr>
        <w:footnoteReference w:id="3"/>
      </w:r>
      <w:r>
        <w:rPr>
          <w:noProof/>
        </w:rPr>
        <w:t>.</w:t>
      </w:r>
    </w:p>
    <w:p>
      <w:pPr>
        <w:pStyle w:val="ManualConsidrant"/>
        <w:rPr>
          <w:noProof/>
        </w:rPr>
      </w:pPr>
      <w:r>
        <w:rPr>
          <w:noProof/>
        </w:rPr>
        <w:t>(3)</w:t>
      </w:r>
      <w:r>
        <w:rPr>
          <w:noProof/>
        </w:rPr>
        <w:tab/>
      </w:r>
      <w:r>
        <w:rPr>
          <w:noProof/>
          <w:shd w:val="clear" w:color="auto" w:fill="FFFFFF"/>
        </w:rPr>
        <w:t xml:space="preserve">Έκτοτε, το Συμβούλιο απηύθυνε τρεις νέες συστάσεις προς την Ισπανία (στις 2 Δεκεμβρίου 2009, στις 10 Ιουλίου 2012 και στις 21 Ιουνίου 2013) με βάση το άρθρο 126 παράγραφος 7 της Συνθήκης, με τις οποίες παρατάθηκε η προθεσμία για τη διόρθωση του υπερβολικού ελλείμματος μέχρι το 2013, το 2014 και το 2016, αντίστοιχα. Και στις τρεις συστάσεις, το Συμβούλιο έκρινε ότι η Ισπανία είχε λάβει μεν αποτελεσματικά μέτρα, αλλά ότι είχαν προκύψει απρόβλεπτα αντίξοα γεγονότα στον οικονομικό τομέα με μείζονες αρνητικές επιπτώσεις στα δημόσια οικονομικά. </w:t>
      </w:r>
      <w:r>
        <w:rPr>
          <w:noProof/>
        </w:rPr>
        <w:tab/>
      </w:r>
    </w:p>
    <w:p>
      <w:pPr>
        <w:pStyle w:val="ManualConsidrant"/>
        <w:rPr>
          <w:rStyle w:val="Corpsdutexte"/>
          <w:noProof/>
        </w:rPr>
      </w:pPr>
      <w:r>
        <w:rPr>
          <w:noProof/>
        </w:rPr>
        <w:t>(4)</w:t>
      </w:r>
      <w:r>
        <w:rPr>
          <w:noProof/>
        </w:rPr>
        <w:tab/>
      </w:r>
      <w:r>
        <w:rPr>
          <w:noProof/>
          <w:shd w:val="clear" w:color="auto" w:fill="FFFFFF"/>
        </w:rPr>
        <w:t xml:space="preserve">Στις </w:t>
      </w:r>
      <w:r>
        <w:rPr>
          <w:noProof/>
        </w:rPr>
        <w:t xml:space="preserve">12 Ιουλίου 2016, το Συμβούλιο, βάσει του άρθρου 126 παράγραφος 8 της Συνθήκης, αποφάσισε ότι η Ισπανία δεν είχε λάβει αποτελεσματικά μέτρα κατ’ εφαρμογή της σύστασης του Συμβουλίου της 21ης Ιουνίου 2013. </w:t>
      </w:r>
      <w:r>
        <w:rPr>
          <w:rStyle w:val="Corpsdutexte"/>
          <w:noProof/>
        </w:rPr>
        <w:t xml:space="preserve">Στις 8 Αυγούστου 2016, </w:t>
      </w:r>
      <w:r>
        <w:rPr>
          <w:noProof/>
          <w:shd w:val="clear" w:color="auto" w:fill="FFFFFF"/>
        </w:rPr>
        <w:t xml:space="preserve"> βάσει του άρθρου 126 παράγραφος 9 της Συνθήκης, το Συμβούλιο απηύθυνε ειδοποίηση στην Ισπανία να λάβει μέτρα για τη μείωση του ελλείμματος, τα οποία κρίνονταν αναγκαία για να αντιμετωπιστεί η κατάσταση υπερβολικού ελλείμματος, θέτοντας νέα προθεσμία διόρθωσης έως το 2018. Το Συμβούλιο έθεσε επίσης προθεσμία έως τις 15 Οκτωβρίου 2016 για τη λήψη αποτελεσματικών μέτρων και για την υποβολή έκθεσης στο Συμβούλιο και στην Επιτροπή σχετικά με τα μέτρα που ελήφθησαν κατόπιν της ειδοποίησης του Συμβουλίου.</w:t>
      </w:r>
    </w:p>
    <w:p>
      <w:pPr>
        <w:pStyle w:val="ManualConsidrant"/>
        <w:rPr>
          <w:rStyle w:val="Corpsdutexte"/>
          <w:noProof/>
        </w:rPr>
      </w:pPr>
      <w:r>
        <w:rPr>
          <w:noProof/>
        </w:rPr>
        <w:t>(5)</w:t>
      </w:r>
      <w:r>
        <w:rPr>
          <w:noProof/>
        </w:rPr>
        <w:tab/>
      </w:r>
      <w:r>
        <w:rPr>
          <w:rStyle w:val="Corpsdutexte"/>
          <w:noProof/>
        </w:rPr>
        <w:t>Στις 16 Νοεμβρίου 2016, η Επιτροπή κατέληξε στο συμπέρασμα ότι η Ισπανία είχε λάβει αποτελεσματικά μέτρα συμμόρφωσης με την απόφαση του Συμβουλίου της 8ης Αυγούστου 2016, βάσει του άρθρου 126 παράγραφος 9 της Συνθήκης.</w:t>
      </w:r>
    </w:p>
    <w:p>
      <w:pPr>
        <w:pStyle w:val="ManualConsidrant"/>
        <w:rPr>
          <w:noProof/>
        </w:rPr>
      </w:pPr>
      <w:r>
        <w:rPr>
          <w:noProof/>
        </w:rPr>
        <w:t>(6)</w:t>
      </w:r>
      <w:r>
        <w:rPr>
          <w:noProof/>
        </w:rPr>
        <w:tab/>
      </w:r>
      <w:r>
        <w:rPr>
          <w:rStyle w:val="Corpsdutexte"/>
          <w:noProof/>
        </w:rPr>
        <w:t>Σύμφωνα με το άρθρο 4 του πρωτοκόλλου σχετικά με τη διαδικασία υπερβολικού ελλείμματος που προσαρτάται στις Συνθήκες, η Επιτροπή παρέχει τα στοιχεία για την εφαρμογή της διαδικασίας. Στο πλαίσιο της εφαρμογής του εν λόγω πρωτοκόλλου, τα κράτη μέλη οφείλουν να κοινοποιούν στοιχεία σχετικά με τα δημόσια ελλείμματα και το δημόσιο χρέος και άλλες συναφείς μεταβλητές δύο φορές τον χρόνο, συγκεκριμένα πριν από την 1η Απριλίου και πριν από την 1η Οκτωβρίου, σύμφωνα με το άρθρο 3 του κανονισμού (ΕΚ) αριθ. 479/2009</w:t>
      </w:r>
      <w:r>
        <w:rPr>
          <w:rStyle w:val="FootnoteReference"/>
          <w:noProof/>
        </w:rPr>
        <w:footnoteReference w:id="4"/>
      </w:r>
      <w:r>
        <w:rPr>
          <w:rStyle w:val="Corpsdutexte"/>
          <w:noProof/>
        </w:rPr>
        <w:t>.</w:t>
      </w:r>
    </w:p>
    <w:p>
      <w:pPr>
        <w:pStyle w:val="ManualConsidrant"/>
        <w:rPr>
          <w:noProof/>
        </w:rPr>
      </w:pPr>
      <w:r>
        <w:rPr>
          <w:noProof/>
        </w:rPr>
        <w:t>(7)</w:t>
      </w:r>
      <w:r>
        <w:rPr>
          <w:noProof/>
        </w:rPr>
        <w:tab/>
      </w:r>
      <w:r>
        <w:rPr>
          <w:rStyle w:val="Corpsdutexte"/>
          <w:noProof/>
        </w:rPr>
        <w:t>Το Συμβούλιο λαμβάνει απόφαση για την κατάργηση απόφασης σχετικά με την ύπαρξη υπερβολικού ελλείμματος βάσει των δεδομένων που κοινοποιούνται. Επιπλέον, η απόφαση για την ύπαρξη υπερβολικού ελλείμματος θα πρέπει να καταργείται μόνον εάν οι προβλέψεις της Επιτροπής δείχνουν ότι το έλλειμμα δεν θα υπερβεί την τιμή αναφοράς του 3 % του ΑΕΠ που ορίζει η Συνθήκη εντός του χρονικού ορίζοντα των προβλέψεων</w:t>
      </w:r>
      <w:r>
        <w:rPr>
          <w:rStyle w:val="FootnoteReference"/>
          <w:noProof/>
        </w:rPr>
        <w:footnoteReference w:id="5"/>
      </w:r>
      <w:r>
        <w:rPr>
          <w:rStyle w:val="Corpsdutexte"/>
          <w:noProof/>
        </w:rPr>
        <w:t>.</w:t>
      </w:r>
    </w:p>
    <w:p>
      <w:pPr>
        <w:pStyle w:val="ManualConsidrant"/>
        <w:rPr>
          <w:noProof/>
        </w:rPr>
      </w:pPr>
      <w:r>
        <w:rPr>
          <w:noProof/>
        </w:rPr>
        <w:t>(8)</w:t>
      </w:r>
      <w:r>
        <w:rPr>
          <w:noProof/>
        </w:rPr>
        <w:tab/>
      </w:r>
      <w:r>
        <w:rPr>
          <w:rStyle w:val="Corpsdutexte"/>
          <w:noProof/>
        </w:rPr>
        <w:t>Βάσει των στοιχείων που παρασχέθηκαν από την Επιτροπή (Στατιστική Υπηρεσία της Ευρωπαϊκής Ένωσης) σύμφωνα με το άρθρο 14 του κανονισμού (ΕΚ) αριθ. 479/2009, μετά την κοινοποίηση από πλευράς Ισπανίας τον Απρίλιο του 2019, και βάσει του προγράμματος σταθερότητας για το 2019 και των εαρινών προβλέψεων  της Επιτροπής του 2019, συνάγονται τα ακόλουθα συμπεράσματα:</w:t>
      </w:r>
    </w:p>
    <w:p>
      <w:pPr>
        <w:pStyle w:val="Tiret1"/>
        <w:numPr>
          <w:ilvl w:val="0"/>
          <w:numId w:val="1"/>
        </w:numPr>
        <w:rPr>
          <w:noProof/>
        </w:rPr>
      </w:pPr>
      <w:r>
        <w:rPr>
          <w:rStyle w:val="Corpsdutexte"/>
          <w:noProof/>
        </w:rPr>
        <w:t xml:space="preserve">Το έλλειμμα της γενικής κυβέρνησης, αφού ανήλθε στο 3,1 % του ΑΕΠ το 2017, μειώθηκε στο 2,5 % του ΑΕΠ το 2018. </w:t>
      </w:r>
      <w:r>
        <w:rPr>
          <w:noProof/>
        </w:rPr>
        <w:t>Σε σύγκριση με τις προβολές στο σχέδιο δημοσιονομικού προγράμματος για το 2019, που υποβλήθηκε τον Οκτώβριο του 2018, το έλλειμμα του 2018 ήταν τελικά κατά 0,2 εκατοστιαίες μονάδες χαμηλότερο, χάρη σε υψηλότερο δείκτη εσόδων προς το ΑΕΠ κατά 0,3 εκατοστιαίες μονάδες, που αντισταθμίζεται εν μέρει μόνον από υψηλότερο δείκτη δαπανών κατά 0,1 εκατοστιαία μονάδα. Στο σκέλος των εσόδων, τόσο τα έσοδα από τον φόρο εισοδήματος εταιρειών όσο και τα άλλα έσοδα ήταν τελικά υψηλότερα, ενώ στο σκέλος των δαπανών, το εισόδημα εξαρτημένης εργασίας τελικά ήταν κάπως υψηλότερο.</w:t>
      </w:r>
    </w:p>
    <w:p>
      <w:pPr>
        <w:pStyle w:val="Tiret1"/>
        <w:rPr>
          <w:noProof/>
        </w:rPr>
      </w:pPr>
      <w:r>
        <w:rPr>
          <w:noProof/>
        </w:rPr>
        <w:t>Το πρόγραμμα σταθερότητας για την περίοδο 2019-2022, που υπέβαλε η ισπανική κυβέρνηση στις 30 Απριλίου 2019, προβλέπει ότι το έλλειμμα της γενικής κυβέρνησης θα υποχωρήσει στο 2,0 % του ΑΕΠ το 2019 και, στη συνέχεια, θα μειωθεί στο 1,1 % του ΑΕΠ το 2020. Οι εαρινές προβλέψεις της Επιτροπής του 2019 εμφανίζουν έλλειμμα ύψους 2,3 % του ΑΕΠ το 2019 και 2,0 % του ΑΕΠ το 2020, παραμένοντας έτσι κάτω από την τιμή αναφοράς του 3 % του ΑΕΠ που ορίζει η Συνθήκη εντός του χρονικού ορίζοντα των προβλέψεων.</w:t>
      </w:r>
    </w:p>
    <w:p>
      <w:pPr>
        <w:pStyle w:val="Tiret1"/>
        <w:rPr>
          <w:noProof/>
        </w:rPr>
      </w:pPr>
      <w:r>
        <w:rPr>
          <w:rStyle w:val="Corpsdutexte"/>
          <w:noProof/>
        </w:rPr>
        <w:t>Το διαρθρωτικό ισοζύγιο, δηλαδή το ισοζύγιο της γενικής κυβέρνησης διορθωμένο από τις επιδράσεις του οικονομικού κύκλου και χωρίς τα έκτακτα και λοιπά προσωρινά μέτρα, παρέμεινε αμετάβλητο μεταξύ του 2017 και του 2018. Η σωρευτική βελτίωση του διαρθρωτικού ισοζυγίου από το 2016 ανήλθε στο 0,4 % του ΑΕΠ.</w:t>
      </w:r>
    </w:p>
    <w:p>
      <w:pPr>
        <w:pStyle w:val="Tiret1"/>
        <w:rPr>
          <w:rStyle w:val="Corpsdutexte"/>
          <w:noProof/>
        </w:rPr>
      </w:pPr>
      <w:r>
        <w:rPr>
          <w:rStyle w:val="Corpsdutexte"/>
          <w:noProof/>
        </w:rPr>
        <w:t>Ο λόγος του ακαθάριστου δημόσιου χρέους προς το ΑΕΠ μειώθηκε στο 97,1 % το 2018 από 98,1 % το 2017, κυρίως λόγω της μειωτικής για το χρέος επίδρασης της πραγματικής ανάπτυξης και του πληθωρισμού, που υπεραντιστάθμισε τον αντίθετο αντίκτυπο των δαπανών για τόκους, ενώ το πρωτογενές ισοζύγιο είναι σχεδόν μηδενικό. Οι εαρινές προβλέψεις της Επιτροπής του 2019 εμφανίζουν μείωση του δείκτη χρέους στο 96,3 % το 2019 και στο 95,7 % το 2020, κυρίως λόγω της υψηλής ονομαστικής ανάπτυξης που αντισταθμίζει τον αντίκτυπο των επιβαρυντικών για το χρέος προσαρμογών αποθεμάτων-ροών και τις δαπάνες για τόκους, ενώ το πρωτογενές ισοζύγιο εμφανίζει μόνον ελαφρά βελτίωση.</w:t>
      </w:r>
    </w:p>
    <w:p>
      <w:pPr>
        <w:pStyle w:val="ManualConsidrant"/>
        <w:rPr>
          <w:noProof/>
        </w:rPr>
      </w:pPr>
      <w:r>
        <w:rPr>
          <w:noProof/>
        </w:rPr>
        <w:t>(9)</w:t>
      </w:r>
      <w:r>
        <w:rPr>
          <w:noProof/>
        </w:rPr>
        <w:tab/>
      </w:r>
      <w:r>
        <w:rPr>
          <w:rStyle w:val="Corpsdutexte"/>
          <w:noProof/>
        </w:rPr>
        <w:t>Σύμφωνα με το άρθρο 126 παράγραφος 12 της Συνθήκης, απόφαση του Συμβουλίου σχετικά με την ύπαρξη υπερβολικού ελλείμματος καταργείται, εφόσον, κατά την γνώμη του Συμβουλίου, έχει διορθωθεί το υπερβολικό έλλειμμα στο οικείο κράτος μέλος.</w:t>
      </w:r>
    </w:p>
    <w:p>
      <w:pPr>
        <w:pStyle w:val="ManualConsidrant"/>
        <w:rPr>
          <w:rStyle w:val="Corpsdutexte"/>
          <w:noProof/>
        </w:rPr>
      </w:pPr>
      <w:r>
        <w:rPr>
          <w:rStyle w:val="Corpsdutexte"/>
          <w:noProof/>
        </w:rPr>
        <w:t>(10)</w:t>
      </w:r>
      <w:r>
        <w:rPr>
          <w:rStyle w:val="Corpsdutexte"/>
          <w:noProof/>
        </w:rPr>
        <w:tab/>
        <w:t>Κατά την άποψη του Συμβουλίου, το υπερβολικό έλλειμμα στην Ισπανία έχει διορθωθεί και η απόφαση</w:t>
      </w:r>
      <w:r>
        <w:rPr>
          <w:rStyle w:val="Corpsdutexte2"/>
          <w:noProof/>
        </w:rPr>
        <w:t xml:space="preserve"> 2009/417/ΕΚ</w:t>
      </w:r>
      <w:r>
        <w:rPr>
          <w:rStyle w:val="Corpsdutexte"/>
          <w:noProof/>
        </w:rPr>
        <w:t xml:space="preserve"> θα πρέπει, επομένως, να καταργηθεί.</w:t>
      </w:r>
    </w:p>
    <w:p>
      <w:pPr>
        <w:pStyle w:val="ManualConsidrant"/>
        <w:rPr>
          <w:rStyle w:val="Corpsdutexte"/>
          <w:noProof/>
        </w:rPr>
      </w:pPr>
      <w:r>
        <w:rPr>
          <w:rStyle w:val="Corpsdutexte"/>
          <w:noProof/>
        </w:rPr>
        <w:t>(11)</w:t>
      </w:r>
      <w:r>
        <w:rPr>
          <w:rStyle w:val="Corpsdutexte"/>
          <w:noProof/>
        </w:rPr>
        <w:tab/>
        <w:t>Από το 2019, έτος που έπεται της διόρθωσης του υπερβολικού ελλείμματος, η Ισπανία υπάγεται στο προληπτικό σκέλος του συμφώνου Σταθερότητας και Ανάπτυξης και θα πρέπει να παρουσιάσει κατάλληλο ρυθμό προόδου για την επίτευξη του μεσοπρόθεσμου δημοσιονομικού στόχου της, συν τοις άλλοις τηρώντας το όριο αναφοράς για τις δαπάνες, καθώς και να συμμορφωθεί με το κριτήριο του χρέους, σύμφωνα με το άρθρο 2 παράγραφος 1α του κανονισμού (ΕΚ) αριθ. 1467/97,</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rStyle w:val="Corpsdutexte"/>
          <w:noProof/>
        </w:rPr>
        <w:t>Από τη συνολική εκτίμηση συνάγεται ότι η κατάσταση υπερβολικού ελλείμματος στην Ισπανία έχει</w:t>
      </w:r>
      <w:r>
        <w:rPr>
          <w:rStyle w:val="Corpsdutexte6"/>
          <w:noProof/>
        </w:rPr>
        <w:t xml:space="preserve"> διορθωθεί.</w:t>
      </w:r>
    </w:p>
    <w:p>
      <w:pPr>
        <w:pStyle w:val="Titrearticle"/>
        <w:rPr>
          <w:noProof/>
        </w:rPr>
      </w:pPr>
      <w:r>
        <w:rPr>
          <w:rStyle w:val="Corpsdutexte5"/>
          <w:noProof/>
        </w:rPr>
        <w:t>Άρθρο 2</w:t>
      </w:r>
    </w:p>
    <w:p>
      <w:pPr>
        <w:rPr>
          <w:noProof/>
        </w:rPr>
      </w:pPr>
      <w:r>
        <w:rPr>
          <w:rStyle w:val="Corpsdutexte"/>
          <w:noProof/>
        </w:rPr>
        <w:t>Η απόφαση</w:t>
      </w:r>
      <w:r>
        <w:rPr>
          <w:rStyle w:val="Corpsdutexte2"/>
          <w:noProof/>
        </w:rPr>
        <w:t xml:space="preserve"> 2009/417/ΕΚ</w:t>
      </w:r>
      <w:r>
        <w:rPr>
          <w:rStyle w:val="Corpsdutexte"/>
          <w:noProof/>
        </w:rPr>
        <w:t xml:space="preserve"> καταργείται.</w:t>
      </w:r>
    </w:p>
    <w:p>
      <w:pPr>
        <w:pStyle w:val="Titrearticle"/>
        <w:rPr>
          <w:noProof/>
        </w:rPr>
      </w:pPr>
      <w:r>
        <w:rPr>
          <w:rStyle w:val="Corpsdutexte5"/>
          <w:noProof/>
        </w:rPr>
        <w:t>Άρθρο 3</w:t>
      </w:r>
    </w:p>
    <w:p>
      <w:pPr>
        <w:keepNext/>
        <w:keepLines/>
        <w:rPr>
          <w:noProof/>
        </w:rPr>
      </w:pPr>
      <w:r>
        <w:rPr>
          <w:rStyle w:val="Corpsdutexte"/>
          <w:noProof/>
        </w:rPr>
        <w:t>Η παρούσα απόφαση απευθύνεται στο Βασίλειο της Ισπανίας.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2009/417/ΕΚ του Συμβουλίου, της 27ης Απριλίου 2009, σχετικά με την ύπαρξη υπερβολικού ελλείμματος στην Ισπανία (ΕΕ L 135 της 30.5.2009, σ. 25).</w:t>
      </w:r>
    </w:p>
  </w:footnote>
  <w:footnote w:id="2">
    <w:p>
      <w:pPr>
        <w:pStyle w:val="FootnoteText"/>
      </w:pPr>
      <w:r>
        <w:rPr>
          <w:rStyle w:val="FootnoteReference"/>
        </w:rPr>
        <w:footnoteRef/>
      </w:r>
      <w:r>
        <w:tab/>
        <w:t>Κανονισμός (ΕΚ) αριθ. 1467/97 του Συμβουλίου, της 7ης Ιουλίου 1997, για την επιτάχυνση και τη διασαφήνιση της εφαρμογής της διαδικασίας υπερβολικού ελλείμματος (ΕΕ L 209 της 2.8.1997, σ. 6).</w:t>
      </w:r>
    </w:p>
  </w:footnote>
  <w:footnote w:id="3">
    <w:p>
      <w:pPr>
        <w:pStyle w:val="FootnoteText"/>
      </w:pPr>
      <w:r>
        <w:rPr>
          <w:rStyle w:val="FootnoteReference"/>
        </w:rPr>
        <w:footnoteRef/>
      </w:r>
      <w:r>
        <w:tab/>
        <w:t xml:space="preserve">Όλα τα έγγραφα που αφορούν τη διαδικασία υπερβολικού ελλείμματος της Ισπανίας βρίσκονται στην ακόλουθη διεύθυνση: </w:t>
      </w:r>
      <w:hyperlink r:id="rId1" w:history="1">
        <w:r>
          <w:rPr>
            <w:rStyle w:val="Hyperlink"/>
          </w:rPr>
          <w:t>https://ec.europa.eu/info/business-economy-euro/economic-and-fiscal-policy-coordination/eu-economic-governance-monitoring-prevention-correction/stability-and-growth-pact/corrective-arm-excessive-deficit-procedure/ongoing-excessive-deficit-procedures/spain_en</w:t>
        </w:r>
      </w:hyperlink>
      <w:r>
        <w:t xml:space="preserve"> .</w:t>
      </w:r>
    </w:p>
  </w:footnote>
  <w:footnote w:id="4">
    <w:p>
      <w:pPr>
        <w:pStyle w:val="FootnoteText"/>
      </w:pPr>
      <w:r>
        <w:rPr>
          <w:rStyle w:val="FootnoteReference"/>
        </w:rPr>
        <w:footnoteRef/>
      </w:r>
      <w:r>
        <w:tab/>
        <w:t>Κανονισμός (ΕΚ) αριθ. 479/2009 του Συμβουλίου, της 25ης Μαΐου 2009, για την εφαρμογή του πρωτοκόλλου σχετικά με τη διαδικασία του υπερβολικού ελλείμματος το οποίο προσαρτάται στη Συνθήκη για την ίδρυση της Ευρωπαϊκής Κοινότητας</w:t>
      </w:r>
      <w:r>
        <w:rPr>
          <w:rStyle w:val="Corpsdutexte4"/>
        </w:rPr>
        <w:t xml:space="preserve"> (ΕΕ L 145 της 10.6.2009, σ. 1).</w:t>
      </w:r>
    </w:p>
  </w:footnote>
  <w:footnote w:id="5">
    <w:p>
      <w:pPr>
        <w:pStyle w:val="FootnoteText"/>
        <w:rPr>
          <w:rStyle w:val="Corpsdutexte4"/>
          <w:sz w:val="20"/>
          <w:szCs w:val="20"/>
        </w:rPr>
      </w:pPr>
      <w:r>
        <w:rPr>
          <w:rStyle w:val="FootnoteReference"/>
        </w:rPr>
        <w:footnoteRef/>
      </w:r>
      <w:r>
        <w:tab/>
      </w:r>
      <w:r>
        <w:rPr>
          <w:rStyle w:val="Corpsdutexte4"/>
          <w:sz w:val="20"/>
          <w:szCs w:val="20"/>
        </w:rPr>
        <w:t>Σύμφωνα με τις «Λεπτομερείς ρυθμίσεις για την εφαρμογή του Συμφώνου Σταθερότητας και Ανάπτυξης και κατευθυντήριες γραμμές για τη μορφή και το περιεχόμενο των προγραμμάτων σταθερότητας και σύγκλισης», που ενέκρινε η Οικονομική και Δημοσιονομική Επιτροπή στις 15 Μαΐου 2017, οι οποίες είναι διαθέσιμες στη διεύθυνση:</w:t>
      </w:r>
    </w:p>
    <w:p>
      <w:pPr>
        <w:pStyle w:val="FootnoteText"/>
        <w:ind w:firstLine="0"/>
      </w:pPr>
      <w:hyperlink r:id="rId2" w:history="1">
        <w:r>
          <w:rPr>
            <w:rStyle w:val="Hyperlink"/>
          </w:rPr>
          <w:t>http://data.consilium.europa.eu/doc/document/ST-9344-2017-INIT/en/pdf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2ACB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0A18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AAA6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51EC5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5EDD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AC48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EE6BA0"/>
    <w:lvl w:ilvl="0">
      <w:start w:val="1"/>
      <w:numFmt w:val="decimal"/>
      <w:pStyle w:val="ListNumber"/>
      <w:lvlText w:val="%1."/>
      <w:lvlJc w:val="left"/>
      <w:pPr>
        <w:tabs>
          <w:tab w:val="num" w:pos="360"/>
        </w:tabs>
        <w:ind w:left="360" w:hanging="360"/>
      </w:pPr>
    </w:lvl>
  </w:abstractNum>
  <w:abstractNum w:abstractNumId="7">
    <w:nsid w:val="FFFFFF89"/>
    <w:multiLevelType w:val="singleLevel"/>
    <w:tmpl w:val="2166BE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04: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CCEFCDC-825E-4E08-8777-2A8E185437D6"/>
    <w:docVar w:name="LW_COVERPAGE_TYPE" w:val="1"/>
    <w:docVar w:name="LW_CROSSREFERENCE" w:val="&lt;UNUSED&gt;"/>
    <w:docVar w:name="LW_DocType" w:val="COM"/>
    <w:docVar w:name="LW_EMISSION" w:val="5.6.2019"/>
    <w:docVar w:name="LW_EMISSION_ISODATE" w:val="2019-06-05"/>
    <w:docVar w:name="LW_EMISSION_LOCATION" w:val="BRX"/>
    <w:docVar w:name="LW_EMISSION_PREFIX" w:val="Βρυξέλλες,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31?\u973?\u963?\u964?\u945?\u963?\u951? \u947?\u953?\u945?"/>
    <w:docVar w:name="LW_SUPERTITRE" w:val="&lt;UNUSED&gt;"/>
    <w:docVar w:name="LW_TITRE.OBJ.CP" w:val="\u947?\u953?\u945? \u964?\u951?\u957? \u954?\u945?\u964?\u940?\u961?\u947?\u951?\u963?\u951? \u964?\u951?\u962? \u945?\u960?\u972?\u966?\u945?\u963?\u951?\u962? 2009/417/\u917?\u922? \u963?\u967?\u949?\u964?\u953?\u954?\u940? \u956?\u949? \u964?\u951?\u957? \u973?\u960?\u945?\u961?\u958?\u951? \u965?\u960?\u949?\u961?\u946?\u959?\u955?\u953?\u954?\u959?\u973? \u949?\u955?\u955?\u949?\u943?\u956?\u956?\u945?\u964?\u959?\u962? \u963?\u964?\u951?\u957? \u921?\u963?\u960?\u945?\u957?\u943?\u945?"/>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shd w:val="clear" w:color="auto" w:fill="FFFFFF"/>
    </w:rPr>
  </w:style>
  <w:style w:type="paragraph" w:customStyle="1" w:styleId="Corpsdutexte20">
    <w:name w:val="Corps du texte (2)"/>
    <w:basedOn w:val="Normal"/>
    <w:link w:val="Corpsdutexte2"/>
    <w:pPr>
      <w:widowControl w:val="0"/>
      <w:shd w:val="clear" w:color="auto" w:fill="FFFFFF"/>
      <w:spacing w:before="1380" w:after="0" w:line="629" w:lineRule="exact"/>
      <w:jc w:val="center"/>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character" w:customStyle="1" w:styleId="Corpsdutexte4">
    <w:name w:val="Corps du texte (4)_"/>
    <w:basedOn w:val="DefaultParagraphFont"/>
    <w:link w:val="Corpsdutexte4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0" w:after="1380" w:line="274" w:lineRule="exact"/>
      <w:ind w:hanging="720"/>
      <w:jc w:val="left"/>
    </w:pPr>
    <w:rPr>
      <w:rFonts w:asciiTheme="minorHAnsi" w:hAnsiTheme="minorHAnsi" w:cstheme="minorBidi"/>
      <w:sz w:val="22"/>
    </w:rPr>
  </w:style>
  <w:style w:type="paragraph" w:customStyle="1" w:styleId="Corpsdutexte40">
    <w:name w:val="Corps du texte (4)"/>
    <w:basedOn w:val="Normal"/>
    <w:link w:val="Corpsdutexte4"/>
    <w:pPr>
      <w:widowControl w:val="0"/>
      <w:shd w:val="clear" w:color="auto" w:fill="FFFFFF"/>
      <w:spacing w:before="960" w:after="0" w:line="230" w:lineRule="exact"/>
    </w:pPr>
    <w:rPr>
      <w:rFonts w:asciiTheme="minorHAnsi" w:hAnsiTheme="minorHAnsi" w:cstheme="minorBidi"/>
      <w:sz w:val="19"/>
      <w:szCs w:val="19"/>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6">
    <w:name w:val="Corps du texte (6)_"/>
    <w:basedOn w:val="DefaultParagraphFont"/>
    <w:link w:val="Corpsdutexte60"/>
    <w:rPr>
      <w:shd w:val="clear" w:color="auto" w:fill="FFFFFF"/>
    </w:rPr>
  </w:style>
  <w:style w:type="paragraph" w:customStyle="1" w:styleId="Corpsdutexte50">
    <w:name w:val="Corps du texte (5)"/>
    <w:basedOn w:val="Normal"/>
    <w:link w:val="Corpsdutexte5"/>
    <w:pPr>
      <w:widowControl w:val="0"/>
      <w:shd w:val="clear" w:color="auto" w:fill="FFFFFF"/>
      <w:spacing w:before="540" w:after="300" w:line="0" w:lineRule="atLeast"/>
      <w:jc w:val="left"/>
    </w:pPr>
    <w:rPr>
      <w:rFonts w:asciiTheme="minorHAnsi" w:hAnsiTheme="minorHAnsi" w:cstheme="minorBidi"/>
      <w:sz w:val="23"/>
      <w:szCs w:val="23"/>
    </w:rPr>
  </w:style>
  <w:style w:type="paragraph" w:customStyle="1" w:styleId="Corpsdutexte60">
    <w:name w:val="Corps du texte (6)"/>
    <w:basedOn w:val="Normal"/>
    <w:link w:val="Corpsdutexte6"/>
    <w:pPr>
      <w:widowControl w:val="0"/>
      <w:shd w:val="clear" w:color="auto" w:fill="FFFFFF"/>
      <w:spacing w:before="60" w:after="540" w:line="0" w:lineRule="atLeast"/>
      <w:ind w:hanging="720"/>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Hyperlink">
    <w:name w:val="Hyperlink"/>
    <w:basedOn w:val="DefaultParagraphFont"/>
    <w:uiPriority w:val="99"/>
    <w:unhideWhenUsed/>
    <w:rPr>
      <w:color w:val="0000FF" w:themeColor="hyperlink"/>
      <w:u w:val="single"/>
    </w:rPr>
  </w:style>
  <w:style w:type="paragraph" w:customStyle="1" w:styleId="Bullets">
    <w:name w:val="Bullets"/>
    <w:basedOn w:val="Normal"/>
    <w:autoRedefine/>
    <w:pPr>
      <w:spacing w:before="0"/>
      <w:ind w:left="851"/>
    </w:pPr>
    <w:rPr>
      <w:rFonts w:eastAsia="Times New Roman"/>
      <w:b/>
      <w:i/>
      <w:noProof/>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Explanatory">
    <w:name w:val="Explanatory"/>
    <w:basedOn w:val="Typedudocument"/>
  </w:style>
  <w:style w:type="paragraph" w:customStyle="1" w:styleId="Expo">
    <w:name w:val="Expo"/>
    <w:basedOn w:val="Explanatory"/>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Pr>
      <w:shd w:val="clear" w:color="auto" w:fill="FFFFFF"/>
    </w:rPr>
  </w:style>
  <w:style w:type="paragraph" w:customStyle="1" w:styleId="Corpsdutexte20">
    <w:name w:val="Corps du texte (2)"/>
    <w:basedOn w:val="Normal"/>
    <w:link w:val="Corpsdutexte2"/>
    <w:pPr>
      <w:widowControl w:val="0"/>
      <w:shd w:val="clear" w:color="auto" w:fill="FFFFFF"/>
      <w:spacing w:before="1380" w:after="0" w:line="629" w:lineRule="exact"/>
      <w:jc w:val="center"/>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character" w:customStyle="1" w:styleId="Corpsdutexte4">
    <w:name w:val="Corps du texte (4)_"/>
    <w:basedOn w:val="DefaultParagraphFont"/>
    <w:link w:val="Corpsdutexte4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0" w:after="1380" w:line="274" w:lineRule="exact"/>
      <w:ind w:hanging="720"/>
      <w:jc w:val="left"/>
    </w:pPr>
    <w:rPr>
      <w:rFonts w:asciiTheme="minorHAnsi" w:hAnsiTheme="minorHAnsi" w:cstheme="minorBidi"/>
      <w:sz w:val="22"/>
    </w:rPr>
  </w:style>
  <w:style w:type="paragraph" w:customStyle="1" w:styleId="Corpsdutexte40">
    <w:name w:val="Corps du texte (4)"/>
    <w:basedOn w:val="Normal"/>
    <w:link w:val="Corpsdutexte4"/>
    <w:pPr>
      <w:widowControl w:val="0"/>
      <w:shd w:val="clear" w:color="auto" w:fill="FFFFFF"/>
      <w:spacing w:before="960" w:after="0" w:line="230" w:lineRule="exact"/>
    </w:pPr>
    <w:rPr>
      <w:rFonts w:asciiTheme="minorHAnsi" w:hAnsiTheme="minorHAnsi" w:cstheme="minorBidi"/>
      <w:sz w:val="19"/>
      <w:szCs w:val="19"/>
    </w:rPr>
  </w:style>
  <w:style w:type="character" w:customStyle="1" w:styleId="Corpsdutexte5">
    <w:name w:val="Corps du texte (5)_"/>
    <w:basedOn w:val="DefaultParagraphFont"/>
    <w:link w:val="Corpsdutexte50"/>
    <w:rPr>
      <w:sz w:val="23"/>
      <w:szCs w:val="23"/>
      <w:shd w:val="clear" w:color="auto" w:fill="FFFFFF"/>
    </w:rPr>
  </w:style>
  <w:style w:type="character" w:customStyle="1" w:styleId="Corpsdutexte6">
    <w:name w:val="Corps du texte (6)_"/>
    <w:basedOn w:val="DefaultParagraphFont"/>
    <w:link w:val="Corpsdutexte60"/>
    <w:rPr>
      <w:shd w:val="clear" w:color="auto" w:fill="FFFFFF"/>
    </w:rPr>
  </w:style>
  <w:style w:type="paragraph" w:customStyle="1" w:styleId="Corpsdutexte50">
    <w:name w:val="Corps du texte (5)"/>
    <w:basedOn w:val="Normal"/>
    <w:link w:val="Corpsdutexte5"/>
    <w:pPr>
      <w:widowControl w:val="0"/>
      <w:shd w:val="clear" w:color="auto" w:fill="FFFFFF"/>
      <w:spacing w:before="540" w:after="300" w:line="0" w:lineRule="atLeast"/>
      <w:jc w:val="left"/>
    </w:pPr>
    <w:rPr>
      <w:rFonts w:asciiTheme="minorHAnsi" w:hAnsiTheme="minorHAnsi" w:cstheme="minorBidi"/>
      <w:sz w:val="23"/>
      <w:szCs w:val="23"/>
    </w:rPr>
  </w:style>
  <w:style w:type="paragraph" w:customStyle="1" w:styleId="Corpsdutexte60">
    <w:name w:val="Corps du texte (6)"/>
    <w:basedOn w:val="Normal"/>
    <w:link w:val="Corpsdutexte6"/>
    <w:pPr>
      <w:widowControl w:val="0"/>
      <w:shd w:val="clear" w:color="auto" w:fill="FFFFFF"/>
      <w:spacing w:before="60" w:after="540" w:line="0" w:lineRule="atLeast"/>
      <w:ind w:hanging="720"/>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Hyperlink">
    <w:name w:val="Hyperlink"/>
    <w:basedOn w:val="DefaultParagraphFont"/>
    <w:uiPriority w:val="99"/>
    <w:unhideWhenUsed/>
    <w:rPr>
      <w:color w:val="0000FF" w:themeColor="hyperlink"/>
      <w:u w:val="single"/>
    </w:rPr>
  </w:style>
  <w:style w:type="paragraph" w:customStyle="1" w:styleId="Bullets">
    <w:name w:val="Bullets"/>
    <w:basedOn w:val="Normal"/>
    <w:autoRedefine/>
    <w:pPr>
      <w:spacing w:before="0"/>
      <w:ind w:left="851"/>
    </w:pPr>
    <w:rPr>
      <w:rFonts w:eastAsia="Times New Roman"/>
      <w:b/>
      <w:i/>
      <w:noProof/>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Explanatory">
    <w:name w:val="Explanatory"/>
    <w:basedOn w:val="Typedudocument"/>
  </w:style>
  <w:style w:type="paragraph" w:customStyle="1" w:styleId="Expo">
    <w:name w:val="Expo"/>
    <w:basedOn w:val="Explanatory"/>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data.consilium.europa.eu/doc/document/ST-9344-2017-INIT/en/pdf" TargetMode="External"/><Relationship Id="rId1" Type="http://schemas.openxmlformats.org/officeDocument/2006/relationships/hyperlink" Target="https://ec.europa.eu/info/business-economy-euro/economic-and-fiscal-policy-coordination/eu-economic-governance-monitoring-prevention-correction/stability-and-growth-pact/corrective-arm-excessive-deficit-procedure/ongoing-excessive-deficit-procedures/spai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3B8C-FFEE-46D4-834A-73A9FA2D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1135</Words>
  <Characters>6101</Characters>
  <Application>Microsoft Office Word</Application>
  <DocSecurity>0</DocSecurity>
  <Lines>119</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2018-04-27T14:15:00Z</cp:lastPrinted>
  <dcterms:created xsi:type="dcterms:W3CDTF">2019-06-09T12:02:00Z</dcterms:created>
  <dcterms:modified xsi:type="dcterms:W3CDTF">2019-06-11T12:04:00Z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