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6EFB55A-38C7-4E41-9454-57A81480BF84"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widowControl w:val="0"/>
        <w:shd w:val="clear" w:color="auto" w:fill="FFFFFF"/>
        <w:autoSpaceDE w:val="0"/>
        <w:autoSpaceDN w:val="0"/>
        <w:adjustRightInd w:val="0"/>
        <w:spacing w:before="230" w:after="0" w:line="269" w:lineRule="exact"/>
        <w:rPr>
          <w:noProof/>
          <w:color w:val="008000"/>
        </w:rPr>
      </w:pPr>
    </w:p>
    <w:p>
      <w:pPr>
        <w:pStyle w:val="Statut"/>
        <w:rPr>
          <w:noProof/>
        </w:rPr>
      </w:pPr>
      <w:r>
        <w:rPr>
          <w:noProof/>
        </w:rPr>
        <w:t>Препоръка за</w:t>
      </w:r>
    </w:p>
    <w:p>
      <w:pPr>
        <w:pStyle w:val="Typedudocument"/>
        <w:rPr>
          <w:noProof/>
        </w:rPr>
      </w:pPr>
      <w:r>
        <w:rPr>
          <w:noProof/>
        </w:rPr>
        <w:t>РЕШЕНИЕ НА СЪВЕТА</w:t>
      </w:r>
    </w:p>
    <w:p>
      <w:pPr>
        <w:pStyle w:val="Titreobjet"/>
        <w:rPr>
          <w:noProof/>
        </w:rPr>
      </w:pPr>
      <w:r>
        <w:rPr>
          <w:noProof/>
        </w:rPr>
        <w:t>с което се констатира, че Унгария не е предприела ефективни действия в отговор на препоръката на Съвета от 4 декември 2018 г.</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Регламент (ЕО) № 1466/97 на Съвета</w:t>
      </w:r>
      <w:r>
        <w:rPr>
          <w:rStyle w:val="FootnoteReference"/>
          <w:noProof/>
        </w:rPr>
        <w:footnoteReference w:id="2"/>
      </w:r>
      <w:r>
        <w:rPr>
          <w:noProof/>
        </w:rPr>
        <w:t>, и по-специално член 10, параграф 2, алинея 4 от него,</w:t>
      </w:r>
    </w:p>
    <w:p>
      <w:pPr>
        <w:rPr>
          <w:noProof/>
        </w:rPr>
      </w:pPr>
      <w:r>
        <w:rPr>
          <w:noProof/>
        </w:rPr>
        <w:t>като взе предвид препоръката на Европейската комисия,</w:t>
      </w:r>
    </w:p>
    <w:p>
      <w:pPr>
        <w:rPr>
          <w:noProof/>
        </w:rPr>
      </w:pPr>
      <w:r>
        <w:rPr>
          <w:noProof/>
        </w:rPr>
        <w:t xml:space="preserve">като има предвид, че: </w:t>
      </w:r>
    </w:p>
    <w:p>
      <w:pPr>
        <w:pStyle w:val="Point0number"/>
        <w:numPr>
          <w:ilvl w:val="0"/>
          <w:numId w:val="9"/>
        </w:numPr>
        <w:rPr>
          <w:noProof/>
        </w:rPr>
      </w:pPr>
      <w:r>
        <w:rPr>
          <w:noProof/>
        </w:rPr>
        <w:t>На 22 юни 2018 г. Съветът реши, в съответствие с член 121, параграф 4 от Договора за функционирането на Европейския съюз („ДФЕС“), че в Унгария съществува значително отклонение от плана за корекции за постигане на средносрочната бюджетна цел от -1,5 % от БВП. С оглед на установеното значително отклонение, на 22 юни 2018 г. Съветът отправи препоръка</w:t>
      </w:r>
      <w:r>
        <w:rPr>
          <w:rStyle w:val="FootnoteReference"/>
          <w:noProof/>
        </w:rPr>
        <w:footnoteReference w:id="3"/>
      </w:r>
      <w:r>
        <w:rPr>
          <w:noProof/>
        </w:rPr>
        <w:t xml:space="preserve"> към Унгария да предприеме необходимите мерки, за да гарантира, че номиналният темп на растеж на нетните първични държавни разходи</w:t>
      </w:r>
      <w:r>
        <w:rPr>
          <w:rStyle w:val="FootnoteReference"/>
          <w:noProof/>
        </w:rPr>
        <w:footnoteReference w:id="4"/>
      </w:r>
      <w:r>
        <w:rPr>
          <w:noProof/>
        </w:rPr>
        <w:t xml:space="preserve"> няма да надвиши 2,8 % през 2018 г., което съответства на годишна корекция на структурното салдо в размер на 1,0 % от БВП.</w:t>
      </w:r>
    </w:p>
    <w:p>
      <w:pPr>
        <w:pStyle w:val="Point0number"/>
        <w:numPr>
          <w:ilvl w:val="0"/>
          <w:numId w:val="9"/>
        </w:numPr>
        <w:rPr>
          <w:noProof/>
        </w:rPr>
      </w:pPr>
      <w:r>
        <w:rPr>
          <w:noProof/>
        </w:rPr>
        <w:t>На 4 декември 2018 г. Съветът стигна до заключението, че Унгария не е предприела ефективни действия в отговор на препоръката на Съвета от 22 юни 2018 г. Въз основа на това на 4 декември 2018 г. Съветът издаде преразгледана препоръка за това Унгария да предприеме необходимите мерки, за да гарантира, че номиналният темп на растеж на нетните първични държавни разходи не надвишава 3,3 % през 2019 г., което съответства на годишна корекция на структурното салдо в размер на 1,0 % от БВП</w:t>
      </w:r>
      <w:r>
        <w:rPr>
          <w:rStyle w:val="FootnoteReference"/>
          <w:noProof/>
        </w:rPr>
        <w:footnoteReference w:id="5"/>
      </w:r>
      <w:r>
        <w:rPr>
          <w:noProof/>
        </w:rPr>
        <w:t xml:space="preserve">. Той също така препоръча на Унгария да използва всички извънредни приходи за намаляване на своя дефицит, а мерките за бюджетна консолидация следва да гарантират трайно подобрение на структурното салдо по консолидирания държавен бюджет по начин, който благоприятства икономическия растеж. Съветът определи краен срок до 15 април 2019 г., в който Унгария да докладва относно действията, предприети в отговор на препоръката. </w:t>
      </w:r>
    </w:p>
    <w:p>
      <w:pPr>
        <w:pStyle w:val="Point0number"/>
        <w:numPr>
          <w:ilvl w:val="0"/>
          <w:numId w:val="9"/>
        </w:numPr>
        <w:rPr>
          <w:noProof/>
        </w:rPr>
      </w:pPr>
      <w:r>
        <w:rPr>
          <w:noProof/>
        </w:rPr>
        <w:t>На 20 март 2019 г. Комисията проведе мисия за засилено наблюдение в Унгария с цел да извърши мониторинг на място съгласно член 11, параграф 2 от Регламент (ЕО) № 1466/97 на Съвета. След като изпрати предварителните си заключения на унгарските органи за коментар, Комисията докладва за тях на Съвета на 5 юни 2019 г. Впоследствие тези заключения бяха оповестени публично. В доклада на Комисията се установява, че унгарските органи не планират да предприемат действия по препоръката на Съвета от 4 декември 2018 г. По време на мисията органите потвърдиха, че тяхната бюджетна цел за 2019 г. остава номинален дефицит от 1,8 %, както е включен в приетия през юли 2018 г. бюджет за 2019 г., въпреки по-благоприятния макроикономически сценарий и по-добрите от очакваните резултати за бюджета за 2018 г.</w:t>
      </w:r>
    </w:p>
    <w:p>
      <w:pPr>
        <w:pStyle w:val="Point0number"/>
        <w:numPr>
          <w:ilvl w:val="0"/>
          <w:numId w:val="9"/>
        </w:numPr>
        <w:rPr>
          <w:noProof/>
        </w:rPr>
      </w:pPr>
      <w:r>
        <w:rPr>
          <w:noProof/>
        </w:rPr>
        <w:t xml:space="preserve">На 15 април 2019 г. унгарските органи предадоха доклад за предприетите действия в отговор на препоръката на Съвета от 4 декември 2018 г. В доклада органите отново заявиха, че тяхната цел за 2019 г. остава номинален дефицит от 1,8 % от БВП през 2019 г., 0,4 процентни пункта намаление на БВП в сравнение с резултатите за 2018 г. Докладът не съдържа никакви планове за съобразяване с препоръчаната от Съвета фискална корекция. В допълнение, широкият спектър от икономически програми с фискално въздействие, изброени в доклада, остават до голяма степен неостойностени; докладът също така не включва бюджетни прогнози за 2019 г. По този начин докладът не отговаря на изискването за докладване на Съвета. Подобрението на основния структурен дефицит е значително по-малко от изискването, посочено в препоръката на Съвета. </w:t>
      </w:r>
    </w:p>
    <w:p>
      <w:pPr>
        <w:pStyle w:val="Point0number"/>
        <w:rPr>
          <w:noProof/>
        </w:rPr>
      </w:pPr>
      <w:r>
        <w:rPr>
          <w:noProof/>
        </w:rPr>
        <w:t xml:space="preserve">Въз основа на прогнозата на Комисията от пролетта на 2019 г., публикувана на 7 май 2019 г., растежът на нетните първични разходи се очаква да възлезе на 6,5 % през 2019 г., което е значително над препоръчаната стойност от 3,3 %. Структурното салдо се очаква да се подобри с 0,4 % от БВП спрямо 2018 г., което е под препоръчаното подобрение от 1,0 % от БВП. Следователно и двата показателя сочат отклонение от препоръчаната корекция. Разликата в целевия показател за разходите възлиза на 1,2 % от БВП. Разликата в структурното салдо е малко по-малка — 0,6 % от БВП. Структурното салдо е повлияно отрицателно от неизпълнението на някои приходи. Отчитането на целевия показател за разходите е засегнато много неблагоприятно от средносрочния потенциален темп на растеж на БВП, прилаган в изчислението му, който включва много нисък потенциален темп на растеж на БВП в периода след кризата. Освен това дефлаторът на БВП в основата на целевия показател за разходите не изглежда добре съобразен с нарастващия натиск върху разходите, което засяга държавните разходи. След коригирането му, за да бъдат отчетени тези фактори, целевият показател за разходите изглежда отразява адекватно структурната корекция, но все още сочи отклонение от препоръчаната корекция. </w:t>
      </w:r>
    </w:p>
    <w:p>
      <w:pPr>
        <w:pStyle w:val="Point0number"/>
        <w:rPr>
          <w:noProof/>
        </w:rPr>
      </w:pPr>
      <w:r>
        <w:rPr>
          <w:noProof/>
        </w:rPr>
        <w:t xml:space="preserve">След прогнозата на Комисията от есента на 2018 г., на която се основаваше препоръката на Съвета от 4 декември 2018 г., унгарските органи обявиха нови експанзионистични мерки по отношение на разходите. Освен това след по-бързото от очакваното нарастване на заплатите в публичния сектор през 2018 г., от есента на 2018 г. насам бяха обявени нови увеличения на заплатите за някои категории. И накрая, по-високите резерви в бюджета, с изричното намерение на правителството да ги изчерпа напълно до края на годината, допринесоха за прогнозите за разходите за 2019 г. В резултат на това отклонението от целевия показател за разходите се очаква да бъде значително по-голямо от отклонението, установено в оценката, извършена през есента на 2018 г. </w:t>
      </w:r>
    </w:p>
    <w:p>
      <w:pPr>
        <w:pStyle w:val="Point0number"/>
        <w:rPr>
          <w:noProof/>
        </w:rPr>
      </w:pPr>
      <w:r>
        <w:rPr>
          <w:noProof/>
        </w:rPr>
        <w:t>Това води до заключението, че действията, предприети от Унгария в отговор на препоръката на Съвета от 4 декември 2018 г., са недостатъчни. Структурната корекция не е достатъчна, за да гарантира, че номиналният темп на растеж на нетните първични държавни разходи не надвишава 3,3 % през 2019 г., което съответства на годишна корекция на структурното салдо от 1,0 % от БВП,</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bookmarkStart w:id="1" w:name="_CopyToNewDocument_"/>
      <w:bookmarkEnd w:id="1"/>
      <w:r>
        <w:rPr>
          <w:noProof/>
        </w:rPr>
        <w:t>Унгария не е предприела ефективни действия в отговор на препоръката на Съвета от 4 декември 2018 г.</w:t>
      </w:r>
    </w:p>
    <w:p>
      <w:pPr>
        <w:pStyle w:val="Titrearticle"/>
        <w:rPr>
          <w:noProof/>
        </w:rPr>
      </w:pPr>
      <w:r>
        <w:rPr>
          <w:noProof/>
        </w:rPr>
        <w:t>Член 2</w:t>
      </w:r>
    </w:p>
    <w:p>
      <w:pPr>
        <w:keepNext/>
        <w:keepLines/>
        <w:rPr>
          <w:noProof/>
        </w:rPr>
      </w:pPr>
      <w:r>
        <w:rPr>
          <w:noProof/>
        </w:rPr>
        <w:t>Адресат на настоящото решение е Унгария.</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tab/>
        <w:t>ОВ L 209, 2.8.1997 г., стр. 1.</w:t>
      </w:r>
    </w:p>
  </w:footnote>
  <w:footnote w:id="3">
    <w:p>
      <w:pPr>
        <w:pStyle w:val="FootnoteText"/>
      </w:pPr>
      <w:r>
        <w:rPr>
          <w:rStyle w:val="FootnoteReference"/>
        </w:rPr>
        <w:footnoteRef/>
      </w:r>
      <w:r>
        <w:tab/>
        <w:t>ОВ С 223, 27.6.2018 г., стр. 1.</w:t>
      </w:r>
    </w:p>
  </w:footnote>
  <w:footnote w:id="4">
    <w:p>
      <w:pPr>
        <w:pStyle w:val="FootnoteText"/>
      </w:pPr>
      <w:r>
        <w:rPr>
          <w:rStyle w:val="FootnoteReference"/>
        </w:rPr>
        <w:footnoteRef/>
      </w:r>
      <w:r>
        <w:tab/>
        <w:t>Нетните първични държавни разходи включват общите държавни разходи без разходите за лихви, разходите по програми на Съюза, които изцяло се покриват от приходи от средства на Съюза, и недискреционни промени в разходите за обезщетения при безработица. Бруто образуването на основен капитал, финансирано от държавата, се изглажда за 4-годишен период.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5">
    <w:p>
      <w:pPr>
        <w:pStyle w:val="FootnoteText"/>
        <w:rPr>
          <w:lang w:val="fr-BE"/>
        </w:rPr>
      </w:pPr>
      <w:r>
        <w:rPr>
          <w:rStyle w:val="FootnoteReference"/>
        </w:rPr>
        <w:footnoteRef/>
      </w:r>
      <w:r>
        <w:tab/>
        <w:t>ОВ С 460, 21.12.2018 г., стр.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9: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6EFB55A-38C7-4E41-9454-57A81480BF84"/>
    <w:docVar w:name="LW_COVERPAGE_TYPE" w:val="1"/>
    <w:docVar w:name="LW_CROSSREFERENCE" w:val="{SWD(2019) 534 final}"/>
    <w:docVar w:name="LW_DocType" w:val="COM"/>
    <w:docVar w:name="LW_EMISSION" w:val="5.6.2019"/>
    <w:docVar w:name="LW_EMISSION_ISODATE" w:val="2019-06-05"/>
    <w:docVar w:name="LW_EMISSION_LOCATION" w:val="BRX"/>
    <w:docVar w:name="LW_EMISSION_PREFIX" w:val="Брюксел,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87?\u1086?\u1088?\u1098?\u1082?\u1072? \u1079?\u1072?"/>
    <w:docVar w:name="LW_SUPERTITRE" w:val="&lt;UNUSED&gt;"/>
    <w:docVar w:name="LW_TITRE.OBJ.CP" w:val="\u1089? \u1082?\u1086?\u1077?\u1090?\u1086? \u1089?\u1077? \u1082?\u1086?\u1085?\u1089?\u1090?\u1072?\u1090?\u1080?\u1088?\u1072?, \u1095?\u1077? \u1059?\u1085?\u1075?\u1072?\u1088?\u1080?\u1103? \u1085?\u1077? \u1077? \u1087?\u1088?\u1077?\u1076?\u1087?\u1088?\u1080?\u1077?\u1083?\u1072? \u1077?\u1092?\u1077?\u1082?\u1090?\u1080?\u1074?\u1085?\u1080? \u1076?\u1077?\u1081?\u1089?\u1090?\u1074?\u1080?\u1103? \u1074? \u1086?\u1090?\u1075?\u1086?\u1074?\u1086?\u1088? \u1085?\u1072? \u1087?\u1088?\u1077?\u1087?\u1086?\u1088?\u1098?\u1082?\u1072?\u1090?\u1072? \u1085?\u1072? \u1057?\u1098?\u1074?\u1077?\u1090?\u1072? \u1086?\u1090? 4 \u1076?\u1077?\u1082?\u1077?\u1084?\u1074?\u1088?\u1080? 2018 \u107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9365-BD73-473B-B330-58B5769A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982</Words>
  <Characters>5195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2018-10-29T15:49:00Z</cp:lastPrinted>
  <dcterms:created xsi:type="dcterms:W3CDTF">2019-06-06T11:49:00Z</dcterms:created>
  <dcterms:modified xsi:type="dcterms:W3CDTF">2019-06-11T12:49:00Z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