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3BD818BB-A4F3-4553-A083-7FFC48EEF494" style="width:450.75pt;height:379.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 xml:space="preserve">u cilju ispravljanja uočenog značajnog odstupanja od kretanja prilagodbe prema ostvarenju srednjoročnog proračunskog cilja </w:t>
      </w:r>
      <w:r>
        <w:rPr>
          <w:noProof/>
        </w:rPr>
        <w:br/>
      </w:r>
      <w:r>
        <w:rPr>
          <w:noProof/>
        </w:rPr>
        <w:br/>
        <w:t>u Mađarskoj</w:t>
      </w:r>
    </w:p>
    <w:p>
      <w:pPr>
        <w:pStyle w:val="Institutionquiagit"/>
        <w:rPr>
          <w:noProof/>
        </w:rPr>
      </w:pPr>
      <w:r>
        <w:rPr>
          <w:noProof/>
        </w:rPr>
        <w:t>VIJEĆE EUROPSKE UNIJE,</w:t>
      </w:r>
    </w:p>
    <w:p>
      <w:pPr>
        <w:rPr>
          <w:noProof/>
        </w:rPr>
      </w:pPr>
      <w:r>
        <w:rPr>
          <w:noProof/>
        </w:rPr>
        <w:t>uzimajući u obzir Ugovor o funkcioniranju Europske unije, a posebno njegov članak 121.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2"/>
      </w:r>
      <w:r>
        <w:rPr>
          <w:noProof/>
        </w:rPr>
        <w:t>, a posebno njezin članak 10. stavak 2. drugi podstavak,</w:t>
      </w:r>
    </w:p>
    <w:p>
      <w:pPr>
        <w:tabs>
          <w:tab w:val="num" w:pos="709"/>
        </w:tabs>
        <w:rPr>
          <w:noProof/>
        </w:rPr>
      </w:pPr>
      <w:r>
        <w:rPr>
          <w:noProof/>
        </w:rPr>
        <w:t>uzimajući u obzir preporuku Europske komisije,</w:t>
      </w:r>
    </w:p>
    <w:p>
      <w:pPr>
        <w:tabs>
          <w:tab w:val="num" w:pos="709"/>
        </w:tabs>
        <w:rPr>
          <w:noProof/>
        </w:rPr>
      </w:pPr>
      <w:r>
        <w:rPr>
          <w:noProof/>
        </w:rPr>
        <w:t>budući da:</w:t>
      </w:r>
    </w:p>
    <w:p>
      <w:pPr>
        <w:pStyle w:val="ManualConsidrant"/>
        <w:rPr>
          <w:noProof/>
        </w:rPr>
      </w:pPr>
      <w:r>
        <w:rPr>
          <w:noProof/>
        </w:rPr>
        <w:t>(1)</w:t>
      </w:r>
      <w:r>
        <w:rPr>
          <w:noProof/>
        </w:rPr>
        <w:tab/>
        <w:t>U skladu s člankom 121. Ugovora države članice trebaju promicati zdrave javne financije u srednjoročnom razdoblju koordinacijom ekonomskih politika i multilateralnim nadzorom kako bi se izbjegli prekomjerni državni deficiti.</w:t>
      </w:r>
    </w:p>
    <w:p>
      <w:pPr>
        <w:pStyle w:val="ManualConsidrant"/>
        <w:rPr>
          <w:noProof/>
        </w:rPr>
      </w:pPr>
      <w:r>
        <w:rPr>
          <w:noProof/>
        </w:rPr>
        <w:t>(2)</w:t>
      </w:r>
      <w:r>
        <w:rPr>
          <w:noProof/>
        </w:rPr>
        <w:tab/>
        <w:t>Pakt o stabilnosti i rastu temelji se na cilju zdravih državnih financija kao sredstvu jačanja uvjeta za stabilnost cijena i snažan održiv rast koji dovodi do otvaranja novih radnih mjesta.</w:t>
      </w:r>
    </w:p>
    <w:p>
      <w:pPr>
        <w:pStyle w:val="ManualConsidrant"/>
        <w:rPr>
          <w:noProof/>
        </w:rPr>
      </w:pPr>
      <w:r>
        <w:rPr>
          <w:noProof/>
        </w:rPr>
        <w:t>(3)</w:t>
      </w:r>
      <w:r>
        <w:rPr>
          <w:noProof/>
        </w:rPr>
        <w:tab/>
        <w:t>Vijeće je 22. lipnja 2018. u skladu s člankom 121. stavkom 4. Ugovora zaključilo da je u Mađarskoj u 2017. zabilježeno značajno odstupanje deficita opće države od srednjoročnog proračunskog cilja od 1,0 % BDP-a u strukturnom smislu. S obzirom na utvrđeno značajno odstupanje Vijeće je 22. lipnja 2018. preporučilo Mađarskoj</w:t>
      </w:r>
      <w:r>
        <w:rPr>
          <w:rStyle w:val="FootnoteReference"/>
          <w:noProof/>
        </w:rPr>
        <w:footnoteReference w:id="3"/>
      </w:r>
      <w:r>
        <w:rPr>
          <w:noProof/>
        </w:rPr>
        <w:t xml:space="preserve"> da poduzme potrebne mjere kako bi osigurala da stopa nominalnog rasta neto primarnih državnih rashoda</w:t>
      </w:r>
      <w:r>
        <w:rPr>
          <w:rStyle w:val="FootnoteReference"/>
          <w:noProof/>
        </w:rPr>
        <w:footnoteReference w:id="4"/>
      </w:r>
      <w:r>
        <w:rPr>
          <w:noProof/>
        </w:rPr>
        <w:t xml:space="preserve"> u 2018. ne premaši 2,8 %, što odgovara godišnjoj strukturnoj prilagodbi od 1,0 % BDP-a. Preporučilo je i da Mađarska upotrijebi sve neočekivane prihode za smanjenje deficita, što bi joj omogućilo da započne s potrebnom prilagodbom u cilju ostvarenja srednjoročnog proračunskog cilja. Vijeće je 4. prosinca 2018. zaključilo da Mađarska nije poduzela učinkovito djelovanje kao odgovor na Preporuku Vijeća od 22. lipnja 2018. Stoga je Vijeće 4. prosinca 2018. Mađarskoj uputilo revidiranu preporuku da poduzme potrebne mjere kako bi osigurala da stopa nominalnog rasta neto primarnih državnih rashoda u 2019. ne bude veća od 3,3 %, što odgovara godišnjoj strukturnoj prilagodbi od 1,0 % BDP-a.</w:t>
      </w:r>
    </w:p>
    <w:p>
      <w:pPr>
        <w:pStyle w:val="ManualConsidrant"/>
        <w:rPr>
          <w:noProof/>
        </w:rPr>
      </w:pPr>
      <w:r>
        <w:rPr>
          <w:noProof/>
        </w:rPr>
        <w:t>(4)</w:t>
      </w:r>
      <w:r>
        <w:rPr>
          <w:noProof/>
        </w:rPr>
        <w:tab/>
        <w:t>Na temelju Komisijine proljetne prognoze 2019. i stvarnih podataka za 2018. koje je potvrdio Eurostat, rast neto primarnih državnih rashoda u 2018. bio je daleko veći od referentnog mjerila za rashode, što upućuje na značajno odstupanje (odstupanje od 1,3 % BDP-a). Strukturni saldo pogoršao se s –3,4 % BDP-a iz 2017. na –3,7 % BDP-a, što također upućuje na značajno odstupanje od preporučene strukturne prilagodbe (odstupanje od 1,3 % BDP-a). Na razinu odstupanja na koju upućuje strukturni saldo negativno utječe znatan manjak prihoda te viši rashodi za ulaganja u uvjetima pregrijavanja gospodarstva, dok se procjenjuje da su niži rashodi za kamate imali blago pozitivan učinak. Na referentno mjerilo za rashode snažno negativno utječe srednjoročni rast potencijalnog BDP-a upotrijebljen pri njegovu izračunu, a koji uključuje vrlo nizak rast potencijalnog BDP-a u razdoblju nakon krize. Osim toga, čini se da deflator BDP-a na kojem se temelji referentno mjerilo za rashode ne odražava primjereno povećane troškovne pritiske koji utječu na državnu potrošnju. Nakon prilagodbe tih čimbenika, čini se da referentno mjerilo za rashode primjereno odražava fiskalni napor te i dalje upućuje na značajno odstupanje. Uzimajući u obzir te čimbenike, oba pokazatelja potvrđuju značajno odstupanje od zahtjevâ preventivnog dijela Pakta o stabilnosti i rastu u 2018.</w:t>
      </w:r>
    </w:p>
    <w:p>
      <w:pPr>
        <w:pStyle w:val="ManualConsidrant"/>
        <w:rPr>
          <w:noProof/>
        </w:rPr>
      </w:pPr>
      <w:r>
        <w:rPr>
          <w:noProof/>
        </w:rPr>
        <w:t>(5)</w:t>
      </w:r>
      <w:r>
        <w:rPr>
          <w:noProof/>
        </w:rPr>
        <w:tab/>
        <w:t xml:space="preserve">Komisija je 5. lipnja 2019. nakon sveobuhvatne ocjene zaključila da je u Mađarskoj zabilježeno značajno odstupanje od kretanja prilagodbe prema ostvarenju srednjoročnog proračunskog cilja te je Mađarskoj uputila upozorenje u skladu s člankom 121. stavkom 4. Ugovora i člankom 10. stavkom 2. prvim podstavkom Uredbe (EZ) br. 1466/97. </w:t>
      </w:r>
    </w:p>
    <w:p>
      <w:pPr>
        <w:pStyle w:val="ManualConsidrant"/>
        <w:rPr>
          <w:noProof/>
        </w:rPr>
      </w:pPr>
      <w:r>
        <w:rPr>
          <w:noProof/>
        </w:rPr>
        <w:t>(6)</w:t>
      </w:r>
      <w:r>
        <w:rPr>
          <w:noProof/>
        </w:rPr>
        <w:tab/>
        <w:t xml:space="preserve">U skladu s člankom 10. stavkom 2. drugim podstavkom Uredbe (EZ) br. 1466/97, Vijeće treba, u roku od mjesec dana od dana donošenja upozorenja, dotičnoj državi članici uputiti preporuku za poduzimanje potrebnih mjera politike. Uredba (EZ) br. 1466/97 predviđa da se u preporuci odredi rok od najdulje pet mjeseci za rješavanje problema odstupanja. U skladu s time čini se da je rok 15. listopada 2019. primjeren kako bi Mađarska riješila problem odstupanja. U tom bi roku Mađarska trebala podnijeti izvješće o mjerama poduzetima kao odgovor na ovu Preporuku. </w:t>
      </w:r>
    </w:p>
    <w:p>
      <w:pPr>
        <w:pStyle w:val="ManualConsidrant"/>
        <w:rPr>
          <w:noProof/>
        </w:rPr>
      </w:pPr>
      <w:r>
        <w:rPr>
          <w:noProof/>
        </w:rPr>
        <w:t>(7)</w:t>
      </w:r>
      <w:r>
        <w:rPr>
          <w:noProof/>
        </w:rPr>
        <w:tab/>
        <w:t>Na temelju projekcija jaza outputa iz Komisijine proljetne prognoze 2019., Mađarska će se u 2019. i 2020. i dalje nalaziti u dobroj ekonomskoj situaciji. Dok bi u 2019. realni BDP prema procjenama trebao rasti u skladu s potencijalnim BDP-om (3,7 %), predviđa se da će u 2020. rast realnog BDP-a (2,8 %) biti niži od potencijala rasta (3,6 %). Udio duga opće države u Mađarskoj veći je od granične vrijednosti od 60 % BDP-a. Stoga minimalni potrebni strukturni napor propisan Uredbom (EZ) br. 1466/97 i zajednički dogovorenom matricom prilagodbe iz preventivnog dijela Pakta o stabilnosti i rastu, u kojem se u obzir uzimaju prevladavajuće ekonomske okolnosti i mogući problemi u pogledu održivosti, i za 2019. i za 2020. iznosi najmanje 0,75 % BDP-a.</w:t>
      </w:r>
    </w:p>
    <w:p>
      <w:pPr>
        <w:pStyle w:val="ManualConsidrant"/>
        <w:rPr>
          <w:noProof/>
        </w:rPr>
      </w:pPr>
      <w:r>
        <w:rPr>
          <w:noProof/>
        </w:rPr>
        <w:t>(8)</w:t>
      </w:r>
      <w:r>
        <w:rPr>
          <w:noProof/>
        </w:rPr>
        <w:tab/>
        <w:t xml:space="preserve">Strukturni deficit Mađarske povećao se za 1,4 % BDP-a u 2017. i za 0,3 % BDP-a u 2018. na 3,7 % BDP-a u 2018. U Komisijinoj proljetnoj prognozi 2019. predviđa se da će se on od 2019. smanjivati. Zahtjev za minimalnu prilagodbu u 2019. trebao bi biti popraćen dodatnim naporom koji je potreban za ispravljanje kumuliranih odstupanja i nastavak primjerene konsolidacije nakon odstupanja zabilježenih od 2017. S obzirom na razmjer uočenog značajnog odstupanja od preporučenog kretanja prilagodbe prema ostvarenju srednjoročnog cilja čini se primjerenim dodatni napor od 0,25 % BDP-a u 2019. u odnosu na onaj koji proizlazi iz zajednički dogovorene matrice prilagodbe iz preventivnog dijela Pakta o stabilnosti i rastu, čime će se ubrzati prilagodba prema ostvarenju srednjoročnog proračunskog cilja. Potreban napor za 2019. u skladu je s prilagodbom koju je preporučilo Vijeće 4. prosinca 2018. Za 2020. čini se primjerenim minimalni zahtjev prilagodbe od 0,75 % BDP-a pod uvjetom da se ostvari potrebna prilagodba u 2019. </w:t>
      </w:r>
    </w:p>
    <w:p>
      <w:pPr>
        <w:pStyle w:val="ManualConsidrant"/>
        <w:rPr>
          <w:noProof/>
        </w:rPr>
      </w:pPr>
      <w:r>
        <w:rPr>
          <w:noProof/>
        </w:rPr>
        <w:t>(9)</w:t>
      </w:r>
      <w:r>
        <w:rPr>
          <w:noProof/>
        </w:rPr>
        <w:tab/>
        <w:t>Potrebno poboljšanje strukturnog salda za 1,0 % BDP-a u 2019. i 0,75 % BDP-a u 2020. odgovara stopi nominalnog rasta neto primarnih državnih rashoda koja ne bi smjela biti veća od 3,3 % u 2019. i 4,7 % u 2020.</w:t>
      </w:r>
    </w:p>
    <w:p>
      <w:pPr>
        <w:pStyle w:val="ManualConsidrant"/>
        <w:rPr>
          <w:noProof/>
        </w:rPr>
      </w:pPr>
      <w:r>
        <w:rPr>
          <w:noProof/>
        </w:rPr>
        <w:t>(10)</w:t>
      </w:r>
      <w:r>
        <w:rPr>
          <w:noProof/>
        </w:rPr>
        <w:tab/>
        <w:t xml:space="preserve">U Komisijinoj proljetnoj prognozi 2019. predviđa se poboljšanje strukturnog salda za 0,4 % BDP-a u 2019. i za još 0,6 % BDP-a u 2020. Stoga, strukturno poboljšanje od 1,0 % BDP-a u 2019. i 0,75 % u 2020. znači da je potrebno donijeti strukturne mjere u ukupnoj vrijednosti od 0,6 % BDP-a u 2019. i dodatne strukturne mjere u ukupnoj vrijednosti od 0,2 % BDP-a u 2020. u usporedbi s postojećim osnovnim scenarijem iz Komisijine proljetne prognoze 2019. </w:t>
      </w:r>
    </w:p>
    <w:p>
      <w:pPr>
        <w:pStyle w:val="ManualConsidrant"/>
        <w:rPr>
          <w:noProof/>
        </w:rPr>
      </w:pPr>
      <w:r>
        <w:rPr>
          <w:noProof/>
        </w:rPr>
        <w:t>(11)</w:t>
      </w:r>
      <w:r>
        <w:rPr>
          <w:noProof/>
        </w:rPr>
        <w:tab/>
        <w:t xml:space="preserve">Budući da nije djelovala na temelju prethodnih preporuka za ispravljanje značajnog uočenog odstupanja, potrebno je hitno djelovati kako bi se u Mađarskoj ponovno počela provoditi razborita fiskalna politika. </w:t>
      </w:r>
    </w:p>
    <w:p>
      <w:pPr>
        <w:pStyle w:val="ManualConsidrant"/>
        <w:rPr>
          <w:noProof/>
        </w:rPr>
      </w:pPr>
      <w:r>
        <w:rPr>
          <w:noProof/>
        </w:rPr>
        <w:t>(12)</w:t>
      </w:r>
      <w:r>
        <w:rPr>
          <w:noProof/>
        </w:rPr>
        <w:tab/>
        <w:t xml:space="preserve">Radi ostvarenja preporučenih proračunskih ciljeva, ključno je da Mađarska donese i strogo provede potrebne mjere te pomno prati kretanja tekućih rashoda. </w:t>
      </w:r>
    </w:p>
    <w:p>
      <w:pPr>
        <w:pStyle w:val="ManualConsidrant"/>
        <w:rPr>
          <w:noProof/>
        </w:rPr>
      </w:pPr>
      <w:r>
        <w:rPr>
          <w:noProof/>
        </w:rPr>
        <w:t>(13)</w:t>
      </w:r>
      <w:r>
        <w:rPr>
          <w:noProof/>
        </w:rPr>
        <w:tab/>
        <w:t>Mađarska bi trebala Vijeću do 15. listopada 2019. podnijeti izvješće o djelovanju poduzetom kao odgovor na ovu Preporuku.</w:t>
      </w:r>
    </w:p>
    <w:p>
      <w:pPr>
        <w:pStyle w:val="ManualConsidrant"/>
        <w:rPr>
          <w:noProof/>
        </w:rPr>
      </w:pPr>
      <w:r>
        <w:rPr>
          <w:noProof/>
        </w:rPr>
        <w:t>(14)</w:t>
      </w:r>
      <w:r>
        <w:rPr>
          <w:noProof/>
        </w:rPr>
        <w:tab/>
        <w:t>Primjereno je javno objaviti ovu Preporuku,</w:t>
      </w:r>
    </w:p>
    <w:p>
      <w:pPr>
        <w:pStyle w:val="Formuledadoption"/>
        <w:spacing w:before="240"/>
        <w:rPr>
          <w:noProof/>
        </w:rPr>
      </w:pPr>
      <w:r>
        <w:rPr>
          <w:noProof/>
        </w:rPr>
        <w:t>PREPORUČUJE DA MAĐARSKA:</w:t>
      </w:r>
    </w:p>
    <w:p>
      <w:pPr>
        <w:pStyle w:val="Point0number"/>
        <w:numPr>
          <w:ilvl w:val="0"/>
          <w:numId w:val="1"/>
        </w:numPr>
        <w:rPr>
          <w:noProof/>
        </w:rPr>
      </w:pPr>
      <w:r>
        <w:rPr>
          <w:noProof/>
        </w:rPr>
        <w:t>poduzme potrebne mjere kako bi osigurala da stopa nominalnog rasta neto primarnih državnih rashoda ne bude veća od 3,3 % u 2019. i od 4,7 % u 2020., što odgovara godišnjoj strukturnoj prilagodbi od 1,0 % BDP-a u 2019. i 0,75 % BDP-a u 2020., čime se ostvaruje primjereno kretanje prilagodbe prema ostvarenju srednjoročnog proračunskog cilja;</w:t>
      </w:r>
    </w:p>
    <w:p>
      <w:pPr>
        <w:pStyle w:val="Point0number"/>
        <w:rPr>
          <w:noProof/>
        </w:rPr>
      </w:pPr>
      <w:r>
        <w:rPr>
          <w:noProof/>
        </w:rPr>
        <w:t>iskoristi sve neočekivane prihode za smanjenje deficita; mjerama konsolidacije proračuna trebalo bi osigurati trajno poboljšanje strukturnog salda opće države na način kojim se potiče rast;</w:t>
      </w:r>
    </w:p>
    <w:p>
      <w:pPr>
        <w:pStyle w:val="Point0number"/>
        <w:rPr>
          <w:noProof/>
        </w:rPr>
      </w:pPr>
      <w:r>
        <w:rPr>
          <w:noProof/>
        </w:rPr>
        <w:t>Vijeću do 15. listopada 2019. podnese izvješće o djelovanju poduzetom kao odgovor na ovu preporuku; u izvješću je potrebno navesti dovoljno određene i vjerodostojno najavljene mjere za ostvarenje potrebnog kretanja prilagodbe, uključujući njihov učinak na proračun, te ažurirane i detaljne proračunske projekcije za razdoblje 2019.–2020.</w:t>
      </w:r>
    </w:p>
    <w:p>
      <w:pPr>
        <w:rPr>
          <w:noProof/>
        </w:rPr>
      </w:pPr>
      <w:r>
        <w:rPr>
          <w:noProof/>
        </w:rPr>
        <w:t>Ova je preporuka upućena Mađarskoj.</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SL L 209, 2.8.1997., str. 1.</w:t>
      </w:r>
    </w:p>
  </w:footnote>
  <w:footnote w:id="3">
    <w:p>
      <w:pPr>
        <w:pStyle w:val="FootnoteText"/>
        <w:ind w:left="284" w:hanging="284"/>
      </w:pPr>
      <w:r>
        <w:rPr>
          <w:rStyle w:val="FootnoteReference"/>
        </w:rPr>
        <w:footnoteRef/>
      </w:r>
      <w:r>
        <w:tab/>
        <w:t>SL C 223, 27.6.2018., str. 1.</w:t>
      </w:r>
    </w:p>
  </w:footnote>
  <w:footnote w:id="4">
    <w:p>
      <w:pPr>
        <w:pStyle w:val="FootnoteText"/>
        <w:ind w:left="284" w:hanging="284"/>
      </w:pPr>
      <w:r>
        <w:rPr>
          <w:rStyle w:val="FootnoteReference"/>
        </w:rPr>
        <w:footnoteRef/>
      </w:r>
      <w:r>
        <w:tab/>
        <w:t>Neto primarni državni rashodi sastoje se od ukupnih državnih rashoda bez rashoda za kamate, rashoda za programe Unije koji su u cijelosti usklađeni s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5:08: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BD818BB-A4F3-4553-A083-7FFC48EEF494"/>
    <w:docVar w:name="LW_COVERPAGE_TYPE" w:val="1"/>
    <w:docVar w:name="LW_CROSSREFERENCE" w:val="{SWD(2019) 534 final}"/>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poruka za"/>
    <w:docVar w:name="LW_SUPERTITRE" w:val="&lt;UNUSED&gt;"/>
    <w:docVar w:name="LW_TITRE.OBJ.CP" w:val="u cilju ispravljanja uo\u269?enog zna\u269?ajnog odstupanja od kretanja prilagodbe prema ostvarenju srednjoro\u269?nog prora\u269?unskog cilja _x000b__x000b_u Ma\u273?arskoj"/>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50A6-5A39-49C1-9D33-2B1F47E6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1276</Words>
  <Characters>7075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2018-10-29T15:56:00Z</cp:lastPrinted>
  <dcterms:created xsi:type="dcterms:W3CDTF">2019-06-07T12:53:00Z</dcterms:created>
  <dcterms:modified xsi:type="dcterms:W3CDTF">2019-06-11T13:08:00Z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