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9718310-4013-41BF-BA48-AF9983B7715C" style="width:450.75pt;height:379.5pt">
            <v:imagedata r:id="rId9" o:title=""/>
          </v:shape>
        </w:pict>
      </w:r>
    </w:p>
    <w:p>
      <w:pPr>
        <w:rPr>
          <w:noProof/>
          <w:highlight w:val="yellow"/>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pBdr>
          <w:top w:val="nil"/>
          <w:left w:val="nil"/>
          <w:bottom w:val="nil"/>
          <w:right w:val="nil"/>
          <w:between w:val="nil"/>
          <w:bar w:val="nil"/>
        </w:pBdr>
        <w:spacing w:before="0" w:after="240"/>
        <w:rPr>
          <w:rFonts w:eastAsia="Arial Unicode MS"/>
          <w:noProof/>
        </w:rPr>
      </w:pPr>
    </w:p>
    <w:p>
      <w:pPr>
        <w:pStyle w:val="Statut"/>
        <w:rPr>
          <w:noProof/>
        </w:rPr>
      </w:pPr>
      <w:r>
        <w:rPr>
          <w:noProof/>
        </w:rPr>
        <w:t>Rekomendacija</w:t>
      </w:r>
    </w:p>
    <w:p>
      <w:pPr>
        <w:pStyle w:val="Typedudocument"/>
        <w:rPr>
          <w:noProof/>
        </w:rPr>
      </w:pPr>
      <w:r>
        <w:rPr>
          <w:noProof/>
        </w:rPr>
        <w:t>TARYBOS REKOMENDACIJA</w:t>
      </w:r>
    </w:p>
    <w:p>
      <w:pPr>
        <w:pStyle w:val="Titreobjet"/>
        <w:rPr>
          <w:noProof/>
        </w:rPr>
      </w:pPr>
      <w:r>
        <w:rPr>
          <w:noProof/>
        </w:rPr>
        <w:t xml:space="preserve">ištaisyti pastebėtą didelį nukrypimą nuo koregavimo plano, kuriuo siekiama vidutinio laikotarpio biudžeto tikslo, </w:t>
      </w:r>
      <w:r>
        <w:rPr>
          <w:noProof/>
        </w:rPr>
        <w:br/>
      </w:r>
      <w:r>
        <w:rPr>
          <w:noProof/>
        </w:rPr>
        <w:br/>
        <w:t>Vengrijoje</w:t>
      </w:r>
    </w:p>
    <w:p>
      <w:pPr>
        <w:pStyle w:val="Institutionquiagit"/>
        <w:rPr>
          <w:noProof/>
        </w:rPr>
      </w:pPr>
      <w:r>
        <w:rPr>
          <w:noProof/>
        </w:rPr>
        <w:t>EUROPOS SĄJUNGOS TARYBA,</w:t>
      </w:r>
    </w:p>
    <w:p>
      <w:pPr>
        <w:rPr>
          <w:noProof/>
        </w:rPr>
      </w:pPr>
      <w:r>
        <w:rPr>
          <w:noProof/>
        </w:rPr>
        <w:t>atsižvelgdama į Sutartį dėl Europos Sąjungos veikimo, ypač į jos 121 straipsnio 4 dalį,</w:t>
      </w:r>
    </w:p>
    <w:p>
      <w:pPr>
        <w:rPr>
          <w:noProof/>
        </w:rPr>
      </w:pPr>
      <w:r>
        <w:rPr>
          <w:noProof/>
        </w:rPr>
        <w:t>atsižvelgdama į 1997 m. liepos 7 d. Tarybos reglamentą (EB) Nr. 1466/97 dėl biudžeto būklės priežiūros stiprinimo ir ekonominės politikos priežiūros bei koordinavimo</w:t>
      </w:r>
      <w:r>
        <w:rPr>
          <w:rStyle w:val="FootnoteReference"/>
          <w:noProof/>
        </w:rPr>
        <w:footnoteReference w:id="2"/>
      </w:r>
      <w:r>
        <w:rPr>
          <w:noProof/>
        </w:rPr>
        <w:t>, ypač į jo 10 straipsnio 2 dalies antrą pastraipą,</w:t>
      </w:r>
    </w:p>
    <w:p>
      <w:pPr>
        <w:tabs>
          <w:tab w:val="num" w:pos="709"/>
        </w:tabs>
        <w:rPr>
          <w:noProof/>
        </w:rPr>
      </w:pPr>
      <w:r>
        <w:rPr>
          <w:noProof/>
        </w:rPr>
        <w:t>atsižvelgdama į Europos Komisijos rekomendaciją,</w:t>
      </w:r>
    </w:p>
    <w:p>
      <w:pPr>
        <w:tabs>
          <w:tab w:val="num" w:pos="709"/>
        </w:tabs>
        <w:rPr>
          <w:noProof/>
        </w:rPr>
      </w:pPr>
      <w:r>
        <w:rPr>
          <w:noProof/>
        </w:rPr>
        <w:t>kadangi:</w:t>
      </w:r>
    </w:p>
    <w:p>
      <w:pPr>
        <w:pStyle w:val="ManualConsidrant"/>
        <w:rPr>
          <w:noProof/>
        </w:rPr>
      </w:pPr>
      <w:r>
        <w:rPr>
          <w:noProof/>
        </w:rPr>
        <w:t>(1)</w:t>
      </w:r>
      <w:r>
        <w:rPr>
          <w:noProof/>
        </w:rPr>
        <w:tab/>
        <w:t>pagal Sutarties 121 straipsnį valstybės narės turi siekti užtikrinti patikimus valstybės finansus vidutiniu laikotarpiu, koordinuodamos ekonominę politiką ir vykdydamos daugiašalę priežiūrą, kad išvengtų perviršinio valdžios sektoriaus deficito;</w:t>
      </w:r>
    </w:p>
    <w:p>
      <w:pPr>
        <w:pStyle w:val="ManualConsidrant"/>
        <w:rPr>
          <w:noProof/>
        </w:rPr>
      </w:pPr>
      <w:r>
        <w:rPr>
          <w:noProof/>
        </w:rPr>
        <w:t>(2)</w:t>
      </w:r>
      <w:r>
        <w:rPr>
          <w:noProof/>
        </w:rPr>
        <w:tab/>
        <w:t>Stabilumo ir augimo pakto (SAP) pagrindinis tikslas yra patikimi valstybės finansai – priemonė sudaryti geresnes sąlygas kainų stabilumui ir dideliam tvariam augimui, leidžiančiam kurti naujas darbo vietas;</w:t>
      </w:r>
    </w:p>
    <w:p>
      <w:pPr>
        <w:pStyle w:val="ManualConsidrant"/>
        <w:rPr>
          <w:noProof/>
        </w:rPr>
      </w:pPr>
      <w:r>
        <w:rPr>
          <w:noProof/>
        </w:rPr>
        <w:t>(3)</w:t>
      </w:r>
      <w:r>
        <w:rPr>
          <w:noProof/>
        </w:rPr>
        <w:tab/>
        <w:t>2018 m. birželio 22 d. Taryba pagal Sutarties 121 straipsnio 4 dalį nustatė, kad Vengrijoje 2017 m. buvo pastebėtas didelis nukrypimas nuo vidutinio laikotarpio biudžeto tikslo – 1,0 % BVP struktūrinio valdžios sektoriaus deficito. Atsižvelgdama į nustatytą didelį nukrypimą, 2018 m. birželio 22 d. Taryba Vengrijai</w:t>
      </w:r>
      <w:r>
        <w:rPr>
          <w:rStyle w:val="FootnoteReference"/>
          <w:noProof/>
        </w:rPr>
        <w:footnoteReference w:id="3"/>
      </w:r>
      <w:r>
        <w:rPr>
          <w:noProof/>
        </w:rPr>
        <w:t xml:space="preserve"> rekomendavo imtis būtinų priemonių užtikrinti, kad 2018 m. grynųjų pirminių valdžios sektoriaus išlaidų</w:t>
      </w:r>
      <w:r>
        <w:rPr>
          <w:rStyle w:val="FootnoteReference"/>
          <w:noProof/>
        </w:rPr>
        <w:footnoteReference w:id="4"/>
      </w:r>
      <w:r>
        <w:rPr>
          <w:noProof/>
        </w:rPr>
        <w:t xml:space="preserve"> nominalus augimas neviršytų 2,8 %, o tai atitiktų 1,0 % BVP metinį struktūrinį koregavimą. Vengrijai taip pat rekomenduota visas nenumatytas pajamas panaudoti deficitui mažinti – taip šalis laikytųsi tinkamo koregavimo plano, kuriuo siekiama vidutinio laikotarpio biudžeto tikslo. 2018 m. gruodžio 4 d. Taryba padarė išvadą, kad Vengrija nesiėmė veiksmingų priemonių, kuriomis būtų atsižvelgiama į 2018 m. birželio 22 d. Tarybos rekomendaciją. Tuo remdamasi, 2018 m. gruodžio 4 d. </w:t>
      </w:r>
      <w:r>
        <w:rPr>
          <w:noProof/>
        </w:rPr>
        <w:lastRenderedPageBreak/>
        <w:t>Taryba pateikė Vengrijai patikslintą rekomendaciją imtis būtinų priemonių užtikrinti, kad 2019 m. grynųjų pirminių valdžios sektoriaus išlaidų nominalus augimas neviršytų 3,3 %, o tai atitiktų 1,0 % BVP metinį struktūrinį koregavimą;</w:t>
      </w:r>
    </w:p>
    <w:p>
      <w:pPr>
        <w:pStyle w:val="ManualConsidrant"/>
        <w:rPr>
          <w:noProof/>
        </w:rPr>
      </w:pPr>
      <w:r>
        <w:rPr>
          <w:noProof/>
        </w:rPr>
        <w:t>(4)</w:t>
      </w:r>
      <w:r>
        <w:rPr>
          <w:noProof/>
        </w:rPr>
        <w:tab/>
        <w:t>2018 m., remiantis Komisijos 2019 m. pavasario prognoze ir Eurostato patvirtintais 2018 m. rezultatų duomenimis, grynųjų pirminių valdžios sektoriaus išlaidų augimas gerokai viršijo išlaidų kriterijų ir rodo didelį nukrypimą (1,3 % BVP nukrypimą). Struktūrinis balansas pablogėjo nuo -3,4 % BVP 2017 m. iki -3,7 % BVP ir rodo didelį nukrypimą nuo rekomenduojamo struktūrinio koregavimo (1,3 % BVP nukrypimą). Struktūrinio balanso rodomo nukrypimo dydį neigiamai veikia didelis pajamų trūkumas ir didesnės investicijų išlaidos ekonomikos perkaitimo sąlygomis, nors apskaičiuota, kad dėl mažėjančių palūkanų išlaidų jis šiek tiek pagerėjo. Išlaidų kriterijų labai neigiamai veikia jį apskaičiuojant taikomas vidutinio laikotarpio potencialus BVP augimas, kuris apima labai mažą potencialų BVP augimą po krizės. Be to, neatrodo, kad apskaičiuojant BVP defliatorių, kuriuo grindžiamas išlaidų kriterijus, tinkamai atsižvelgiama į padidėjusį sąnaudų spaudimą, kuris daro poveikį valdžios sektoriaus išlaidoms. Atlikus koregavimą pagal šiuos veiksnius, atrodo, kad išlaidų kriterijus tinkamai atspindi fiskalines pastangas ir vis tiek rodo didelį nukrypimą. Atsižvelgiant į šiuos veiksnius, abu rodikliai patvirtina didelį nukrypimą nuo SAP prevencinės dalies reikalavimų 2018 m.;</w:t>
      </w:r>
    </w:p>
    <w:p>
      <w:pPr>
        <w:pStyle w:val="ManualConsidrant"/>
        <w:rPr>
          <w:noProof/>
        </w:rPr>
      </w:pPr>
      <w:r>
        <w:rPr>
          <w:noProof/>
        </w:rPr>
        <w:t>(5)</w:t>
      </w:r>
      <w:r>
        <w:rPr>
          <w:noProof/>
        </w:rPr>
        <w:tab/>
        <w:t xml:space="preserve">atlikusi bendrą vertinimą, 2019 m. birželio 5 d. Komisija laikėsi nuomonės, kad pastebėtas didelis Vengrijos nukrypimas nuo koregavimo plano siekiant vidutinio laikotarpio biudžeto tikslo, ir pateikė įspėjimą Vengrijai pagal Sutarties 121 straipsnio 4 dalį ir Reglamento (EB) Nr. 1466/97 10 straipsnio 2 dalies pirmą pastraipą; </w:t>
      </w:r>
    </w:p>
    <w:p>
      <w:pPr>
        <w:pStyle w:val="ManualConsidrant"/>
        <w:rPr>
          <w:noProof/>
        </w:rPr>
      </w:pPr>
      <w:r>
        <w:rPr>
          <w:noProof/>
        </w:rPr>
        <w:t>(6)</w:t>
      </w:r>
      <w:r>
        <w:rPr>
          <w:noProof/>
        </w:rPr>
        <w:tab/>
        <w:t xml:space="preserve">pagal Reglamento (EB) Nr. 1466/97 10 straipsnio 2 dalies antrą pastraipą per vieną mėnesį nuo įspėjimo priėmimo dienos Taryba atitinkamai valstybei narei turi pateikti rekomendaciją imtis būtinų politikos priemonių. Reglamente (EB) Nr. 1466/97 numatyta, kad rekomendacijoje valstybei narei bus nustatytas ne ilgesnis kaip penkių mėnesių terminas nukrypimui ištaisyti. Tuo remiantis tikslinga nustatyti 2019 m. spalio 15 d. terminą, iki kurio Vengrija turi ištaisyti nukrypimą. Iki to termino Vengrija turėtų pateikti ataskaitą dėl veiksmų, kurių imtasi atsižvelgiant į šią rekomendaciją; </w:t>
      </w:r>
    </w:p>
    <w:p>
      <w:pPr>
        <w:pStyle w:val="ManualConsidrant"/>
        <w:rPr>
          <w:noProof/>
        </w:rPr>
      </w:pPr>
      <w:r>
        <w:rPr>
          <w:noProof/>
        </w:rPr>
        <w:t>(7)</w:t>
      </w:r>
      <w:r>
        <w:rPr>
          <w:noProof/>
        </w:rPr>
        <w:tab/>
        <w:t>remiantis Komisijos 2019 m. pavasario prognozėje pateiktomis gamybos apimties atotrūkio projekcijomis, Vengrijoje 2019 ir 2020 m. ekonominės sąlygos ir toliau bus geros. Numatoma, kad 2019 m. realusis BVP augs pagal potencialų BVP (3,7 %), tačiau 2020 m. realiojo BVP augimas (2,8 %) bus mažesnis už augimo potencialą (3,6 %). Vengrijos valdžios sektoriaus skolos santykis viršija 60 % BVP ribą. Taigi, minimalios reikalaujamos struktūrinės pastangos, kurios nustatytos pagal Reglamentą (EB) Nr. 1466/97 ir bendrai sutartą koregavimo matricą pagal SAP prevencinę dalį ir kuriomis atsižvelgiama į vyraujančias ekonomines aplinkybes ir galimas tvarumo problemas, tiek 2019, tiek 2020 m. sudaro bent 0,75 % BVP;</w:t>
      </w:r>
    </w:p>
    <w:p>
      <w:pPr>
        <w:pStyle w:val="ManualConsidrant"/>
        <w:rPr>
          <w:noProof/>
        </w:rPr>
      </w:pPr>
      <w:r>
        <w:rPr>
          <w:noProof/>
        </w:rPr>
        <w:t>(8)</w:t>
      </w:r>
      <w:r>
        <w:rPr>
          <w:noProof/>
        </w:rPr>
        <w:tab/>
        <w:t xml:space="preserve">2017 m. Vengrijos struktūrinis deficitas padidėjo 1,4 % BVP, o 2018 m. – 0,3 % BVP iki 3,7 % BVP 2018 m. Komisijos 2019 m. pavasario prognozėje numatoma, kad nuo 2019 m. jis mažės. 2019 m. minimalaus koregavimo reikalavimą turėtų papildyti papildomos pastangos, būtinos siekiant ištaisyti bendrą nukrypimą, kad Vengrija vėl laikytųsi tinkamo konsolidavimo plano po 2017 m. nukrypimų. Turint omenyje pastebėto didelio nukrypimo nuo rekomenduojamo koregavimo plano, kuriuo siekiama vidutinio laikotarpio tikslo, mastą, atrodo tikslinga, kad 2019 m. papildomos pastangos, palyginti su tomis, kurias lemia bendrai sutarta koregavimo matrica pagal </w:t>
      </w:r>
      <w:r>
        <w:rPr>
          <w:noProof/>
        </w:rPr>
        <w:lastRenderedPageBreak/>
        <w:t xml:space="preserve">SAP prevencinę dalį, sudarytų 0,25 % BVP; jos paspartins koregavimą siekiant grįžti prie vidutinio laikotarpio biudžeto tikslo. 2019 m. reikalingos pastangos atitinka 2018 m. gruodžio 4 d. Tarybos rekomenduotą koregavimą. 2020 m. minimalus 0,75 % BVP koregavimo reikalavimas atrodo tinkamas, jei 2019 m. bus laikomasi prašomo koregavimo; </w:t>
      </w:r>
    </w:p>
    <w:p>
      <w:pPr>
        <w:pStyle w:val="ManualConsidrant"/>
        <w:rPr>
          <w:noProof/>
        </w:rPr>
      </w:pPr>
      <w:r>
        <w:rPr>
          <w:noProof/>
        </w:rPr>
        <w:t>(9)</w:t>
      </w:r>
      <w:r>
        <w:rPr>
          <w:noProof/>
        </w:rPr>
        <w:tab/>
        <w:t>2019 m. reikalaujamas struktūrinio balanso pagerėjimas 1,0 % BVP, o 2020 m. – 0,75 % BVP atitinka grynųjų pirminių valdžios sektoriaus išlaidų nominalų augimą, 2019 m. neviršijantį 3,3 %, o 2020 m. – 4,7 %;</w:t>
      </w:r>
    </w:p>
    <w:p>
      <w:pPr>
        <w:pStyle w:val="ManualConsidrant"/>
        <w:rPr>
          <w:noProof/>
        </w:rPr>
      </w:pPr>
      <w:r>
        <w:rPr>
          <w:noProof/>
        </w:rPr>
        <w:t>(10)</w:t>
      </w:r>
      <w:r>
        <w:rPr>
          <w:noProof/>
        </w:rPr>
        <w:tab/>
        <w:t xml:space="preserve">Komisijos 2019 m. pavasario prognozėje numatoma, kad 2019 m. struktūrinis balansas pagerės 0,4 % BVP, o 2020 m. dar 0,6 % BVP. Todėl, siekiant 2019 m. užtikrinti 1,0 % BVP struktūrinį pagerėjimą, o 2020 m. – 0,75 % GDP struktūrinį pagerėjimą, reikia priimti priemones, kurių bendras struktūrinis poveikis būtų 0,6 % BVP 2019 m., ir papildomas priemones, kurių struktūrinis poveikis būtų 0,2 % BVP 2020 m., palyginti su Komisijos 2019 m. pavasario prognozėje nurodytu dabartiniu baziniu scenarijumi; </w:t>
      </w:r>
    </w:p>
    <w:p>
      <w:pPr>
        <w:pStyle w:val="ManualConsidrant"/>
        <w:rPr>
          <w:noProof/>
        </w:rPr>
      </w:pPr>
      <w:r>
        <w:rPr>
          <w:noProof/>
        </w:rPr>
        <w:t>(11)</w:t>
      </w:r>
      <w:r>
        <w:rPr>
          <w:noProof/>
        </w:rPr>
        <w:tab/>
        <w:t xml:space="preserve">kadangi nesiimta veiksmų pagal ankstesnes rekomendacijas ištaisyti pastebėtą didelį nukrypimą, būtina imtis skubių veiksmų, kad Vengrijos fiskalinė politika vėl būtų grindžiama atsargumo principu; </w:t>
      </w:r>
    </w:p>
    <w:p>
      <w:pPr>
        <w:pStyle w:val="ManualConsidrant"/>
        <w:rPr>
          <w:noProof/>
        </w:rPr>
      </w:pPr>
      <w:r>
        <w:rPr>
          <w:noProof/>
        </w:rPr>
        <w:t>(12)</w:t>
      </w:r>
      <w:r>
        <w:rPr>
          <w:noProof/>
        </w:rPr>
        <w:tab/>
        <w:t xml:space="preserve">kad pasiektų rekomenduojamus biudžeto tikslus, Vengrija turi priimti ir griežtai įgyvendinti būtinas priemones ir atidžiai stebėti einamųjų išlaidų raidą; </w:t>
      </w:r>
    </w:p>
    <w:p>
      <w:pPr>
        <w:pStyle w:val="ManualConsidrant"/>
        <w:rPr>
          <w:noProof/>
        </w:rPr>
      </w:pPr>
      <w:r>
        <w:rPr>
          <w:noProof/>
        </w:rPr>
        <w:t>(13)</w:t>
      </w:r>
      <w:r>
        <w:rPr>
          <w:noProof/>
        </w:rPr>
        <w:tab/>
        <w:t>iki 2019 m. spalio 15 d. Vengrija turėtų Tarybai pateikti ataskaitą dėl veiksmų, kurių imtasi atsižvelgiant į šią rekomendaciją;</w:t>
      </w:r>
    </w:p>
    <w:p>
      <w:pPr>
        <w:pStyle w:val="ManualConsidrant"/>
        <w:rPr>
          <w:noProof/>
        </w:rPr>
      </w:pPr>
      <w:r>
        <w:rPr>
          <w:noProof/>
        </w:rPr>
        <w:t>(14)</w:t>
      </w:r>
      <w:r>
        <w:rPr>
          <w:noProof/>
        </w:rPr>
        <w:tab/>
        <w:t>tinkama šią rekomendaciją paskelbti viešai,</w:t>
      </w:r>
    </w:p>
    <w:p>
      <w:pPr>
        <w:pStyle w:val="Formuledadoption"/>
        <w:spacing w:before="240"/>
        <w:rPr>
          <w:noProof/>
        </w:rPr>
      </w:pPr>
      <w:r>
        <w:rPr>
          <w:noProof/>
        </w:rPr>
        <w:t>REKOMENDUOJA VENGRIJAI:</w:t>
      </w:r>
    </w:p>
    <w:p>
      <w:pPr>
        <w:pStyle w:val="Point0number"/>
        <w:numPr>
          <w:ilvl w:val="0"/>
          <w:numId w:val="1"/>
        </w:numPr>
        <w:rPr>
          <w:noProof/>
        </w:rPr>
      </w:pPr>
      <w:r>
        <w:rPr>
          <w:noProof/>
        </w:rPr>
        <w:t>imtis būtinų priemonių užtikrinti, kad 2019 m. grynųjų pirminių valdžios sektoriaus išlaidų nominalus augimas neviršytų 3,3 %, o 2020 m. – 4,7 %, o tai 2019 m. atitiktų 1,0 % BVP metinį struktūrinį koregavimą, o 2020 m. – 0,75 % BVP, ir taip valstybė narė laikytųsi tinkamo koregavimo plano, kuriuo siekiama vidutinio laikotarpio biudžeto tikslo;</w:t>
      </w:r>
    </w:p>
    <w:p>
      <w:pPr>
        <w:pStyle w:val="Point0number"/>
        <w:rPr>
          <w:noProof/>
        </w:rPr>
      </w:pPr>
      <w:r>
        <w:rPr>
          <w:noProof/>
        </w:rPr>
        <w:t>visas nenumatytas pajamas panaudoti deficitui mažinti; biudžeto konsolidavimo priemonėmis turėtų būti užtikrintas ilgalaikis valdžios sektoriaus struktūrinio balanso pagerėjimas augimą skatinančiu būdu;</w:t>
      </w:r>
    </w:p>
    <w:p>
      <w:pPr>
        <w:pStyle w:val="Point0number"/>
        <w:rPr>
          <w:noProof/>
        </w:rPr>
      </w:pPr>
      <w:r>
        <w:rPr>
          <w:noProof/>
        </w:rPr>
        <w:t>iki 2019 m. spalio 15 d. Tarybai pateikti ataskaitą dėl veiksmų, kurių imtasi atsižvelgiant į šią rekomendaciją. Ataskaitoje turėtų būti nurodytos pakankamai konkretizuotos priemonės, apie kurias paskelbta patikima informacija, siekiant laikytis reikalaujamo koregavimo plano, įskaitant kiekvienos iš jų poveikį biudžetui, taip pat atnaujintos ir išsamios 2019–2020 m. biudžeto projekcijos.</w:t>
      </w:r>
    </w:p>
    <w:p>
      <w:pPr>
        <w:rPr>
          <w:noProof/>
        </w:rPr>
      </w:pPr>
      <w:r>
        <w:rPr>
          <w:noProof/>
        </w:rPr>
        <w:t>Ši rekomendacija skirta Vengrijai.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t>OL L 209, 1997 8 2, p. 1.</w:t>
      </w:r>
    </w:p>
  </w:footnote>
  <w:footnote w:id="3">
    <w:p>
      <w:pPr>
        <w:pStyle w:val="FootnoteText"/>
        <w:ind w:left="284" w:hanging="284"/>
      </w:pPr>
      <w:r>
        <w:rPr>
          <w:rStyle w:val="FootnoteReference"/>
        </w:rPr>
        <w:footnoteRef/>
      </w:r>
      <w:r>
        <w:tab/>
        <w:t>OL C 223, 2018 6 27, p. 1.</w:t>
      </w:r>
    </w:p>
  </w:footnote>
  <w:footnote w:id="4">
    <w:p>
      <w:pPr>
        <w:pStyle w:val="FootnoteText"/>
        <w:ind w:left="284" w:hanging="284"/>
      </w:pPr>
      <w:r>
        <w:rPr>
          <w:rStyle w:val="FootnoteReference"/>
        </w:rPr>
        <w:footnoteRef/>
      </w:r>
      <w:r>
        <w:tab/>
        <w:t>Grynąsias pirmines valdžios sektoriaus išlaidas sudaro visos valdžios sektoriaus išlaidos, atmetus palūkanų išlaidas, Sąjungos fondų pajamomis visiškai kompensuojamas Sąjungos programų išlaidas ir išlaidų nedarbo išmokoms nediskrecinius pokyčius. Nacionaliniu lygmeniu finansuojamas bendrojo pagrindinio kapitalo formavimas išlyginamas per ketverių metų laikotarpį. Diskrecinės pajamų priemonės ar teisės aktais nustatytas pajamų didinimas įskaičiuotas. Vienkartinės priemonės, susijusios tiek su pajamomis, tiek su išlaidomis, neįskaičiuotos.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6C3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C805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7097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84C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6CE9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C2BD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CCE8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BFE1C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5:06: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9718310-4013-41BF-BA48-AF9983B7715C"/>
    <w:docVar w:name="LW_COVERPAGE_TYPE" w:val="1"/>
    <w:docVar w:name="LW_CROSSREFERENCE" w:val="{SWD(2019) 534 final}"/>
    <w:docVar w:name="LW_DocType" w:val="COM"/>
    <w:docVar w:name="LW_EMISSION" w:val="2019 06 05"/>
    <w:docVar w:name="LW_EMISSION_ISODATE" w:val="2019-06-05"/>
    <w:docVar w:name="LW_EMISSION_LOCATION" w:val="BRX"/>
    <w:docVar w:name="LW_EMISSION_PREFIX" w:val="Briuselis, "/>
    <w:docVar w:name="LW_EMISSION_SUFFIX" w:val=" "/>
    <w:docVar w:name="LW_ID_DOCMODEL" w:val="SG-002"/>
    <w:docVar w:name="LW_ID_DOCSIGNATURE" w:val="SG-002"/>
    <w:docVar w:name="LW_ID_DOCSTRUCTURE" w:val="COM/PL/ORG"/>
    <w:docVar w:name="LW_ID_DOCTYPE" w:val="SG-002"/>
    <w:docVar w:name="LW_ID_STATUT" w:val="SG-002"/>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Rekomendacija"/>
    <w:docVar w:name="LW_SUPERTITRE" w:val="&lt;UNUSED&gt;"/>
    <w:docVar w:name="LW_TITRE.OBJ.CP" w:val="i\u353?taisyti pasteb\u279?t\u261? didel\u303? nukrypim\u261? nuo koregavimo plano, kuriuo siekiama vidutinio laikotarpio biud\u382?eto tikslo, _x000b__x000b_Vengrijoje"/>
    <w:docVar w:name="LW_TYPE.DOC.CP" w:val="TARYBOS REKOMENDACIJ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3E52-135D-4173-8479-23AA45CB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1139</Words>
  <Characters>7234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2018-10-29T15:56:00Z</cp:lastPrinted>
  <dcterms:created xsi:type="dcterms:W3CDTF">2019-06-07T15:33:00Z</dcterms:created>
  <dcterms:modified xsi:type="dcterms:W3CDTF">2019-06-11T13:06:00Z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SG-002</vt:lpwstr>
  </property>
  <property fmtid="{D5CDD505-2E9C-101B-9397-08002B2CF9AE}" pid="9" name="Level of sensitivity">
    <vt:lpwstr>Standard treatment</vt:lpwstr>
  </property>
  <property fmtid="{D5CDD505-2E9C-101B-9397-08002B2CF9AE}" pid="10" name="DQCStatus">
    <vt:lpwstr>Green (DQC version 03)</vt:lpwstr>
  </property>
</Properties>
</file>