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378DFE1E-A9DF-480B-9FF6-B453C5968375" style="width:450.75pt;height:40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noProof/>
        </w:rPr>
      </w:pPr>
      <w:r>
        <w:rPr>
          <w:noProof/>
        </w:rPr>
        <w:t>•</w:t>
      </w:r>
      <w:r>
        <w:rPr>
          <w:noProof/>
        </w:rPr>
        <w:tab/>
        <w:t>Forslagets begrundelse og formål</w:t>
      </w:r>
    </w:p>
    <w:p>
      <w:pPr>
        <w:pBdr>
          <w:top w:val="nil"/>
          <w:left w:val="nil"/>
          <w:bottom w:val="nil"/>
          <w:right w:val="nil"/>
          <w:between w:val="nil"/>
          <w:bar w:val="nil"/>
        </w:pBdr>
        <w:spacing w:before="0" w:after="240"/>
        <w:rPr>
          <w:noProof/>
        </w:rPr>
      </w:pPr>
      <w:r>
        <w:rPr>
          <w:noProof/>
        </w:rPr>
        <w:t>Associeringsaftalen mellem Den Europæiske Union og Det Europæiske Atomenergifællesskab og deres medlemsstater på den ene side og Ukraine på den anden side ("associeringsaftalen"), herunder et vidtgående og bredt frihandelsområde, trådte i kraft den 1. september 2017. Associeringsaftalen fastsætter bl.a. præferencevilkår for den bilaterale handel med varer.</w:t>
      </w:r>
    </w:p>
    <w:p>
      <w:pPr>
        <w:pBdr>
          <w:top w:val="nil"/>
          <w:left w:val="nil"/>
          <w:bottom w:val="nil"/>
          <w:right w:val="nil"/>
          <w:between w:val="nil"/>
          <w:bar w:val="nil"/>
        </w:pBdr>
        <w:spacing w:before="0" w:after="240"/>
        <w:rPr>
          <w:noProof/>
        </w:rPr>
      </w:pPr>
      <w:r>
        <w:rPr>
          <w:noProof/>
        </w:rPr>
        <w:t xml:space="preserve">Siden midten af 2016 er der i stigende mængder blevet importeret en ny type fjerkræudskæring fra Ukraine til Unionen. Denne nye udskæring består af det traditionelle bryststykke med vingeben, som kun udgør en meget lille del af udskæringens samlede vægt. Efter få ændringer kan denne udskæring markedsføres i Unionen som fjerkræbryst. Den hastigt voksende toldfrie import af denne særlige fjerkræudskæring, som hverken fandtes eller kunne forudses under forhandlingerne om associeringsaftalen, skader den beskyttelse for fjerkræbryst, der er sikret i henhold til associeringsaftalen, og kan potentielt skade den hårfine balance på EU-markedet for fjerkrækød. Den 20. december 2018 bemyndigede Rådet Kommissionen til at indlede forhandlinger med Ukraine med henblik på at finde en løsning ved at ændre handelspræferencerne for fjerkrækød og tilberedt fjerkrækød i henhold til associeringsaftalen. </w:t>
      </w:r>
    </w:p>
    <w:p>
      <w:pPr>
        <w:pBdr>
          <w:top w:val="nil"/>
          <w:left w:val="nil"/>
          <w:bottom w:val="nil"/>
          <w:right w:val="nil"/>
          <w:between w:val="nil"/>
          <w:bar w:val="nil"/>
        </w:pBdr>
        <w:spacing w:before="0" w:after="240"/>
        <w:rPr>
          <w:noProof/>
        </w:rPr>
      </w:pPr>
      <w:r>
        <w:rPr>
          <w:noProof/>
        </w:rPr>
        <w:t xml:space="preserve">Forhandlingerne blev gennemført i perioden fra den 29. januar til den 22. februar 2019 og blev afsluttet den 19. marts 2019. Aftalen består i at integrere de to toldpositioner KN 0207 13 70 og 0207 14 70 i det eksisterende toldkontingent (TRQ) på nuværende 18 400 ton, som vil stige til 20 000 ton i 2021 (løbenummer 09.4273), mens kontingentets størrelse vil forhøjes med 50 000 ton. Import under toldposition KN 0207 13 70 og 0207 14 70, som overskrider kontingenterne, ville således blive omfattet af mestbegunstigelsestoldsatsen på 100,8 EUR/100 kg nettovægt. </w:t>
      </w:r>
    </w:p>
    <w:p>
      <w:pPr>
        <w:pStyle w:val="ManualHeading2"/>
        <w:rPr>
          <w:noProof/>
        </w:rPr>
      </w:pPr>
      <w:r>
        <w:rPr>
          <w:noProof/>
        </w:rPr>
        <w:t>•</w:t>
      </w:r>
      <w:r>
        <w:rPr>
          <w:noProof/>
        </w:rPr>
        <w:tab/>
        <w:t>Sammenhæng med de gældende regler på samme område</w:t>
      </w:r>
    </w:p>
    <w:p>
      <w:pPr>
        <w:pBdr>
          <w:top w:val="nil"/>
          <w:left w:val="nil"/>
          <w:bottom w:val="nil"/>
          <w:right w:val="nil"/>
          <w:between w:val="nil"/>
          <w:bar w:val="nil"/>
        </w:pBdr>
        <w:spacing w:before="0" w:after="240"/>
        <w:rPr>
          <w:noProof/>
        </w:rPr>
      </w:pPr>
      <w:r>
        <w:rPr>
          <w:noProof/>
        </w:rPr>
        <w:t>Forslaget fastsætter et stabilt og forudsigeligt handelsmiljø for fjerkrækød og sikrer en rimelig og behersket stigning i handelen med Ukraine. Dette er i overensstemmelse med målet om fri og fair handel, jf. artikel 3, stk. 5, i traktaten om Den Europæiske Union ("TEU"), samt med målet om en harmonisk udvikling af verdenshandelen, jf. artikel 206 i traktaten om Den Europæiske Unions funktionsmåde ("TEUF").</w:t>
      </w:r>
    </w:p>
    <w:p>
      <w:pPr>
        <w:pStyle w:val="ManualHeading2"/>
        <w:rPr>
          <w:noProof/>
        </w:rPr>
      </w:pPr>
      <w:r>
        <w:rPr>
          <w:noProof/>
        </w:rPr>
        <w:t>•</w:t>
      </w:r>
      <w:r>
        <w:rPr>
          <w:noProof/>
        </w:rPr>
        <w:tab/>
        <w:t>Sammenhæng med Unionens politik på andre områder</w:t>
      </w:r>
    </w:p>
    <w:p>
      <w:pPr>
        <w:pBdr>
          <w:top w:val="nil"/>
          <w:left w:val="nil"/>
          <w:bottom w:val="nil"/>
          <w:right w:val="nil"/>
          <w:between w:val="nil"/>
          <w:bar w:val="nil"/>
        </w:pBdr>
        <w:spacing w:before="0" w:after="240"/>
        <w:rPr>
          <w:noProof/>
        </w:rPr>
      </w:pPr>
      <w:r>
        <w:rPr>
          <w:noProof/>
        </w:rPr>
        <w:t>De ovenfor beskrevne mål er i overensstemmelse med den fælles landbrugspolitik, og særlig med dens mål i artikel 39 i TEUF, som omhandler stabilisering af markedet.</w:t>
      </w:r>
    </w:p>
    <w:p>
      <w:pPr>
        <w:pStyle w:val="ManualHeading1"/>
        <w:rPr>
          <w:noProof/>
        </w:rPr>
      </w:pPr>
      <w:r>
        <w:rPr>
          <w:noProof/>
        </w:rPr>
        <w:t>2.</w:t>
      </w:r>
      <w:r>
        <w:rPr>
          <w:noProof/>
        </w:rPr>
        <w:tab/>
        <w:t>RETSGRUNDLAG, NÆRHEDSPRINCIPPET OG PROPORTIONALITETSPRINCIPPET</w:t>
      </w:r>
    </w:p>
    <w:p>
      <w:pPr>
        <w:pStyle w:val="ManualHeading2"/>
        <w:rPr>
          <w:noProof/>
        </w:rPr>
      </w:pPr>
      <w:r>
        <w:rPr>
          <w:noProof/>
        </w:rPr>
        <w:t>•</w:t>
      </w:r>
      <w:r>
        <w:rPr>
          <w:noProof/>
        </w:rPr>
        <w:tab/>
        <w:t>Retsgrundlag</w:t>
      </w:r>
    </w:p>
    <w:p>
      <w:pPr>
        <w:pBdr>
          <w:top w:val="nil"/>
          <w:left w:val="nil"/>
          <w:bottom w:val="nil"/>
          <w:right w:val="nil"/>
          <w:between w:val="nil"/>
          <w:bar w:val="nil"/>
        </w:pBdr>
        <w:spacing w:before="0" w:after="240"/>
        <w:rPr>
          <w:noProof/>
        </w:rPr>
      </w:pPr>
      <w:r>
        <w:rPr>
          <w:noProof/>
        </w:rPr>
        <w:t>Artikel 207 sammenholdt med artikel 218, stk. 4, i Traktaten om Den Euopæiske Unions funktionsmåde (TEUF).</w:t>
      </w:r>
    </w:p>
    <w:p>
      <w:pPr>
        <w:pStyle w:val="ManualHeading2"/>
        <w:rPr>
          <w:noProof/>
        </w:rPr>
      </w:pPr>
      <w:r>
        <w:rPr>
          <w:noProof/>
        </w:rPr>
        <w:t>•</w:t>
      </w:r>
      <w:r>
        <w:rPr>
          <w:noProof/>
        </w:rPr>
        <w:tab/>
        <w:t xml:space="preserve">Nærhedsprincippet (for områder, der ikke er omfattet af enekompetence) </w:t>
      </w:r>
    </w:p>
    <w:p>
      <w:pPr>
        <w:pBdr>
          <w:top w:val="nil"/>
          <w:left w:val="nil"/>
          <w:bottom w:val="nil"/>
          <w:right w:val="nil"/>
          <w:between w:val="nil"/>
          <w:bar w:val="nil"/>
        </w:pBdr>
        <w:spacing w:before="0" w:after="240"/>
        <w:rPr>
          <w:noProof/>
        </w:rPr>
      </w:pPr>
      <w:r>
        <w:rPr>
          <w:noProof/>
        </w:rPr>
        <w:t>I henhold til artikel 5, stk. 3, i TEU finder nærhedsprincippet ikke anvendelse på de områder, hvor Unionen har enekompetence. Den fælles handelspolitik er et af de områder, hvor Unionen har enekompetence, jf. artikel 3 i TEUF. Denne politik omfatter forhandlinger om handelsaftaler, jf. bl.a. artikel 207 i TEUF.</w:t>
      </w:r>
    </w:p>
    <w:p>
      <w:pPr>
        <w:pBdr>
          <w:top w:val="nil"/>
          <w:left w:val="nil"/>
          <w:bottom w:val="nil"/>
          <w:right w:val="nil"/>
          <w:between w:val="nil"/>
          <w:bar w:val="nil"/>
        </w:pBdr>
        <w:spacing w:before="0" w:after="240"/>
        <w:rPr>
          <w:noProof/>
        </w:rPr>
      </w:pPr>
      <w:r>
        <w:rPr>
          <w:noProof/>
        </w:rPr>
        <w:t>•</w:t>
      </w:r>
      <w:r>
        <w:rPr>
          <w:noProof/>
        </w:rPr>
        <w:tab/>
        <w:t>Proportionalitetsprincippet</w:t>
      </w:r>
    </w:p>
    <w:p>
      <w:pPr>
        <w:pBdr>
          <w:top w:val="nil"/>
          <w:left w:val="nil"/>
          <w:bottom w:val="nil"/>
          <w:right w:val="nil"/>
          <w:between w:val="nil"/>
          <w:bar w:val="nil"/>
        </w:pBdr>
        <w:spacing w:before="0" w:after="240"/>
        <w:rPr>
          <w:noProof/>
        </w:rPr>
      </w:pPr>
      <w:r>
        <w:rPr>
          <w:noProof/>
        </w:rPr>
        <w:t>Dette forslag er i overensstemmelse med proportionalitetsprincippet. Kun med en ændring af toldsatserne og toldkontingentindrømmelserne for fjerkrækød og tilberedt fjerkrækød i associeringsaftalen kan man nå til en løsning af ovennævnte problem og på den måde nå målet med dette forslag.</w:t>
      </w:r>
    </w:p>
    <w:p>
      <w:pPr>
        <w:pStyle w:val="ManualHeading2"/>
        <w:rPr>
          <w:noProof/>
        </w:rPr>
      </w:pPr>
      <w:r>
        <w:rPr>
          <w:noProof/>
        </w:rPr>
        <w:t>•</w:t>
      </w:r>
      <w:r>
        <w:rPr>
          <w:noProof/>
        </w:rPr>
        <w:tab/>
        <w:t>Valg af retsakt</w:t>
      </w:r>
    </w:p>
    <w:p>
      <w:pPr>
        <w:pBdr>
          <w:top w:val="nil"/>
          <w:left w:val="nil"/>
          <w:bottom w:val="nil"/>
          <w:right w:val="nil"/>
          <w:between w:val="nil"/>
          <w:bar w:val="nil"/>
        </w:pBdr>
        <w:spacing w:before="0" w:after="240"/>
        <w:rPr>
          <w:noProof/>
        </w:rPr>
      </w:pPr>
      <w:r>
        <w:rPr>
          <w:noProof/>
        </w:rPr>
        <w:t>Afgørelse vedtaget af Rådet for Den Europæiske Union.</w:t>
      </w:r>
    </w:p>
    <w:p>
      <w:pPr>
        <w:pStyle w:val="ManualHeading1"/>
        <w:rPr>
          <w:noProof/>
        </w:rPr>
      </w:pPr>
      <w:r>
        <w:rPr>
          <w:noProof/>
        </w:rPr>
        <w:t>3.</w:t>
      </w:r>
      <w:r>
        <w:rPr>
          <w:noProof/>
        </w:rPr>
        <w:tab/>
        <w:t>RESULTATER AF EFTERFØLGENDE EVALUERINGER, HØRINGER AF INTERESSEREDE PARTER OG KONSEKVENSANALYSER</w:t>
      </w:r>
    </w:p>
    <w:p>
      <w:pPr>
        <w:pStyle w:val="ManualHeading2"/>
        <w:rPr>
          <w:noProof/>
        </w:rPr>
      </w:pPr>
      <w:r>
        <w:rPr>
          <w:noProof/>
        </w:rPr>
        <w:t>•</w:t>
      </w:r>
      <w:r>
        <w:rPr>
          <w:noProof/>
        </w:rPr>
        <w:tab/>
        <w:t>Efterfølgende evalueringer/kvalitetskontrol af gældende lovgivning</w:t>
      </w:r>
    </w:p>
    <w:p>
      <w:pPr>
        <w:pBdr>
          <w:top w:val="nil"/>
          <w:left w:val="nil"/>
          <w:bottom w:val="nil"/>
          <w:right w:val="nil"/>
          <w:between w:val="nil"/>
          <w:bar w:val="nil"/>
        </w:pBdr>
        <w:spacing w:before="0" w:after="240"/>
        <w:rPr>
          <w:noProof/>
        </w:rPr>
      </w:pPr>
      <w:r>
        <w:rPr>
          <w:noProof/>
        </w:rPr>
        <w:t>Ikke relevant.</w:t>
      </w:r>
    </w:p>
    <w:p>
      <w:pPr>
        <w:pStyle w:val="ManualHeading2"/>
        <w:rPr>
          <w:noProof/>
        </w:rPr>
      </w:pPr>
      <w:r>
        <w:rPr>
          <w:noProof/>
        </w:rPr>
        <w:t>•</w:t>
      </w:r>
      <w:r>
        <w:rPr>
          <w:noProof/>
        </w:rPr>
        <w:tab/>
        <w:t>Høringer af interesserede parter</w:t>
      </w:r>
    </w:p>
    <w:p>
      <w:pPr>
        <w:pBdr>
          <w:top w:val="nil"/>
          <w:left w:val="nil"/>
          <w:bottom w:val="nil"/>
          <w:right w:val="nil"/>
          <w:between w:val="nil"/>
          <w:bar w:val="nil"/>
        </w:pBdr>
        <w:spacing w:before="0" w:after="240"/>
        <w:rPr>
          <w:noProof/>
        </w:rPr>
      </w:pPr>
      <w:r>
        <w:rPr>
          <w:noProof/>
        </w:rPr>
        <w:t>Forskellige interesserede parter, navnlig den europæiske fjerkræbranche, har underrettet Kommissionen om deres forbehold vedrørende importen til Unionen af denne nye fjerkræudskæring, som hovedsagelig består af fjerkræbryst fra Ukraine. Kommissionen har nøje overvåget importen af fjerkrækød fra Ukraine og har grundigt analyseret de interesserede parters påstande i forbindelse med dette spørgsmål.</w:t>
      </w:r>
    </w:p>
    <w:p>
      <w:pPr>
        <w:pStyle w:val="ManualHeading2"/>
        <w:rPr>
          <w:noProof/>
        </w:rPr>
      </w:pPr>
      <w:r>
        <w:rPr>
          <w:noProof/>
        </w:rPr>
        <w:t>•</w:t>
      </w:r>
      <w:r>
        <w:rPr>
          <w:noProof/>
        </w:rPr>
        <w:tab/>
        <w:t>Ekspertbistand</w:t>
      </w:r>
    </w:p>
    <w:p>
      <w:pPr>
        <w:pBdr>
          <w:top w:val="nil"/>
          <w:left w:val="nil"/>
          <w:bottom w:val="nil"/>
          <w:right w:val="nil"/>
          <w:between w:val="nil"/>
          <w:bar w:val="nil"/>
        </w:pBdr>
        <w:spacing w:before="0" w:after="240"/>
        <w:rPr>
          <w:noProof/>
        </w:rPr>
      </w:pPr>
      <w:r>
        <w:rPr>
          <w:noProof/>
        </w:rPr>
        <w:t>Kommissionen har været i kontakt med forskellige interesserede parter, som har tilkendegivet deres holdninger til særlige aspekter i forbindelse med markedsadgang i forhold til den toldfri import af fjerkrækød fra Ukraine.</w:t>
      </w:r>
    </w:p>
    <w:p>
      <w:pPr>
        <w:pStyle w:val="ManualHeading2"/>
        <w:rPr>
          <w:noProof/>
        </w:rPr>
      </w:pPr>
      <w:r>
        <w:rPr>
          <w:noProof/>
        </w:rPr>
        <w:t>•</w:t>
      </w:r>
      <w:r>
        <w:rPr>
          <w:noProof/>
        </w:rPr>
        <w:tab/>
        <w:t>Konsekvensanalyse</w:t>
      </w:r>
    </w:p>
    <w:p>
      <w:pPr>
        <w:pBdr>
          <w:top w:val="nil"/>
          <w:left w:val="nil"/>
          <w:bottom w:val="nil"/>
          <w:right w:val="nil"/>
          <w:between w:val="nil"/>
          <w:bar w:val="nil"/>
        </w:pBdr>
        <w:spacing w:before="0" w:after="240"/>
        <w:rPr>
          <w:noProof/>
        </w:rPr>
      </w:pPr>
      <w:r>
        <w:rPr>
          <w:noProof/>
        </w:rPr>
        <w:t xml:space="preserve">Forslaget understøttes ikke af en konsekvensanalyse. </w:t>
      </w:r>
    </w:p>
    <w:p>
      <w:pPr>
        <w:pBdr>
          <w:top w:val="nil"/>
          <w:left w:val="nil"/>
          <w:bottom w:val="nil"/>
          <w:right w:val="nil"/>
          <w:between w:val="nil"/>
          <w:bar w:val="nil"/>
        </w:pBdr>
        <w:spacing w:before="0" w:after="240"/>
        <w:rPr>
          <w:noProof/>
        </w:rPr>
      </w:pPr>
      <w:r>
        <w:rPr>
          <w:noProof/>
        </w:rPr>
        <w:t>Som forklaret i afsnittet "Forslagets begrundelse og formål" er importen af de nye toldfrie udskæringer stærkt stigende. Da importen ikke er underlagt kvantitative begrænsninger, kan den potentielt, hvis handelsordningen forbliver uændret, skade den beskyttelse for fjerkræbryst, som associeringsaftalen sikrer i form af toldkontingenter, og som følge deraf skade den hårfine balance på EU-markedet for fjerkrækød. Der bør derfor straks findes en løsning på denne situation. Kommission har modtaget talrige skriftlige forespørgsler fra medlemmer af Europa-Parlamentet og den europæiske fjerkræbranche, hvori der anmodes om foranstaltninger med henblik på at finde en løsning.</w:t>
      </w:r>
    </w:p>
    <w:p>
      <w:pPr>
        <w:pBdr>
          <w:top w:val="nil"/>
          <w:left w:val="nil"/>
          <w:bottom w:val="nil"/>
          <w:right w:val="nil"/>
          <w:between w:val="nil"/>
          <w:bar w:val="nil"/>
        </w:pBdr>
        <w:spacing w:before="0" w:after="240"/>
        <w:rPr>
          <w:noProof/>
        </w:rPr>
      </w:pPr>
      <w:r>
        <w:rPr>
          <w:noProof/>
        </w:rPr>
        <w:t>Værdien af importen til Unionen under toldposition KN 0207 13 70 og 0207 14 70 i de to sidste fulde kalenderår 2016 og 2017 nåede en samlet importværdi på 43,9 mio. EUR. Dette svarer til 23,9 % af den import til Unionen af fjerkrækød fra Ukraine i 2016 og 2017 og 1,1 % af den samlede import til Unionen af fjerkrækød fra alle tredjelande i disse to kalenderår. I 2018 nåede importværdien op på 91,4 mio. EUR.</w:t>
      </w:r>
    </w:p>
    <w:p>
      <w:pPr>
        <w:pBdr>
          <w:top w:val="nil"/>
          <w:left w:val="nil"/>
          <w:bottom w:val="nil"/>
          <w:right w:val="nil"/>
          <w:between w:val="nil"/>
          <w:bar w:val="nil"/>
        </w:pBdr>
        <w:spacing w:before="0" w:after="240"/>
        <w:rPr>
          <w:noProof/>
        </w:rPr>
      </w:pPr>
      <w:r>
        <w:rPr>
          <w:noProof/>
        </w:rPr>
        <w:t>Med forslaget integreres den nuværende toldfrie import under toldposition KN 0207 13 70 og 0207 14 70 "andre udskæringer, fersk eller frossen" i det eksisterende toldkontingent for import af fjerkræ fra Ukraine, og mestbegunstigelsestoldsatsen for disse to toldpositioner genindføres. Det vil sige, at associeringsaftalen vil stabilisere den eksisterende import til Unionen af fjerkrækød fra Ukraine, og der forventes ingen yderligere konsekvenser i den bilaterale handel.</w:t>
      </w:r>
    </w:p>
    <w:p>
      <w:pPr>
        <w:pStyle w:val="ManualHeading2"/>
        <w:rPr>
          <w:noProof/>
        </w:rPr>
      </w:pPr>
      <w:r>
        <w:rPr>
          <w:noProof/>
        </w:rPr>
        <w:t>•</w:t>
      </w:r>
      <w:r>
        <w:rPr>
          <w:noProof/>
        </w:rPr>
        <w:tab/>
        <w:t>Målrettet regulering og forenkling</w:t>
      </w:r>
    </w:p>
    <w:p>
      <w:pPr>
        <w:pBdr>
          <w:top w:val="nil"/>
          <w:left w:val="nil"/>
          <w:bottom w:val="nil"/>
          <w:right w:val="nil"/>
          <w:between w:val="nil"/>
          <w:bar w:val="nil"/>
        </w:pBdr>
        <w:spacing w:before="0" w:after="240"/>
        <w:rPr>
          <w:noProof/>
        </w:rPr>
      </w:pPr>
      <w:r>
        <w:rPr>
          <w:noProof/>
        </w:rPr>
        <w:t>Ikke relevant</w:t>
      </w:r>
    </w:p>
    <w:p>
      <w:pPr>
        <w:pStyle w:val="ManualHeading2"/>
        <w:rPr>
          <w:noProof/>
        </w:rPr>
      </w:pPr>
      <w:r>
        <w:rPr>
          <w:noProof/>
        </w:rPr>
        <w:t>•</w:t>
      </w:r>
      <w:r>
        <w:rPr>
          <w:noProof/>
        </w:rPr>
        <w:tab/>
        <w:t>Grundlæggende rettigheder</w:t>
      </w:r>
    </w:p>
    <w:p>
      <w:pPr>
        <w:pBdr>
          <w:top w:val="nil"/>
          <w:left w:val="nil"/>
          <w:bottom w:val="nil"/>
          <w:right w:val="nil"/>
          <w:between w:val="nil"/>
          <w:bar w:val="nil"/>
        </w:pBdr>
        <w:spacing w:before="0" w:after="240"/>
        <w:rPr>
          <w:noProof/>
        </w:rPr>
      </w:pPr>
      <w:r>
        <w:rPr>
          <w:noProof/>
        </w:rPr>
        <w:t>Forslaget vil ikke have konsekvenser for beskyttelsen af de grundlæggende rettigheder.</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noProof/>
        </w:rPr>
      </w:pPr>
      <w:r>
        <w:rPr>
          <w:noProof/>
        </w:rPr>
        <w:t>Forslaget får ikke nogen indvirkning på EU-budgettet i form af toldafgifter, der gives afkald på.</w:t>
      </w:r>
    </w:p>
    <w:p>
      <w:pPr>
        <w:pStyle w:val="ManualHeading1"/>
        <w:rPr>
          <w:noProof/>
        </w:rPr>
      </w:pPr>
      <w:r>
        <w:rPr>
          <w:noProof/>
        </w:rPr>
        <w:t>5.</w:t>
      </w:r>
      <w:r>
        <w:rPr>
          <w:noProof/>
        </w:rPr>
        <w:tab/>
        <w:t>ANDRE FORHOLD</w:t>
      </w:r>
    </w:p>
    <w:p>
      <w:pPr>
        <w:pStyle w:val="ManualHeading2"/>
        <w:rPr>
          <w:noProof/>
        </w:rPr>
      </w:pPr>
      <w:r>
        <w:rPr>
          <w:noProof/>
        </w:rPr>
        <w:t>•</w:t>
      </w:r>
      <w:r>
        <w:rPr>
          <w:noProof/>
        </w:rPr>
        <w:tab/>
        <w:t>Planer for gennemførelsen og foranstaltninger til overvågning, evaluering og rapportering</w:t>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 xml:space="preserve">Kommissionen vil fortsætte med nøje at overvåge importen af fjerkrækød fra tredjelande. </w:t>
      </w:r>
    </w:p>
    <w:p>
      <w:pPr>
        <w:pStyle w:val="Rfrenceinterinstitutionnelle"/>
        <w:rPr>
          <w:noProof/>
        </w:rPr>
      </w:pPr>
      <w:r>
        <w:rPr>
          <w:noProof/>
        </w:rPr>
        <w:t>2019/0132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indgåelse af aftale i form af brevveksling mellem Den Europæiske Union og Ukraine om ændring af de handelspræferencer for fjerkrækød og tilberedt fjerkrækød, der er fastsat i associeringsaftalen mellem Den Europæiske Union og Det Europæiske Atomenergifællesskab og deres medlemsstater på den ene side og Ukraine på den anden side</w:t>
      </w:r>
      <w:r>
        <w:rPr>
          <w:noProof/>
        </w:rPr>
        <w:br/>
      </w:r>
    </w:p>
    <w:p>
      <w:pPr>
        <w:pStyle w:val="Institutionquiagit"/>
        <w:rPr>
          <w:noProof/>
        </w:rPr>
      </w:pPr>
      <w:r>
        <w:rPr>
          <w:noProof/>
        </w:rPr>
        <w:t>RÅDET FOR DEN EUROPÆISKE UNION HAR —</w:t>
      </w:r>
    </w:p>
    <w:p>
      <w:pPr>
        <w:rPr>
          <w:noProof/>
        </w:rPr>
      </w:pPr>
      <w:r>
        <w:rPr>
          <w:noProof/>
        </w:rPr>
        <w:t xml:space="preserve">under henvisning til traktaten om Den Europæiske Unions funktionsmåde, særlig artikel 207, stk. 3, og artikel 207, stk. 4, første afsnit, sammenholdt med artikel 218, stk. 6, litra a), nr. v), </w:t>
      </w:r>
    </w:p>
    <w:p>
      <w:pPr>
        <w:rPr>
          <w:noProof/>
        </w:rPr>
      </w:pPr>
      <w:r>
        <w:rPr>
          <w:noProof/>
        </w:rPr>
        <w:t>under henvisning til forslag fra Europa-Kommissionen,</w:t>
      </w:r>
    </w:p>
    <w:p>
      <w:pPr>
        <w:rPr>
          <w:noProof/>
        </w:rPr>
      </w:pPr>
      <w:r>
        <w:rPr>
          <w:noProof/>
        </w:rPr>
        <w:t>under henvisning til godkendelse fra Europa-Parlamentet, og</w:t>
      </w:r>
    </w:p>
    <w:p>
      <w:pPr>
        <w:rPr>
          <w:noProof/>
        </w:rPr>
      </w:pPr>
      <w:r>
        <w:rPr>
          <w:noProof/>
        </w:rPr>
        <w:t>ud fra følgende betragtninger:</w:t>
      </w:r>
    </w:p>
    <w:p>
      <w:pPr>
        <w:pStyle w:val="ManualConsidrant"/>
        <w:rPr>
          <w:noProof/>
        </w:rPr>
      </w:pPr>
      <w:r>
        <w:t>(1)</w:t>
      </w:r>
      <w:r>
        <w:tab/>
      </w:r>
      <w:r>
        <w:rPr>
          <w:noProof/>
        </w:rPr>
        <w:t>Associeringsaftalen mellem Den Europæiske Union og Det Europæiske Atomenergifællesskab og deres medlemsstater på den ene side og Ukraine på den anden side</w:t>
      </w:r>
      <w:r>
        <w:rPr>
          <w:rStyle w:val="FootnoteReference"/>
          <w:noProof/>
        </w:rPr>
        <w:footnoteReference w:id="1"/>
      </w:r>
      <w:r>
        <w:rPr>
          <w:noProof/>
        </w:rPr>
        <w:t xml:space="preserve"> ("associeringsaftalen") trådte i kraft den 1. september 2017.</w:t>
      </w:r>
    </w:p>
    <w:p>
      <w:pPr>
        <w:pStyle w:val="ManualConsidrant"/>
        <w:rPr>
          <w:noProof/>
        </w:rPr>
      </w:pPr>
      <w:r>
        <w:t>(2)</w:t>
      </w:r>
      <w:r>
        <w:tab/>
      </w:r>
      <w:r>
        <w:rPr>
          <w:noProof/>
        </w:rPr>
        <w:t>En ny type fjerkræudskæring består af det traditionelle bryststykke med vingeben og kan efter få ændringer i Unionen markedsføres som fjerkræbryst på EU-markedet. Der er derfor risiko for, at ubegrænset import af disse udskæringer – importen heraf fra Ukraine nåede op på 55 500 ton i 2018 – kan underminere de i associeringsaftalen fastsatte betingelser for import af traditionelle fjerkræbrystudskæringer til Unionen, navnlig de kvantitative begrænsninger i form af et toldkontingent.</w:t>
      </w:r>
    </w:p>
    <w:p>
      <w:pPr>
        <w:pStyle w:val="ManualConsidrant"/>
        <w:rPr>
          <w:noProof/>
        </w:rPr>
      </w:pPr>
      <w:r>
        <w:t>(3)</w:t>
      </w:r>
      <w:r>
        <w:tab/>
      </w:r>
      <w:r>
        <w:rPr>
          <w:noProof/>
        </w:rPr>
        <w:t xml:space="preserve">Den 20. december 2018 bemyndigede Rådet Kommissionen til at indlede forhandlinger med Ukraine med henblik på at finde en løsning ved at ændre de handelspræferencer for fjerkrækød og tilberedt fjerkrækød, der er fastsat i associeringsaftalen. Den 19. marts 2019 blev forhandlingerne afsluttet med et positivt resultat. </w:t>
      </w:r>
    </w:p>
    <w:p>
      <w:pPr>
        <w:pStyle w:val="ManualConsidrant"/>
        <w:rPr>
          <w:noProof/>
        </w:rPr>
      </w:pPr>
      <w:r>
        <w:t>(4)</w:t>
      </w:r>
      <w:r>
        <w:tab/>
      </w:r>
      <w:r>
        <w:rPr>
          <w:noProof/>
        </w:rPr>
        <w:t>I overensstemmelse med Rådets afgørelse (EU) 2019/...</w:t>
      </w:r>
      <w:r>
        <w:rPr>
          <w:rStyle w:val="FootnoteReference"/>
          <w:noProof/>
        </w:rPr>
        <w:footnoteReference w:id="2"/>
      </w:r>
      <w:r>
        <w:rPr>
          <w:noProof/>
        </w:rPr>
        <w:t xml:space="preserve"> blev aftalen i form af brevveksling mellem Den Europæiske Union og Ukraine om ændring af de handelspræferencere for fjerkrækød og tilberedt fjerkrækød, der er fastsat i associeringsaftalen, undertegnet den [xx] med forbehold af dens indgåelse.</w:t>
      </w:r>
    </w:p>
    <w:p>
      <w:pPr>
        <w:pStyle w:val="ManualConsidrant"/>
        <w:rPr>
          <w:noProof/>
        </w:rPr>
      </w:pPr>
      <w:r>
        <w:t>(5)</w:t>
      </w:r>
      <w:r>
        <w:tab/>
      </w:r>
      <w:r>
        <w:rPr>
          <w:noProof/>
        </w:rPr>
        <w:t>Aftalen bør godkendes på Den Europæiske Unions vegne —</w:t>
      </w:r>
    </w:p>
    <w:p>
      <w:pPr>
        <w:pStyle w:val="Formuledadoption"/>
        <w:rPr>
          <w:noProof/>
        </w:rPr>
      </w:pPr>
      <w:r>
        <w:rPr>
          <w:noProof/>
        </w:rPr>
        <w:t xml:space="preserve">VEDTAGET DENNE AFGØRELSE: </w:t>
      </w:r>
    </w:p>
    <w:p>
      <w:pPr>
        <w:pStyle w:val="Titrearticle"/>
        <w:rPr>
          <w:noProof/>
        </w:rPr>
      </w:pPr>
      <w:r>
        <w:rPr>
          <w:noProof/>
        </w:rPr>
        <w:t>Artikel 1</w:t>
      </w:r>
    </w:p>
    <w:p>
      <w:pPr>
        <w:rPr>
          <w:noProof/>
        </w:rPr>
      </w:pPr>
      <w:r>
        <w:rPr>
          <w:noProof/>
        </w:rPr>
        <w:t>Aftalen i form af brevveksling mellem Den Europæiske Union og Ukraine om ændring af de handelspræferencer for fjerkrækød og tilberedt fjerkrækød, der er fastsat i associeringsaftalen, godkendes herved på Unionens vegne</w:t>
      </w:r>
      <w:r>
        <w:rPr>
          <w:rStyle w:val="FootnoteReference"/>
          <w:noProof/>
        </w:rPr>
        <w:footnoteReference w:id="3"/>
      </w:r>
      <w:r>
        <w:rPr>
          <w:noProof/>
        </w:rPr>
        <w:t xml:space="preserve">. </w:t>
      </w:r>
    </w:p>
    <w:p>
      <w:pPr>
        <w:pStyle w:val="Titrearticle"/>
        <w:keepNext w:val="0"/>
        <w:rPr>
          <w:noProof/>
        </w:rPr>
      </w:pPr>
      <w:r>
        <w:rPr>
          <w:noProof/>
        </w:rPr>
        <w:t>Artikel 2</w:t>
      </w:r>
    </w:p>
    <w:p>
      <w:pPr>
        <w:keepLines/>
        <w:rPr>
          <w:noProof/>
        </w:rPr>
      </w:pPr>
      <w:r>
        <w:rPr>
          <w:noProof/>
        </w:rPr>
        <w:t xml:space="preserve">Formanden for Rådet udpeger den person, som er beføjet til på Den Europæiske Unions vegne at deponere godkendelsesinstrumentet sammen med depositaren for aftalen med henblik på at udtrykke Den Europæiske Unions samtykke til at blive bundet af aftalen. </w:t>
      </w:r>
    </w:p>
    <w:p>
      <w:pPr>
        <w:pStyle w:val="Titrearticle"/>
        <w:rPr>
          <w:noProof/>
        </w:rPr>
      </w:pPr>
      <w:r>
        <w:rPr>
          <w:noProof/>
        </w:rPr>
        <w:t>Artikel 3</w:t>
      </w:r>
    </w:p>
    <w:p>
      <w:pPr>
        <w:rPr>
          <w:noProof/>
        </w:rPr>
      </w:pPr>
      <w:r>
        <w:rPr>
          <w:noProof/>
        </w:rPr>
        <w:t>Denne afgørelse træder i kraft på dagen for vedtagelsen</w:t>
      </w:r>
      <w:r>
        <w:rPr>
          <w:rStyle w:val="FootnoteReference"/>
          <w:noProof/>
        </w:rPr>
        <w:footnoteReference w:id="4"/>
      </w:r>
      <w:r>
        <w:rPr>
          <w:noProof/>
        </w:rPr>
        <w:t xml:space="preserve">. </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161 af 29.5.2014, s. 3.</w:t>
      </w:r>
    </w:p>
  </w:footnote>
  <w:footnote w:id="2">
    <w:p>
      <w:pPr>
        <w:pStyle w:val="FootnoteText"/>
      </w:pPr>
      <w:r>
        <w:rPr>
          <w:rStyle w:val="FootnoteReference"/>
        </w:rPr>
        <w:footnoteRef/>
      </w:r>
      <w:r>
        <w:tab/>
        <w:t>Rådets afgørelse (EU) 2019/... om undertegnelse på Den Europæiske Unions vegne og midlertidig anvendelse af aftalen i form af brevveksling mellem Den Europæiske Union og Ukraine om ændring af de handelspræferencer for fjerkrækød og tilberedt fjerkrækød, der er fastsat i associeringsaftalen mellem Den Europæiske Union og Det Europæiske Atomenergifællesskab og deres medlemsstater på den ene side og Ukraine på den anden side (EUT L xxx af xx.xx.xxxx, s. xx).</w:t>
      </w:r>
    </w:p>
  </w:footnote>
  <w:footnote w:id="3">
    <w:p>
      <w:pPr>
        <w:pStyle w:val="FootnoteText"/>
      </w:pPr>
      <w:r>
        <w:rPr>
          <w:rStyle w:val="FootnoteReference"/>
        </w:rPr>
        <w:footnoteRef/>
      </w:r>
      <w:r>
        <w:tab/>
        <w:t>Aftalen er offentliggjort i [</w:t>
      </w:r>
      <w:r>
        <w:rPr>
          <w:i/>
        </w:rPr>
        <w:t>angiv EUT-henvisning</w:t>
      </w:r>
      <w:r>
        <w:t>] sammen med afgørelsen om undertegnelse.</w:t>
      </w:r>
    </w:p>
  </w:footnote>
  <w:footnote w:id="4">
    <w:p>
      <w:pPr>
        <w:pStyle w:val="FootnoteText"/>
      </w:pPr>
      <w:r>
        <w:rPr>
          <w:rStyle w:val="FootnoteReference"/>
        </w:rPr>
        <w:footnoteRef/>
      </w:r>
      <w:r>
        <w:tab/>
        <w:t xml:space="preserve">Datoen for aftalens ikrafttræden offentliggøres i </w:t>
      </w:r>
      <w:r>
        <w:rPr>
          <w:i/>
        </w:rPr>
        <w:t>Den Europæiske Unions Tidende</w:t>
      </w:r>
      <w:r>
        <w:t xml:space="preserve"> på foranledning af Generalsekretariatet for Rådet.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908A24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71EBA9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AA8914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E2C9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7A6DC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43287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72AA30C"/>
    <w:lvl w:ilvl="0">
      <w:start w:val="1"/>
      <w:numFmt w:val="decimal"/>
      <w:pStyle w:val="ListNumber"/>
      <w:lvlText w:val="%1."/>
      <w:lvlJc w:val="left"/>
      <w:pPr>
        <w:tabs>
          <w:tab w:val="num" w:pos="360"/>
        </w:tabs>
        <w:ind w:left="360" w:hanging="360"/>
      </w:pPr>
    </w:lvl>
  </w:abstractNum>
  <w:abstractNum w:abstractNumId="7">
    <w:nsid w:val="FFFFFF89"/>
    <w:multiLevelType w:val="singleLevel"/>
    <w:tmpl w:val="F3FC9E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1:43:2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378DFE1E-A9DF-480B-9FF6-B453C5968375"/>
    <w:docVar w:name="LW_COVERPAGE_TYPE" w:val="1"/>
    <w:docVar w:name="LW_CROSSREFERENCE" w:val="&lt;UNUSED&gt;"/>
    <w:docVar w:name="LW_DocType" w:val="COM"/>
    <w:docVar w:name="LW_EMISSION" w:val="12.6.2019"/>
    <w:docVar w:name="LW_EMISSION_ISODATE" w:val="2019-06-12"/>
    <w:docVar w:name="LW_EMISSION_LOCATION" w:val="BRX"/>
    <w:docVar w:name="LW_EMISSION_PREFIX" w:val="Bruxelles,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132"/>
    <w:docVar w:name="LW_REF.II.NEW.CP_YEAR" w:val="2019"/>
    <w:docVar w:name="LW_REF.INST.NEW" w:val="COM"/>
    <w:docVar w:name="LW_REF.INST.NEW_ADOPTED" w:val="final"/>
    <w:docVar w:name="LW_REF.INST.NEW_TEXT" w:val="(2019) 2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indgåelse af aftale i form af brevveksling mellem Den Europæiske Union og Ukraine om ændring af de handelspræferencer for fjerkrækød og tilberedt fjerkrækød, der er fastsat i associeringsaftalen mellem Den Europæiske Union og Det Europæiske Atomenergifællesskab og deres medlemsstater på den ene side og Ukraine på den anden side_x000b_"/>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97F3623-0515-4A84-9743-8FC364E8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1330</Words>
  <Characters>7997</Characters>
  <Application>Microsoft Office Word</Application>
  <DocSecurity>0</DocSecurity>
  <Lines>150</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2019-04-25T12:26:00Z</cp:lastPrinted>
  <dcterms:created xsi:type="dcterms:W3CDTF">2019-05-23T14:22:00Z</dcterms:created>
  <dcterms:modified xsi:type="dcterms:W3CDTF">2019-06-04T09:43:00Z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