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2ACD52EC-71A5-47D9-9866-5487749A511E" style="width:450.75pt;height:365.8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</w:p>
    <w:p>
      <w:pPr>
        <w:rPr>
          <w:noProof/>
        </w:rPr>
      </w:pPr>
    </w:p>
    <w:p>
      <w:pPr>
        <w:pStyle w:val="Statut"/>
        <w:rPr>
          <w:noProof/>
        </w:rPr>
      </w:pPr>
      <w:r>
        <w:rPr>
          <w:noProof/>
        </w:rPr>
        <w:t>Rakkomandazzjoni għal</w:t>
      </w:r>
    </w:p>
    <w:p>
      <w:pPr>
        <w:pStyle w:val="Typedudocument"/>
        <w:rPr>
          <w:noProof/>
        </w:rPr>
      </w:pPr>
      <w:r>
        <w:rPr>
          <w:noProof/>
        </w:rPr>
        <w:t>RAKKOMANDAZZJONI TAL-KUNSILL</w:t>
      </w:r>
    </w:p>
    <w:p>
      <w:pPr>
        <w:pStyle w:val="Titreobjet"/>
        <w:rPr>
          <w:noProof/>
        </w:rPr>
      </w:pPr>
      <w:r>
        <w:rPr>
          <w:noProof/>
        </w:rPr>
        <w:t>dwar il-Programm Nazzjonali ta’ Riforma tal-Iżvezja għall-2019 u li tagħti l-opinjoni tal-Kunsill dwar il-Programm ta’ Konverġenza tal-Iżvezja għall-2019</w:t>
      </w:r>
      <w:r>
        <w:rPr>
          <w:noProof/>
        </w:rPr>
        <w:br/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l-Artikoli 121(2) u 148(4) tiegħu,</w:t>
      </w:r>
    </w:p>
    <w:p>
      <w:pPr>
        <w:rPr>
          <w:noProof/>
        </w:rPr>
      </w:pPr>
      <w:r>
        <w:rPr>
          <w:noProof/>
        </w:rPr>
        <w:t>Wara li kkunsidra r-Regolament tal-Kunsill (KE) Nru 1466/97 tas-7 ta’ Lulju 1997 dwar it-tisħiħ tas-sorveljanza ta’ pożizzjonijiet ta’ budget u s-sorveljanza u l-koordinazzjoni ta’ politika ekonomika</w:t>
      </w:r>
      <w:r>
        <w:rPr>
          <w:rStyle w:val="FootnoteReference"/>
          <w:noProof/>
        </w:rPr>
        <w:footnoteReference w:id="1"/>
      </w:r>
      <w:r>
        <w:rPr>
          <w:noProof/>
        </w:rPr>
        <w:t>, u b’mod partikolari l-Artikolu 9(2) tiegħu,</w:t>
      </w:r>
    </w:p>
    <w:p>
      <w:pPr>
        <w:rPr>
          <w:noProof/>
        </w:rPr>
      </w:pPr>
      <w:r>
        <w:rPr>
          <w:noProof/>
        </w:rPr>
        <w:t>Wara li kkunsidra r-Regolament (UE) Nru 1176/2011 tal-Parlament Ewropew u tal-Kunsill tas-16 ta’ Novembru 2011 dwar il-prevenzjoni u l-korrezzjoni tal-iżbilanċi makroekonomiċi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, u b’mod partikolari l-Artikolu 6(1) tiegħu, </w:t>
      </w:r>
    </w:p>
    <w:p>
      <w:pPr>
        <w:rPr>
          <w:noProof/>
        </w:rPr>
      </w:pPr>
      <w:r>
        <w:rPr>
          <w:noProof/>
        </w:rPr>
        <w:t>Wara li kkunsidra r-rakkomandazzjoni tal-Kummissjoni Ewropea,</w:t>
      </w:r>
    </w:p>
    <w:p>
      <w:pPr>
        <w:rPr>
          <w:noProof/>
        </w:rPr>
      </w:pPr>
      <w:r>
        <w:rPr>
          <w:noProof/>
        </w:rPr>
        <w:t>Wara li kkunsidra r-riżoluzzjonijiet tal-Parlament Ewropew,</w:t>
      </w:r>
    </w:p>
    <w:p>
      <w:pPr>
        <w:outlineLvl w:val="0"/>
        <w:rPr>
          <w:noProof/>
        </w:rPr>
      </w:pPr>
      <w:r>
        <w:rPr>
          <w:noProof/>
        </w:rPr>
        <w:t>Wara li kkunsidra l-konklużjonijiet tal-Kunsill Ewropew,</w:t>
      </w:r>
    </w:p>
    <w:p>
      <w:pPr>
        <w:rPr>
          <w:noProof/>
        </w:rPr>
      </w:pPr>
      <w:r>
        <w:rPr>
          <w:noProof/>
        </w:rPr>
        <w:t>Wara li kkunsidra l-opinjoni tal-Kumitat tal-Impjiegi,</w:t>
      </w:r>
    </w:p>
    <w:p>
      <w:pPr>
        <w:rPr>
          <w:noProof/>
        </w:rPr>
      </w:pPr>
      <w:r>
        <w:rPr>
          <w:noProof/>
        </w:rPr>
        <w:t>Wara li kkunsidra l-opinjoni tal-Kumitat Ekonomiku u Finanzjarju Ewropew,</w:t>
      </w:r>
    </w:p>
    <w:p>
      <w:pPr>
        <w:rPr>
          <w:noProof/>
        </w:rPr>
      </w:pPr>
      <w:r>
        <w:rPr>
          <w:noProof/>
        </w:rPr>
        <w:t>Wara li kkunsidra l-opinjoni tal-Kumitat tal-Protezzjoni Soċjali,</w:t>
      </w:r>
    </w:p>
    <w:p>
      <w:pPr>
        <w:rPr>
          <w:noProof/>
        </w:rPr>
      </w:pPr>
      <w:r>
        <w:rPr>
          <w:noProof/>
        </w:rPr>
        <w:t>Wara li kkunsidra l-opinjoni tal-Kumitat tal-Politika Ekonomika,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Fil-21 ta’ Novembru 2018, il-Kummissjoni adottat l-Istħarriġ Annwali dwar it-Tkabbir, li kien jimmarka l-bidu tas-Semestru Ewropew għall-2019 għall-koordinazzjoni tal-politika ekonomika. Din qieset il-Pilastru Ewropew tad-Drittijiet Soċjali, li tħabbar mill-Parlament Ewropew, mill-Kunsill u mill-Kummissjoni fis-17 ta’ Novembru 2017. Il-prijoritajiet tal-Istħarriġ Annwali dwar it-Tkabbir ġew approvati mill-Kunsill Ewropew fil-21 ta’ Marzu 2019. Fil-21 ta’ Novembru 2018 il-Kummissjoni adottat ukoll ir-Rapport dwar il-Mekkaniżmu ta’ Twissija abbażi tar-Regolament (UE) Nru 1176/2011 fejn l-Iżvezja ġiet identifikata bħala wieħed mill-Istati Membri li fil-konfront tagħhom kienet se ssir analiżi fil-fond.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Ir-rapport tal-pajjiż għall-2019 tal-Iżvezja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ġie ppubblikat fis-27 ta’ Frar 2019. Dan ivvaluta l-progress li għamlet l-Iżvezja biex tindirizza r-rakkomandazzjoni speċifika </w:t>
      </w:r>
      <w:r>
        <w:rPr>
          <w:noProof/>
        </w:rPr>
        <w:lastRenderedPageBreak/>
        <w:t>għall-pajjiż li ġiet adottata mill-Kunsill fit-13 ta’ Lulju 2018, l-azzjoni li ttieħdet fir-rigward tar-rakkomandazzjonijiet tas-snin ta’ qabel u l-progress tal-Iżvezja biex tilħaq il-miri nazzjonali tagħha għall-Ewropa 2020. Inkluda wkoll analiżi fil-fond skont l-Artikolu 5 tar-Regolament (UE) Nru 1176/2011, li r-riżultati tagħha ġew ippubblikati fis-27 ta’ Frar 2019</w:t>
      </w:r>
      <w:r>
        <w:rPr>
          <w:rStyle w:val="FootnoteReference"/>
          <w:noProof/>
        </w:rPr>
        <w:footnoteReference w:id="4"/>
      </w:r>
      <w:r>
        <w:rPr>
          <w:noProof/>
        </w:rPr>
        <w:t>. L-analiżi tal-Kummissjoni wasslitha biex tikkonkludi li l-Iżvezja qed tesperjenza żbilanċi makroekonomiċi. B’mod partikolari, il-prezzijiet sovravalutati tal-akkomodazzjonijiet flimkien ma’ żieda fid-dejn tal-unitajiet domestiċi jirriskjaw li jwasslu għal korrezzjoni diżordnata. Id-dejn għoli tal-unitajiet domestiċi komplew jogħlew bħala sehem mill-PDG. Fit-tieni nofs tal-2017 kien hemm korrezzjoni tal-prezzijiet tal-akkomodazzjonijiet u minn dakinhar dawn gradwalment stabbilizzaw ruħhom. Madankollu, l-indikaturi tal-valutazzjoni jissuġġerixxu li l-prezzijiet tal-akkomodazzjonijiet għadhom għoljin meta jitqiesu l-elementi fundamentali tal-ekonomija. Minkejja li s-settur bankarju jidher kapitalizzat sew, meta titqies l-iskopertura għas-self ipotekarju tal-unitajiet domestiċi, il-korrezzjoni diżordnata tolqot lis-settur finanzjarju b’mod negattiv. Meta jitqies l-irbit finanzjarju sistemiku, dan jista’ jħalli riperkussjonijiet negattivi fuq il-pajjiżi ġirien. Id-diffikultajiet strutturali għall-provvista tal-akkomodazzjonijiet għadha tippersisti u l-output tal-kostruzzjoni ddgħajjef. Għalkemm f’dawn l-aħħar snin ittieħdu passi fil-qasam makroprudenzjali biex tiġi indirizzata ż-żieda fid-dejn, sa issa l-impatt tagħhom jidher li huwa limitat. Għad hemm lakuni f’politiki ewlenin, partikolarment fir-rigward tal-inċentivi tat-taxxa għas-sjieda tal-akkomodazzjonijiet u tal-funzjonament tal-provvista tal-akkomodazzjonijiet u tas-suq tal-kiri.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Fis-26 ta’ April 2019, l-Iżvezja ppreżentat il-Programm Nazzjonali ta’ Riforma tagħha għall-2019 u, fid-29 ta’ April 2019, il-Programm ta’ Konverġenza tagħha għall-2019. Sabiex jitqiesu r-rabtiet ta’ bejniethom, iż-żewġ programmi ġew ivvalutati fl-istess waqt.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Ir-rakkomandazzjonijiet speċifiċi għall-pajjiż ġew indirizzati fl-ipprogrammar tal-Fondi Strutturali u ta’ Investiment Ewropej (“Fondi SIE”) għall-perjodu bejn l-2014 u l-2020. Kif inhu previst fl-Artikolu 23 tar-Regolament (UE) Nru 1303/2013 tal-Parlament Ewropew u tal-Kunsill</w:t>
      </w:r>
      <w:r>
        <w:rPr>
          <w:rStyle w:val="FootnoteReference"/>
          <w:noProof/>
        </w:rPr>
        <w:footnoteReference w:id="5"/>
      </w:r>
      <w:r>
        <w:rPr>
          <w:noProof/>
        </w:rPr>
        <w:t>, fil-każijiet fejn ikun meħtieġ li jingħata appoġġ għall-implimentazzjoni tar-rakkomandazzjonijiet rilevanti tal-Kunsill, il-Kummissjoni tista’ titlob li Stat Membru jirrieżamina l-Ftehim ta’ Sħubija u l-programmi rilevanti tiegħu u jipproponi emendi għalih. Il-Kummissjoni tat aktar dettalji dwar kif biħsiebha tuża dik id-dispożizzjoni fil-linji gwida dwar l-applikazzjoni tal-miżuri marbuta mal-effettività tal-Fondi SEI għal governanza ekonomika soda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Bħalissa l-Iżvezja tinsab fil-parti preventiva tal-Patt ta’ Stabbiltà u Tkabbir. Fil-Programm ta’ Konverġenza tiegħu għall-2019 il-gvern qiegħed jippjana li jkun f’surplus ta’ 0,6 % tal-PDG fl-2019, li huwa mistenni jissaħħaħ aktar matul il-perjodu tal-programm. Fuq il-bażi tal-bilanċ strutturali kkalkolat mill-ġdid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, l-objettiv baġitarju </w:t>
      </w:r>
      <w:r>
        <w:rPr>
          <w:noProof/>
        </w:rPr>
        <w:lastRenderedPageBreak/>
        <w:t>ta’ terminu medju — defiċit strutturali ta’ 1 % tal-PDG — huwa ppjanat li jinqabeż matul il-perjodu tal-ipprogrammar. Skont il-Programm ta’ Konverġenza għall-2019, il-proporzjon tad-dejn għall-PDG tal-gvern mistenni jonqos gradwalment minn 34,5 % fl-2019 u jissokta jonqos għal 28,2 % tal-2022. Il-finanzi pubbliċi sodi u t-tkabbir ekonomiku stabbli mistennija jkunu l-motivaturi ewlenin tat-tnaqqis tal-proporzjon tad-dejn għall-PDG tal-gvern ġenerali. Ix-xenarju makroekonomiku li jirfed dawn il-projezzjonijiet baġitarji huwa plawżibbli. Abbażi tat-tbassir tar-rebbiegħa tal-2019 tal-Kummissjoni, fl-2019 il-bilanċ strutturali mistenni jirreġistra surplus ta’ 0,5 % tal-PDG u ta’ 0,6 % tal-PDG fl-2020, rata li taqbeż l-objettiv baġitarju ta’ terminu medju. Kumplessivament, il-Kunsill huwa tal-opinjoni li fl-2019 u fl-2020 l-Iżvezja mistennija tikkonforma mad-dispożizzjonijiet tal-Patt ta’ Stabbiltà u Tkabbir.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Id-dejn tal-unitajiet domestiċi baqa’ jiżdied mil-livelli li digà kienu għoljin. Fl-2018 id-dejn tal-unitajiet domestiċi żdied b’5,5 % u laħaq it-88 % tal-PDG u 186 % tal-introjtu disponibbli, li hija waħda fost l-ogħla rati fl-UE. Dan ġie xprunat l-aktar mis-self ipotekarju ogħla marbut mal-prezzijiet ogħla tal-akkomodazzjonijiet, flimkien ma’ distorsjonijiet strutturali li jiffavorixxu x-xiri ta’ proprjetà b’finanzjament ipotekarju. L-Iżvezja implimentat diversi miżuri makroprudenzjali f’dan l-aħħar snin, fosthom regola msaħħa li daħlet fis-seħħ f’Marzu 2018 dwar il-ħlas lura għal self ipotekarju bi proporzjon dejn-introjtu għoli, u d-deċiżjoni biex minn Settembru 2019 jiżdied il-kapital ta’ lqugħ tal-banek. Madankollu, jidher li l-miżuri ta’ politika li ttieħdu sal-lum kellhom impatt ġenerali limitat fuq iż-żieda fis-self ipotekarju u ma ttieħdet l-ebda azzjoni politika għar-riforma tal-inċentivi tat-taxxa b’rabta mas-sjieda tal-akkomodazzjoni u d-dejn ipotekarju.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Filwaqt li l-prezzijiet tal-akkomodazzjonijiet naqsu lejn l-aħħar tal-2017 u żammew stabbli minn dak iż-żmien, dan seħħ wara perjodu twil ta’ żidiet qawwija tal-prezzijiet, u l-valwazzjonijiet għadhom ferm ogħla mill-elementi fundamentali ekonomiċi. Fost il-kwistjonijiet ewlenin hemm l-inċentivi tat-taxxa li jiffavorixxu s-sjieda tal-akkomodazzjonijiet u s-self ipotekarju, u l-kundizzjonijiet ta’ kreditu akkomodanti flimkien mar-rati ta’ ħlas lura li għadhom relattivament baxxi. Minkejja żieda sinifikanti f’bini ġdid fuq dawn l-aħħar ħames snin, għad fadal nuqqas ta’ akkomodazzjonijiet, speċjalment akkomodazzjonijiet affordabbli fil-bliet il-kbar. Il-provvista ta’ akkomodazzjonijiet ġodda ma kinitx biżżejjed biex tlaħħaq mal-bżonnijiet previsti għall-futur qrib, li huma stmati li jlaħħqu d-90 000 dar ġdida kull sena għall-perjodu bejn l-2018 u l-2020. Dan in-nuqqas huwa marbut ma’ ineffiċjenzi strutturali, bħall-kompetizzjoni limitat fis-settur tal-kostruzzjoni minħabba fl-ostakli għad-dħul fil-konfront tad-ditti żgħar u barranin u l-kapaċità tal-iżviluppaturi l-kbar li jikkontrollaw ir-riżorsi tal-art. L-istokk tal-akkomodazzjonijiet mhuwiex jintuża b’mod effiċjenti. Fis-suq tal-kera l-kirjiet aktar baxxi mis-suq joħolqu effetti ta’ intrappolament u ta’ sitwazzjoni privileġġjata (“insider/outsider effect”). Fis-suq tas-sidien-okkupanti it-taxxi fuq il-qligħ kapitali jnaqqsu l-mobbiltà tas-sidien tal-akkomodazzjonijiet. In-nuqqas ta’ abitazzjoni tagħmilha aktar diffiċli għall-persuni biex ibiddlu x-xogħol u jista’ jwassal għal inugwaljanza bejn ġenerazzjonijiet differenti. L-awtoritajiet Żvediżi qegħdin ikomplu jimplimentaw gradwalment il-“pjan ta’ 22 punt” biex jiżdied il-bini ta’ akkomodazzjonijiet residenzjali u biex tittejjeb l-effiċjenza tas-settur tal-abitazzjoni. Sa issa ma ttieħed l-ebda pass konkret favur il-liberalizzazzjoni tar-regolamenti stretti tal-kiri u r-reviżjoni tat-taxxa kapitali fuq l-akkomodazzjonijiet okkupati mis-sidien, għalkemm f’Jannar 2019 il-gvern il-ġdid </w:t>
      </w:r>
      <w:r>
        <w:rPr>
          <w:noProof/>
        </w:rPr>
        <w:lastRenderedPageBreak/>
        <w:t>ħabbar pjani biex jintroduċi riformi f’dan il-qasam, suġġett għal ħidma preparatorja ta’ stħarriġ tal-qasam.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Qegħdin joħorġu fid-dieher nuqqasijiet ta’ ħaddiema f’ċerti setturi, bħal dak tal-kostruzzjoni, tal-edukazzjoni u tat-teknoloġiji tal-informazzjoni u tal-komunikazzjoni. Huwa essenzjali li jkun hemm provvista ta’ kapital uman li jappoġġa l-investiment fir-riċerka u l-iżvilupp kif ukoll id-diġitalizzazzjoni. L-investiment fl-edukazzjoni u fil-ħiliet se jgħin biex dawn l-isfidi jiġu indirizzati. Sal-lum ġie rreġistrat titjib fl-eżiti tal-edukazzjoni, iżda għad hemm diskrepanza kbira fil-prestazzjoni tal-edukazzjoni bejn il-gruppi soċjali differenti li qed tkompli titwessa’. L-iżviluppi demografiċi se jwasslu għal żieda fl-għadd ta’ studenti, li se tkompli tolqot l-għadd ta’ għalliema ta’ bħalissa b’mod negattiv. Is-sitwazzjoni tal-migrazzjoni mhux mill-UE u tad-dixxendenti tagħhom u l-effetti ta’ ċerti programmi li ġew adottati dan l-aħħar jistħoqqilhom monitoraġġ mill-qrib għaliex l-integrazzjoni ta’ studenti mwielda f’pajjiżi barranin, u l-inklużjoni sostenibbli tal-migranti b’livell baxx ta’ ħiliet u tal-migranti mhux mill-UE (partikolarment in-nisa) fis-suq tax-xogħol għadha diffiċli.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Iż-żamma tal-livell tal-investimenti fl-infrastruttura tat-trasport tista’ tikkontribwixxi għat-titjib tal-mobilità tal-forza tax-xogħol, tal-koeżjoni reġjonali u tas-settur tal-abitazzjoni u trawwem it-tkabbir fit-tul tal-produttività tal-Iżvezja. Il-gvern ħabbar investimenti konsiderevoli fl-infrastruttura tat-trasport permezz tal-pjan nazzjonali għall-infrastruttura 2018-2029 sabiex itejjeb il-modi differenti tat-trasport (partikolarment fir-rigward tal-ferrovija u tat-toroq). Il-pjan jinkludi investimenti maġġuri għall-iżviluppar tas-sistema ferrovjarja, il-promozzjoni biex it-trasport tal-merkanzija jibda jsir aktar bil-ferrovija milli bit-triq, li se jikkontribwixxi wkoll għat-tnaqqis tal-emissjonijiet. Iż-żamma ta’ livelli għoljin ta’ investiment fir-riċerka u l-iżvilupp, il-kundizzjonijiet ta' qafas favorevoli u l-bażi ta’ innovazzjoni aktar wiesgħa huma fundamentali biex tissaħħaħ il-pożizzjoni tal-Iżvezja bħala pijunier tal-innovazzjoni. Tradizzjonalment, il-mudell tal-innovazzjoni tal-Iżvezja kien jiddependi fuq għadd limitat ta’ kumpaniji teknoloġiċi kbar u attivi fis-suq globali. Ikun importanti li jinħoloq ambjent li jrawwem l-innovazzjoni potenzjali tal-SMEs u tan-negozji ġodda. Il-kapaċità innovattiva tal-Iżvezja tista’ tittejjeb aktar jekk tissaħħaħ il-kollaborazzjoni bejn l-akkademja u l-SMEs.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Il-prevenzjoni tal-ħasil tal-flus saret prijorità għall-Iżvezja, u dan fl-isfond ta’ skandlu relatat mal-ħasil tal-flus li għadu qed jevolvi fir-rigward ta’ waħda mill-akbar istituzzjonijiet finanzjarji fil-pajjiż. Is-superviżuri finanzjarji Żvediżi u Estonjani bdew investigazzjoni konġunta, flimkien mal-kontropartijiet Latvjani u Litwani tagħhom. Filwaqt li l-qafas tal-Iżvezja kontra l-ħasil tal-flus ġie msaħħaħ fl-2017 bid-dħul fis-seħħ tal-att dwar il-ħasil tal-flus, huwa importanti li tissokta l-ħidma fuq l-identifikazzjoni u l-korrezzjoni ta’ kwalunkwe dgħufija li għad fadal fil-qafas. Għad fadal sfidi x’jiġu indirizzati u s-superviżur għad irid jadotta miżuri u linji gwida addizzjonali dwar kif tista’ tissaħħaħ is-superviżjoni f’dan il-qasam. Jenħtieġ li tingħata attenzjoni għall-implimentazzjoni effettiva ta’ dawn il-miżuri ladarba jiġu adottati.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L-ipprogrammar tal-fondi tal-UE għall-perjodu bejn l-2021 u l-2027 jista’ jgħin biex jiġu indirizzati uħud min-nuqqasijiet li ġew identifikati fir-rakkomandazzjonijiet, partikolarment fl-oqsma koperti mill-Anness D tar-rapport tal-pajjiż</w:t>
      </w:r>
      <w:r>
        <w:rPr>
          <w:rStyle w:val="FootnoteReference"/>
          <w:noProof/>
        </w:rPr>
        <w:footnoteReference w:id="8"/>
      </w:r>
      <w:r>
        <w:rPr>
          <w:noProof/>
        </w:rPr>
        <w:t>. Dan jippermetti li l-Iżvezja tuża tajjeb il-fondi fir-rigward tas-setturi identifikati filwaqt li tqis id-diskrepanzi reġjonali.</w:t>
      </w:r>
    </w:p>
    <w:p>
      <w:pPr>
        <w:pStyle w:val="ManualConsidrant"/>
        <w:rPr>
          <w:noProof/>
        </w:rPr>
      </w:pPr>
      <w:r>
        <w:lastRenderedPageBreak/>
        <w:t>(12)</w:t>
      </w:r>
      <w:r>
        <w:tab/>
      </w:r>
      <w:r>
        <w:rPr>
          <w:noProof/>
        </w:rPr>
        <w:t xml:space="preserve">Fil-kuntest tas-Semestru Ewropew tal-2019, il-Kummissjoni wettqet analiżi komprensiva tal-politika ekonomika tal-Iżvezja u ppubblikatha fir-rapport tal-pajjiżi għall-2019. Ivvalutat ukoll il-Programm ta’ Konverġenza għall-2019 u l-Programm Nazzjonali ta’ Riforma għall-2019 u l-azzjonijiet li ttieħdu dwar ir-rakkomandazzjonijiet li kienu indirizzati lill-Iżvezja fis-snin ta’ qabel. Il-Kummissjoni qieset mhux biss ir-rilevanza tagħhom għal politika fiskali u soċjoekonomika sostenibbli fl-Iżvezja imma qieset ukoll il-konformità tagħhom mar-regoli u mal-gwida tal-Unjoni, fid-dawl tal-ħtieġa li tissaħħaħ il-governanza ekonomika globali tal-Unjoni billi jingħata kontribut fil-livell tal-Unjoni fid-deċiżjonijiet nazzjonali futuri. 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Fid-dawl ta’ din il-valutazzjoni, il-Kunsill eżamina l-Programm ta’ Konverġenza għall-2019 u huwa tal-opinjoni li l-Iżvezja hija mistennija tikkonforma mal-Patt ta’ Stabbiltà u Tkabbir.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Fid-dawl tal-analiżi fil-fond tal-Kummissjoni, il-Kunsill eżamina l-Programm Nazzjonali ta’ Riforma għall-2019 u l-Programm ta’ Konverġenza għall-2019. Ir-rakkomandazzjonijiet tiegħu skont l-Artikolu 6 tar-Regolament (UE) Nru 1176/2011 huma riflessi fir-rakkomandazzjoni (1) aktar ’l isfel.</w:t>
      </w:r>
    </w:p>
    <w:p>
      <w:pPr>
        <w:pStyle w:val="Formuledadoption"/>
        <w:rPr>
          <w:noProof/>
        </w:rPr>
      </w:pPr>
      <w:r>
        <w:rPr>
          <w:noProof/>
        </w:rPr>
        <w:t>B’DAN JIRRAKKOMANDA li fl-2019 u fl-2020 l-Iżvezja tieħu azzjoni biex: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Tindirizza r-riskji relatati mad-dejn kbir tal-unitajiet domestiċi billi tnaqqas gradwalment it-tnaqqis tat-taxxa fuq il-pagamenti tal-imgħax ipotekarju jew iżżid it-taxxi rikorrenti fuq il-proprjetà. Tistimula l-investiment fil-kostruzzjoni residenzjali fejn hemm l-aktar nuqqasijiet urġenti, b’mod partikolari billi tneħħi l-ostakli għall-kostruzzjoni. Ittejjeb l-effiċjenza tas-suq tal-akkomodazzjoni, fosthom billi tiġi introdotta aktar flessibbiltà fil-prezzijiet tal-kera u fir-reviżjoni tat-tfassil tat-taxxa fuq il-qligħ kapitali.</w:t>
      </w:r>
    </w:p>
    <w:p>
      <w:pPr>
        <w:pStyle w:val="ManualNumPar1"/>
        <w:rPr>
          <w:rFonts w:eastAsia="Times New Roman"/>
          <w:noProof/>
          <w:szCs w:val="24"/>
        </w:rPr>
      </w:pPr>
      <w:r>
        <w:t>2.</w:t>
      </w:r>
      <w:r>
        <w:tab/>
      </w:r>
      <w:r>
        <w:rPr>
          <w:noProof/>
        </w:rPr>
        <w:t>Tiffoka l-politika ekonomika relatata mal-investiment fuq l-edukazzjoni u l-ħiliet, filwaqt li żżomm il-livell tal-investiment fit-trasport sostenibbli biex jitjiebu il-modi differenti tat-trasport, partikolarment il-ferrovija, u r-riċerka u l-innovazzjoni, filwaqt li tqis id-diskrepanzi reġjonali.</w:t>
      </w:r>
    </w:p>
    <w:p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>Tiżgura s-superviżjoni u l-infurzar effettivi tal-qafas kontra l-ħasil tal-flus.</w:t>
      </w:r>
    </w:p>
    <w:p>
      <w:pPr>
        <w:pStyle w:val="Fait"/>
        <w:rPr>
          <w:noProof/>
        </w:rPr>
      </w:pPr>
      <w:bookmarkStart w:id="1" w:name="_CopyToNewDocument_"/>
      <w:bookmarkEnd w:id="1"/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ĠU L 209, 2.8.1997, p. 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ĠU L 306, 23.11.2011, p. 25.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SWD(2019) 1026 final.</w:t>
      </w:r>
    </w:p>
  </w:footnote>
  <w:footnote w:id="4">
    <w:p>
      <w:pPr>
        <w:pStyle w:val="FootnoteText"/>
        <w:tabs>
          <w:tab w:val="left" w:pos="709"/>
        </w:tabs>
        <w:ind w:left="709" w:hanging="709"/>
      </w:pPr>
      <w:r>
        <w:rPr>
          <w:rStyle w:val="FootnoteReference"/>
        </w:rPr>
        <w:footnoteRef/>
      </w:r>
      <w:r>
        <w:tab/>
        <w:t>COM(2019) 150 final.</w:t>
      </w:r>
    </w:p>
  </w:footnote>
  <w:footnote w:id="5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>Ir-Regolament (UE) Nru 1303/2013 tal-Parlament Ewropew u tal-Kunsill tas-17 ta’ Diċembru 2013 li jistabbilixxi dispożizzjonijiet komuni dwar il-Fond Ewropew għall-Iżvilupp Reġjonali, il-Fond Soċjali Ewropew, il-Fond ta’ Koeżjoni, il-Fond Agrikolu Ewropew għall-Iżvilupp Rurali u l-Fond Marittimu u tas-Sajd Ewropew u li jistabbilixxi d-dispożizzjonijiet ġenerali dwar il-Fond Ewropew għall-Iżvilupp Reġjonali, il-Fond Soċjali Ewropew, il-Fond ta’ Koeżjoni u l-Fond Ewropew għall-Affarijiet Marittimi u s-Sajd u li jħassar ir-Regolament tal-Kunsill (KE) Nru 1083/2006 (ĠU L 347, 20.12.2013, p. 320).</w:t>
      </w:r>
    </w:p>
  </w:footnote>
  <w:footnote w:id="6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>COM(2014) 494 final.</w:t>
      </w:r>
    </w:p>
  </w:footnote>
  <w:footnote w:id="7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>Il-bilanċ aġġustat ċiklikament li ma jinkludix miżuri ta’ darba u miżuri temporanji, ikkalkulat mill-ġdid mill-Kummissjoni permezz tal-metodoloġija maqbula b’mod komuni.</w:t>
      </w:r>
    </w:p>
    <w:p>
      <w:pPr>
        <w:pStyle w:val="FootnoteText"/>
      </w:pPr>
    </w:p>
  </w:footnote>
  <w:footnote w:id="8">
    <w:p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ab/>
        <w:t>SWD(2019) 1026 final.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AE60E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ABCF7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01CC5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3584A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87C50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A8C12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3F4FD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5F845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2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12 12:50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ACD52EC-71A5-47D9-9866-5487749A511E"/>
    <w:docVar w:name="LW_COVERPAGE_TYPE" w:val="1"/>
    <w:docVar w:name="LW_CROSSREFERENCE" w:val="&lt;UNUSED&gt;"/>
    <w:docVar w:name="LW_DocType" w:val="COM"/>
    <w:docVar w:name="LW_EMISSION" w:val="5.6.2019"/>
    <w:docVar w:name="LW_EMISSION_ISODATE" w:val="2019-06-05"/>
    <w:docVar w:name="LW_EMISSION_LOCATION" w:val="BRX"/>
    <w:docVar w:name="LW_EMISSION_PREFIX" w:val="Brussell, "/>
    <w:docVar w:name="LW_EMISSION_SUFFIX" w:val=" "/>
    <w:docVar w:name="LW_ID_DOCMODEL" w:val="SG-002"/>
    <w:docVar w:name="LW_ID_DOCSIGNATURE" w:val="SG-002"/>
    <w:docVar w:name="LW_ID_DOCSTRUCTURE" w:val="COM/PL/ORG"/>
    <w:docVar w:name="LW_ID_DOCTYPE" w:val="SG-002"/>
    <w:docVar w:name="LW_ID_EXP.MOTIFS.NEW" w:val="EM_PL_"/>
    <w:docVar w:name="LW_ID_STATUT" w:val="SG-002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52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Rakkomandazzjoni g\u295?al"/>
    <w:docVar w:name="LW_SUPERTITRE" w:val="&lt;UNUSED&gt;"/>
    <w:docVar w:name="LW_TITRE.OBJ.CP" w:val="dwar il-Programm Nazzjonali ta\u8217? Riforma tal-I\u380?vezja g\u295?all-2019 u li tag\u295?ti l-opinjoni tal-Kunsill dwar il-Programm ta\u8217? Konver\u289?enza tal-I\u380?vezja g\u295?all-2019_x000b__x000b_"/>
    <w:docVar w:name="LW_TYPE.DOC.CP" w:val="RAKKOMANDAZZ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1658445-AA82-4259-936E-0AF01EDE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6</Pages>
  <Words>1773</Words>
  <Characters>13583</Characters>
  <Application>Microsoft Office Word</Application>
  <DocSecurity>0</DocSecurity>
  <Lines>205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19</cp:revision>
  <cp:lastPrinted>2019-05-29T16:23:00Z</cp:lastPrinted>
  <dcterms:created xsi:type="dcterms:W3CDTF">2019-06-09T18:17:00Z</dcterms:created>
  <dcterms:modified xsi:type="dcterms:W3CDTF">2019-06-12T10:50:00Z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SG-002</vt:lpwstr>
  </property>
  <property fmtid="{D5CDD505-2E9C-101B-9397-08002B2CF9AE}" pid="10" name="DQCStatus">
    <vt:lpwstr>Green (DQC version 03)</vt:lpwstr>
  </property>
</Properties>
</file>