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3F" w:rsidRDefault="00907AA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8745FE3-2777-443F-BC54-702BC5EE4E8D" style="width:451pt;height:366pt">
            <v:imagedata r:id="rId8" o:title=""/>
          </v:shape>
        </w:pict>
      </w:r>
    </w:p>
    <w:p w:rsidR="001F283F" w:rsidRDefault="001F283F">
      <w:pPr>
        <w:rPr>
          <w:noProof/>
        </w:rPr>
        <w:sectPr w:rsidR="001F283F">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1F283F" w:rsidRDefault="001F283F">
      <w:pPr>
        <w:pStyle w:val="Exposdesmotifstitre"/>
        <w:rPr>
          <w:noProof/>
        </w:rPr>
      </w:pPr>
    </w:p>
    <w:p w:rsidR="001F283F" w:rsidRDefault="001F283F">
      <w:pPr>
        <w:rPr>
          <w:noProof/>
        </w:rPr>
      </w:pPr>
    </w:p>
    <w:p w:rsidR="001F283F" w:rsidRDefault="00907AA5">
      <w:pPr>
        <w:pStyle w:val="Statut"/>
        <w:rPr>
          <w:noProof/>
        </w:rPr>
      </w:pPr>
      <w:r>
        <w:rPr>
          <w:noProof/>
        </w:rPr>
        <w:t>Soovitus:</w:t>
      </w:r>
    </w:p>
    <w:p w:rsidR="001F283F" w:rsidRDefault="00907AA5">
      <w:pPr>
        <w:pStyle w:val="Typedudocument"/>
        <w:rPr>
          <w:noProof/>
        </w:rPr>
      </w:pPr>
      <w:r>
        <w:rPr>
          <w:noProof/>
        </w:rPr>
        <w:t>NÕUKOGU SOOVITUS,</w:t>
      </w:r>
    </w:p>
    <w:p w:rsidR="001F283F" w:rsidRDefault="00907AA5">
      <w:pPr>
        <w:pStyle w:val="Titreobjet"/>
        <w:rPr>
          <w:noProof/>
        </w:rPr>
      </w:pPr>
      <w:r>
        <w:rPr>
          <w:noProof/>
        </w:rPr>
        <w:t xml:space="preserve">milles käsitletakse Soome 2019. aasta riiklikku reformikava ja esitatakse nõukogu arvamus Soome 2019. aasta </w:t>
      </w:r>
      <w:r>
        <w:rPr>
          <w:noProof/>
        </w:rPr>
        <w:t>stabiilsusprogrammi kohta</w:t>
      </w:r>
      <w:r>
        <w:rPr>
          <w:noProof/>
        </w:rPr>
        <w:br/>
      </w:r>
      <w:r>
        <w:rPr>
          <w:noProof/>
        </w:rPr>
        <w:br/>
      </w:r>
    </w:p>
    <w:p w:rsidR="001F283F" w:rsidRDefault="00907AA5">
      <w:pPr>
        <w:pStyle w:val="Institutionquiagit"/>
        <w:rPr>
          <w:noProof/>
        </w:rPr>
      </w:pPr>
      <w:r>
        <w:rPr>
          <w:noProof/>
        </w:rPr>
        <w:t>EUROOPA LIIDU NÕUKOGU,</w:t>
      </w:r>
    </w:p>
    <w:p w:rsidR="001F283F" w:rsidRDefault="00907AA5">
      <w:pPr>
        <w:rPr>
          <w:noProof/>
        </w:rPr>
      </w:pPr>
      <w:r>
        <w:rPr>
          <w:noProof/>
        </w:rPr>
        <w:t>võttes arvesse Euroopa Liidu toimimise lepingut, eriti selle artikli 121 lõiget 2 ja artikli 148 lõiget 4,</w:t>
      </w:r>
    </w:p>
    <w:p w:rsidR="001F283F" w:rsidRDefault="00907AA5">
      <w:pPr>
        <w:rPr>
          <w:noProof/>
        </w:rPr>
      </w:pPr>
      <w:r>
        <w:rPr>
          <w:noProof/>
        </w:rPr>
        <w:t>võttes arvesse nõukogu 7. juuli 1997. aasta määrust (EÜ) nr 1466/97 eelarveseisundi järelevalve ni</w:t>
      </w:r>
      <w:r>
        <w:rPr>
          <w:noProof/>
        </w:rPr>
        <w:t>ng majanduspoliitika järelevalve ja kooskõlastamise tõhustamise kohta,</w:t>
      </w:r>
      <w:r>
        <w:rPr>
          <w:rStyle w:val="FootnoteReference"/>
          <w:noProof/>
        </w:rPr>
        <w:footnoteReference w:id="1"/>
      </w:r>
      <w:r>
        <w:rPr>
          <w:noProof/>
        </w:rPr>
        <w:t xml:space="preserve"> eriti selle artikli 5 lõiget 2,</w:t>
      </w:r>
    </w:p>
    <w:p w:rsidR="001F283F" w:rsidRDefault="00907AA5">
      <w:pPr>
        <w:rPr>
          <w:noProof/>
        </w:rPr>
      </w:pPr>
      <w:r>
        <w:rPr>
          <w:noProof/>
        </w:rPr>
        <w:t>võttes arvesse Euroopa Komisjoni soovitust,</w:t>
      </w:r>
    </w:p>
    <w:p w:rsidR="001F283F" w:rsidRDefault="00907AA5">
      <w:pPr>
        <w:rPr>
          <w:noProof/>
        </w:rPr>
      </w:pPr>
      <w:r>
        <w:rPr>
          <w:noProof/>
        </w:rPr>
        <w:t>võttes arvesse Euroopa Parlamendi resolutsioone,</w:t>
      </w:r>
    </w:p>
    <w:p w:rsidR="001F283F" w:rsidRDefault="00907AA5">
      <w:pPr>
        <w:outlineLvl w:val="0"/>
        <w:rPr>
          <w:noProof/>
        </w:rPr>
      </w:pPr>
      <w:r>
        <w:rPr>
          <w:noProof/>
        </w:rPr>
        <w:t>võttes arvesse Euroopa Ülemkogu järeldusi,</w:t>
      </w:r>
    </w:p>
    <w:p w:rsidR="001F283F" w:rsidRDefault="00907AA5">
      <w:pPr>
        <w:rPr>
          <w:noProof/>
        </w:rPr>
      </w:pPr>
      <w:r>
        <w:rPr>
          <w:noProof/>
        </w:rPr>
        <w:t xml:space="preserve">võttes arvesse </w:t>
      </w:r>
      <w:r>
        <w:rPr>
          <w:noProof/>
        </w:rPr>
        <w:t>tööhõivekomitee arvamust,</w:t>
      </w:r>
    </w:p>
    <w:p w:rsidR="001F283F" w:rsidRDefault="00907AA5">
      <w:pPr>
        <w:rPr>
          <w:noProof/>
        </w:rPr>
      </w:pPr>
      <w:r>
        <w:rPr>
          <w:noProof/>
        </w:rPr>
        <w:t>võttes arvesse majandus- ja rahanduskomitee arvamust,</w:t>
      </w:r>
    </w:p>
    <w:p w:rsidR="001F283F" w:rsidRDefault="00907AA5">
      <w:pPr>
        <w:rPr>
          <w:noProof/>
        </w:rPr>
      </w:pPr>
      <w:r>
        <w:rPr>
          <w:noProof/>
        </w:rPr>
        <w:t>võttes arvesse sotsiaalkaitsekomitee arvamust,</w:t>
      </w:r>
    </w:p>
    <w:p w:rsidR="001F283F" w:rsidRDefault="00907AA5">
      <w:pPr>
        <w:rPr>
          <w:noProof/>
        </w:rPr>
      </w:pPr>
      <w:r>
        <w:rPr>
          <w:noProof/>
        </w:rPr>
        <w:t>võttes arvesse majanduspoliitika komitee arvamust</w:t>
      </w:r>
    </w:p>
    <w:p w:rsidR="001F283F" w:rsidRDefault="00907AA5">
      <w:pPr>
        <w:rPr>
          <w:noProof/>
        </w:rPr>
      </w:pPr>
      <w:r>
        <w:rPr>
          <w:noProof/>
        </w:rPr>
        <w:t>ning arvestades järgmist:</w:t>
      </w:r>
    </w:p>
    <w:p w:rsidR="001F283F" w:rsidRDefault="00907AA5">
      <w:pPr>
        <w:pStyle w:val="ManualConsidrant"/>
        <w:rPr>
          <w:noProof/>
        </w:rPr>
      </w:pPr>
      <w:r>
        <w:t>(1)</w:t>
      </w:r>
      <w:r>
        <w:tab/>
      </w:r>
      <w:r>
        <w:rPr>
          <w:noProof/>
        </w:rPr>
        <w:t>21. novembril 2018 võttis komisjon vastu iga-aast</w:t>
      </w:r>
      <w:r>
        <w:rPr>
          <w:noProof/>
        </w:rPr>
        <w:t>ase majanduskasvu analüüsi, mis tähistas majanduspoliitika koordineerimise Euroopa poolaasta (2019) algust. Selles võeti nõuetekohaselt arvesse Euroopa Parlamendi, nõukogu ja komisjoni poolt 17. novembril 2017 välja kuulutatud Euroopa sotsiaalõiguste samma</w:t>
      </w:r>
      <w:r>
        <w:rPr>
          <w:noProof/>
        </w:rPr>
        <w:t>st. Euroopa Ülemkogu kiitis iga-aastases majanduskasvu analüüsis esitatud prioriteedid heaks 21. märtsil 2019. 21. novembril 2018 võttis komisjon määruse (EL) nr 1176/2011 alusel vastu häiremehhanismi aruande, milles ei nimetatud Soomet ühe liikmesriigina,</w:t>
      </w:r>
      <w:r>
        <w:rPr>
          <w:noProof/>
        </w:rPr>
        <w:t xml:space="preserve"> mille olukorda tuleb põhjalikult analüüsida. Samal kuupäeval võttis komisjon vastu ka soovituse euroala majanduspoliitikat käsitleva nõukogu soovituse kohta, mille Euroopa Ülemkogu kiitis heaks 21. märtsil 2019. Nõukogu võttis soovituse euroala majanduspo</w:t>
      </w:r>
      <w:r>
        <w:rPr>
          <w:noProof/>
        </w:rPr>
        <w:t xml:space="preserve">liitika kohta („euroala soovitus“) vastu 9. aprillil 2019. </w:t>
      </w:r>
    </w:p>
    <w:p w:rsidR="001F283F" w:rsidRDefault="00907AA5">
      <w:pPr>
        <w:pStyle w:val="ManualConsidrant"/>
        <w:rPr>
          <w:noProof/>
        </w:rPr>
      </w:pPr>
      <w:r>
        <w:t>(2)</w:t>
      </w:r>
      <w:r>
        <w:tab/>
      </w:r>
      <w:r>
        <w:rPr>
          <w:noProof/>
        </w:rPr>
        <w:t>Kuna Soome rahaühik on euro ning majandus- ja rahaliidu riikide majandused on üksteisega tihedalt seotud, peaks Soome tagama allpool esitatud soovitustes 3 ja 4 kajastuva euroala soovituse täi</w:t>
      </w:r>
      <w:r>
        <w:rPr>
          <w:noProof/>
        </w:rPr>
        <w:t xml:space="preserve">eliku ja õigeaegse täitmise. Investeeringutega seotud majanduspoliitikas kindlaksmääratud valdkondadele keskendumine aitab järgida teist </w:t>
      </w:r>
      <w:r>
        <w:rPr>
          <w:noProof/>
        </w:rPr>
        <w:lastRenderedPageBreak/>
        <w:t>euroala soovitust, mis käsitleb investeeringute toetamist, ning meetmed kodumajapidamiste võlakoormuse piiramiseks aita</w:t>
      </w:r>
      <w:r>
        <w:rPr>
          <w:noProof/>
        </w:rPr>
        <w:t>vad järgida neljandat euroala soovitust, mis käsitleb erasektori võla vähendamist.</w:t>
      </w:r>
    </w:p>
    <w:p w:rsidR="001F283F" w:rsidRDefault="00907AA5">
      <w:pPr>
        <w:pStyle w:val="ManualConsidrant"/>
        <w:rPr>
          <w:noProof/>
        </w:rPr>
      </w:pPr>
      <w:r>
        <w:t>(3)</w:t>
      </w:r>
      <w:r>
        <w:tab/>
      </w:r>
      <w:r>
        <w:rPr>
          <w:noProof/>
        </w:rPr>
        <w:t>27. veebruaril 2019 avaldati 2019. aasta aruanne Soome kohta</w:t>
      </w:r>
      <w:r>
        <w:rPr>
          <w:rStyle w:val="FootnoteReference"/>
          <w:noProof/>
        </w:rPr>
        <w:footnoteReference w:id="2"/>
      </w:r>
      <w:r>
        <w:rPr>
          <w:noProof/>
        </w:rPr>
        <w:t>. Selles hinnati Soome edusamme nõukogu poolt 13. juulil 2018 vastu võetud riigipõhiste soovituste täitmisel</w:t>
      </w:r>
      <w:r>
        <w:rPr>
          <w:noProof/>
        </w:rPr>
        <w:t xml:space="preserve"> ja strateegia „Euroopa 2020“ riiklike eesmärkide suunas liikumisel ning varasematel aastatel esitatud soovituste järelmeetmeid. </w:t>
      </w:r>
    </w:p>
    <w:p w:rsidR="001F283F" w:rsidRDefault="00907AA5">
      <w:pPr>
        <w:pStyle w:val="ManualConsidrant"/>
        <w:rPr>
          <w:noProof/>
        </w:rPr>
      </w:pPr>
      <w:r>
        <w:t>(4)</w:t>
      </w:r>
      <w:r>
        <w:tab/>
      </w:r>
      <w:r>
        <w:rPr>
          <w:noProof/>
        </w:rPr>
        <w:t>4. aprillil 2019 esitas Soome oma 2019. aasta riikliku reformikava ja 2019. aasta stabiilsusprogrammi. Selleks et võtta ar</w:t>
      </w:r>
      <w:r>
        <w:rPr>
          <w:noProof/>
        </w:rPr>
        <w:t>vesse kõnealuste dokumentide omavahelisi seoseid, hinnati neid ühel ja samal ajal.</w:t>
      </w:r>
    </w:p>
    <w:p w:rsidR="001F283F" w:rsidRDefault="00907AA5">
      <w:pPr>
        <w:pStyle w:val="ManualConsidrant"/>
        <w:rPr>
          <w:noProof/>
        </w:rPr>
      </w:pPr>
      <w:r>
        <w:t>(5)</w:t>
      </w:r>
      <w:r>
        <w:tab/>
      </w:r>
      <w:r>
        <w:rPr>
          <w:noProof/>
        </w:rPr>
        <w:t xml:space="preserve">Asjaomaseid riigipõhiseid soovitusi on võetud arvesse Euroopa struktuuri- ja investeerimisfondide 2014.–2020. aasta programmide koostamisel. Nagu on ette nähtud Euroopa </w:t>
      </w:r>
      <w:r>
        <w:rPr>
          <w:noProof/>
        </w:rPr>
        <w:t>Parlamendi ja nõukogu määruse (EL) nr 1303/2013</w:t>
      </w:r>
      <w:r>
        <w:rPr>
          <w:rStyle w:val="FootnoteReference"/>
          <w:noProof/>
        </w:rPr>
        <w:footnoteReference w:id="3"/>
      </w:r>
      <w:r>
        <w:rPr>
          <w:noProof/>
        </w:rPr>
        <w:t xml:space="preserve"> artikliga 23, võib komisjon juhul, kui on vaja toetada asjaomaste nõukogu soovituste rakendamist, nõuda, et liikmesriik vaataks läbi oma partnerluslepingu ja asjaomased programmid ning teeks nende muutmise e</w:t>
      </w:r>
      <w:r>
        <w:rPr>
          <w:noProof/>
        </w:rPr>
        <w:t>ttepanekud. Komisjon esitas täiendavad üksikasjad kõnealuse sätte kasutamise kohta suunistes, milles käsitletakse seda, kuidas rakendada meetmeid Euroopa struktuuri- ja investeerimisfondide tõhususe sidumiseks usaldusväärse majandusjuhtimisega</w:t>
      </w:r>
      <w:r>
        <w:rPr>
          <w:rStyle w:val="FootnoteReference"/>
          <w:noProof/>
        </w:rPr>
        <w:footnoteReference w:id="4"/>
      </w:r>
      <w:r>
        <w:rPr>
          <w:noProof/>
        </w:rPr>
        <w:t xml:space="preserve">. </w:t>
      </w:r>
    </w:p>
    <w:p w:rsidR="001F283F" w:rsidRDefault="00907AA5">
      <w:pPr>
        <w:pStyle w:val="ManualConsidrant"/>
        <w:rPr>
          <w:rFonts w:eastAsia="Times New Roman"/>
          <w:noProof/>
          <w:szCs w:val="24"/>
        </w:rPr>
      </w:pPr>
      <w:r>
        <w:t>(6)</w:t>
      </w:r>
      <w:r>
        <w:tab/>
      </w:r>
      <w:r>
        <w:rPr>
          <w:noProof/>
        </w:rPr>
        <w:t>Soome</w:t>
      </w:r>
      <w:r>
        <w:rPr>
          <w:noProof/>
        </w:rPr>
        <w:t xml:space="preserve"> suhtes kohaldatakse praegu stabiilsuse ja kasvu pakti ennetuslikku osa. 2019. aasta stabiilsusprogrammis, </w:t>
      </w:r>
      <w:bookmarkStart w:id="0" w:name="_GoBack"/>
      <w:r w:rsidRPr="00907AA5">
        <w:rPr>
          <w:noProof/>
        </w:rPr>
        <w:t xml:space="preserve">mille </w:t>
      </w:r>
      <w:r w:rsidRPr="00907AA5">
        <w:rPr>
          <w:noProof/>
        </w:rPr>
        <w:t>eelmine valitsus esitas vahetult enne aprillis toimunud üldvalimisi</w:t>
      </w:r>
      <w:r w:rsidRPr="00907AA5">
        <w:rPr>
          <w:noProof/>
        </w:rPr>
        <w:t xml:space="preserve"> ja mis põhineb eeldusel, et poliitikat ei muudeta, eeldatakse, et valitsemi</w:t>
      </w:r>
      <w:r w:rsidRPr="00907AA5">
        <w:rPr>
          <w:noProof/>
        </w:rPr>
        <w:t xml:space="preserve">ssektori nominaalne eelarvepositsioon </w:t>
      </w:r>
      <w:bookmarkEnd w:id="0"/>
      <w:r>
        <w:rPr>
          <w:noProof/>
        </w:rPr>
        <w:t>on 2019. aastal –0,3 % SKPst, mis on väiksem näitaja kui 2018. aasta 0,7 % SKPst. Valitsuse prognoosi kohaselt paraneb eelarvepositsioon 2020. aastal veelgi ja jõuab 0 %-ni, kuid seejärel halveneb taas, olles 2021. aas</w:t>
      </w:r>
      <w:r>
        <w:rPr>
          <w:noProof/>
        </w:rPr>
        <w:t>tal –0,1 % ja 2022. aastal –0,3 %. Ümberarvutatud struktuursest eelarvepositsioonist</w:t>
      </w:r>
      <w:r>
        <w:rPr>
          <w:rStyle w:val="FootnoteReference"/>
          <w:noProof/>
        </w:rPr>
        <w:footnoteReference w:id="5"/>
      </w:r>
      <w:r>
        <w:rPr>
          <w:noProof/>
        </w:rPr>
        <w:t xml:space="preserve"> nähtub, et keskpika perioodi eelarve-eesmärki, milleks on struktuurne eelarvepuudujääk 0,5 % SKPst, kavatsetakse kogu programmiperioodil ületada, võttes arvesse 2019. aastal lubatud ajutisi kõrvalekaldeid, mis on seotud struktuurireformide elluviimisega. </w:t>
      </w:r>
      <w:r>
        <w:rPr>
          <w:noProof/>
        </w:rPr>
        <w:t>Valitsemissektori võla suhe SKPsse, mis saavutas 2015. aastal kõrgeima taseme (63,4 %), langes 2018. aastal 58,9 %-le. 2019. aasta stabiilsusprogrammi kohaselt võla suhtarvu vähenemine jätkub ja 2021. aastal peaks see näitaja olema 57,4 % SKPst. 2022. aast</w:t>
      </w:r>
      <w:r>
        <w:rPr>
          <w:noProof/>
        </w:rPr>
        <w:t>al peaks see uuesti kasvama ja jõudma 57,7 %-ni SKPst. Nende eelarveprognooside aluseks olev makromajanduslik stsenaarium näib üldjoontes usutav. Peamised eelarveprognoosi ohustavad riskid tulenevad võimalikest oodatust suurematest vananemisega seotud kulu</w:t>
      </w:r>
      <w:r>
        <w:rPr>
          <w:noProof/>
        </w:rPr>
        <w:t>dest ja kiiremast inflatsioonist.</w:t>
      </w:r>
    </w:p>
    <w:p w:rsidR="001F283F" w:rsidRDefault="00907AA5">
      <w:pPr>
        <w:pStyle w:val="ManualConsidrant"/>
        <w:rPr>
          <w:rFonts w:eastAsia="Times New Roman"/>
          <w:noProof/>
          <w:szCs w:val="24"/>
        </w:rPr>
      </w:pPr>
      <w:r>
        <w:lastRenderedPageBreak/>
        <w:t>(7)</w:t>
      </w:r>
      <w:r>
        <w:tab/>
      </w:r>
      <w:r>
        <w:rPr>
          <w:noProof/>
        </w:rPr>
        <w:tab/>
        <w:t>13. juulil 2018 esitas nõukogu Soomele soovituse saavutada 2019. aastal keskpika perioodi eelarve-eesmärk, võttes arvesse lubatud ajutisi kõrvalekaldeid, mis on seotud struktuurireformide elluviimisega. Selleks ei toh</w:t>
      </w:r>
      <w:r>
        <w:rPr>
          <w:noProof/>
        </w:rPr>
        <w:t>i valitsemissektori esmaste netokulude</w:t>
      </w:r>
      <w:r>
        <w:rPr>
          <w:rStyle w:val="FootnoteReference"/>
          <w:noProof/>
        </w:rPr>
        <w:footnoteReference w:id="6"/>
      </w:r>
      <w:r>
        <w:rPr>
          <w:noProof/>
        </w:rPr>
        <w:t xml:space="preserve"> nominaalne kasvumäär 2019. aastal ületada 2,9 %, mis vastab struktuurse eelarvepositsiooni lubatud halvenemisele 0,2 % SKPst. Komisjoni 2019. aasta kevadprognoosi kohaselt peaks Soome olema 2019. aastal oma keskpika </w:t>
      </w:r>
      <w:r>
        <w:rPr>
          <w:noProof/>
        </w:rPr>
        <w:t xml:space="preserve">perioodi eelarve-eesmärgi juures, võttes arvesse lubatud kõrvalekallet, mis on seotud struktuurireformi klausliga. </w:t>
      </w:r>
    </w:p>
    <w:p w:rsidR="001F283F" w:rsidRDefault="00907AA5">
      <w:pPr>
        <w:pStyle w:val="ManualConsidrant"/>
        <w:rPr>
          <w:rFonts w:eastAsia="Times New Roman"/>
          <w:noProof/>
          <w:szCs w:val="24"/>
        </w:rPr>
      </w:pPr>
      <w:r>
        <w:t>(8)</w:t>
      </w:r>
      <w:r>
        <w:tab/>
      </w:r>
      <w:r>
        <w:rPr>
          <w:noProof/>
        </w:rPr>
        <w:t>Võttes arvesse, et Soome prognoositav SKP lõhe on 0,8 %, ei tohiks valitsemissektori esmaste netokulude nominaalne kasvumäär 2020. aasta</w:t>
      </w:r>
      <w:r>
        <w:rPr>
          <w:noProof/>
        </w:rPr>
        <w:t>l ületada 1,9 %, mis vastab struktuursele kohandusele 0,5 % SKPst, mis tuleneb stabiilsuse ja kasvu pakti raames ühiselt kokku lepitud eelarvekohanduste maatriksist. Muutumatu poliitika korral on Soomes komisjoni 2019. aasta kevadprognoosi kohaselt 2020. a</w:t>
      </w:r>
      <w:r>
        <w:rPr>
          <w:noProof/>
        </w:rPr>
        <w:t>astal mõningase kõrvalekaldumise oht. Üldiselt on nõukogu seisukohal, et Soome ilmselt täidab 2019. aastal stabiilsuse ja kasvu pakti nõuded ning peab olema valmis võtma uusi meetmeid stabiilsuse ja kasvu pakti nõuete täitmise tagamiseks 2020. aastal.</w:t>
      </w:r>
    </w:p>
    <w:p w:rsidR="001F283F" w:rsidRDefault="00907AA5">
      <w:pPr>
        <w:pStyle w:val="ManualConsidrant"/>
        <w:rPr>
          <w:rFonts w:eastAsia="Times New Roman"/>
          <w:noProof/>
          <w:szCs w:val="24"/>
        </w:rPr>
      </w:pPr>
      <w:r>
        <w:t>(9)</w:t>
      </w:r>
      <w:r>
        <w:tab/>
      </w:r>
      <w:r>
        <w:rPr>
          <w:noProof/>
        </w:rPr>
        <w:t>Rahvastiku vananemise ja tööjõu vähenemise tõttu peaksid kulutused pensionidele, tervishoiule ja eelkõige sotsiaalhoolekandele (pikaajaline hooldus) eelolevatel kümnenditel kasvama. 2018. aasta riigi rahanduse jätkusuutlikkuse aruande kohaselt eeldaks vana</w:t>
      </w:r>
      <w:r>
        <w:rPr>
          <w:noProof/>
        </w:rPr>
        <w:t>nemisega seotud kulude prognoositud kasv eelarve konsolideerimist mahus 2 % SKPst, et stabiliseerida pikas perspektiivis valitsemissektori võla suhe SKPsse. 7. märtsil 2019 lükkas Soome parlament tagasi piirkondliku valitsuse ning tervishoiu- ja sotsiaalte</w:t>
      </w:r>
      <w:r>
        <w:rPr>
          <w:noProof/>
        </w:rPr>
        <w:t>enuste reformi, mis oli nähtud ette kõnealuste probleemide lahendamiseks, võrdse kättesaadavuse tagamiseks ja ooteaegade lühendamiseks. Inimeste endi hinnangul täitmata ravivajaduse määr on Soomes jätkuvalt ELi keskmisest kõrgem. Pikkade ootejärjekordade t</w:t>
      </w:r>
      <w:r>
        <w:rPr>
          <w:noProof/>
        </w:rPr>
        <w:t>õttu on eelkõige mittetöötavatel inimestel keeruline vajalikele meditsiiniteenustele juurde pääseda.</w:t>
      </w:r>
    </w:p>
    <w:p w:rsidR="001F283F" w:rsidRDefault="00907AA5">
      <w:pPr>
        <w:pStyle w:val="ManualConsidrant"/>
        <w:rPr>
          <w:rFonts w:eastAsia="Times New Roman"/>
          <w:noProof/>
          <w:szCs w:val="24"/>
        </w:rPr>
      </w:pPr>
      <w:r>
        <w:t>(10)</w:t>
      </w:r>
      <w:r>
        <w:tab/>
      </w:r>
      <w:r>
        <w:rPr>
          <w:noProof/>
        </w:rPr>
        <w:t>Soome tööturg on tööealise rahvastiku kahanemise ja vabade töökohtade arvu kasvu tingimustes pingestumas. Aktiivsuse ja tööhõive määrad on Soomes mada</w:t>
      </w:r>
      <w:r>
        <w:rPr>
          <w:noProof/>
        </w:rPr>
        <w:t>lamad kui teistes Põhjamaades ning struktuurne töötus oli 2018. aastal 7 %. See kajastab osaliselt mitteaktiivsus- ja töötuslõkse, mis takistavad tööjõu paremat kasutamist. Üks peamine tegur, mis takistab inimeste naasmist tööturule, on keeruline sotsiaalk</w:t>
      </w:r>
      <w:r>
        <w:rPr>
          <w:noProof/>
        </w:rPr>
        <w:t xml:space="preserve">indlustussüsteem ja eri liiki toetuste kombineerimine. Toetuste saamise võimalus kaob kiiresti sissetuleku suurenedes, mis tekitab võimaluse, et tööleasumine ei pruugi olla rahaliselt piisavalt tasuv. Ebakindlus toetuste taseme ja ennistamiseks kuluva aja </w:t>
      </w:r>
      <w:r>
        <w:rPr>
          <w:noProof/>
        </w:rPr>
        <w:t>suhtes vähendab huvi lühiajalise või osalise tööajaga töötamise vastu. Kodanikupalga eksperiment, mille esialgsed tulemused avaldati 2019. aasta veebruaris, annab mõningat teavet sotsiaalkindlustussüsteemi läbivaatamiseks, et toetusi tulemuslikumalt sisset</w:t>
      </w:r>
      <w:r>
        <w:rPr>
          <w:noProof/>
        </w:rPr>
        <w:t>ulekuga kombineerida.</w:t>
      </w:r>
    </w:p>
    <w:p w:rsidR="001F283F" w:rsidRDefault="00907AA5">
      <w:pPr>
        <w:pStyle w:val="ManualConsidrant"/>
        <w:rPr>
          <w:rFonts w:eastAsia="Times New Roman"/>
          <w:noProof/>
          <w:szCs w:val="24"/>
        </w:rPr>
      </w:pPr>
      <w:r>
        <w:t>(11)</w:t>
      </w:r>
      <w:r>
        <w:tab/>
      </w:r>
      <w:r>
        <w:rPr>
          <w:noProof/>
        </w:rPr>
        <w:t>Investeerimine eelkõige tööturust kõige kaugemate rühmade aktiivsesse kaasamisse on vajalik, et suurendada tööjõus osalemise määra praegu, mil aktiivsuse ja tööhõive määrad on kriisieelse taseme lähedal. Põhjalikud reformid, mill</w:t>
      </w:r>
      <w:r>
        <w:rPr>
          <w:noProof/>
        </w:rPr>
        <w:t xml:space="preserve">e eesmärk on </w:t>
      </w:r>
      <w:r>
        <w:rPr>
          <w:noProof/>
        </w:rPr>
        <w:lastRenderedPageBreak/>
        <w:t>suurendada tööturul osalemist, võivad tekitada mõnedele rühmadele tööturul paremaid võimalusi. See käib rändetaustaga inimeste, sünnitamiseas naiste, madala kvalifikatsiooniga meeste, osalise töövõimega inimeste ja puudega inimeste kohta. Mõni</w:t>
      </w:r>
      <w:r>
        <w:rPr>
          <w:noProof/>
        </w:rPr>
        <w:t>ngate töötutele ja mitteaktiivsetele mõeldud teenustega tegelevad erinevad ametiasutused ja teenuseosutajad. Selleks et aidata viia kõnealused rühmad tööturule ja aidata neil sinna jääda, on vaja kohandatud ja integreeritud aktiveerimis- ja rehabilitatsioo</w:t>
      </w:r>
      <w:r>
        <w:rPr>
          <w:noProof/>
        </w:rPr>
        <w:t>niteenuseid ja -meetmeid. Soolist tööhõive- ja palgalõhet soodustavad naiste pikaajalise hoolduse kohustused. Valitsus algatas protsessi perepuhkuse reformimiseks, kuid ei viinud seda lõpule.</w:t>
      </w:r>
    </w:p>
    <w:p w:rsidR="001F283F" w:rsidRDefault="00907AA5">
      <w:pPr>
        <w:pStyle w:val="ManualConsidrant"/>
        <w:rPr>
          <w:rFonts w:eastAsia="Times New Roman"/>
          <w:noProof/>
          <w:szCs w:val="24"/>
        </w:rPr>
      </w:pPr>
      <w:r>
        <w:t>(12)</w:t>
      </w:r>
      <w:r>
        <w:tab/>
      </w:r>
      <w:r>
        <w:rPr>
          <w:noProof/>
        </w:rPr>
        <w:t>Ajal, mil toimuvad demograafilised ja tehnoloogilised muutu</w:t>
      </w:r>
      <w:r>
        <w:rPr>
          <w:noProof/>
        </w:rPr>
        <w:t>sed, on Soomes jätkusuutliku ja kaasava majanduskasvu soodustamiseks oluline tagada tööjõupakkumine. Investeerimine oskustesse, eelkõige sellistesse, mis on tööturu jaoks olulised, aitaks lahendada majanduse struktuurilistest muutustest tingitud probleeme.</w:t>
      </w:r>
      <w:r>
        <w:rPr>
          <w:noProof/>
        </w:rPr>
        <w:t xml:space="preserve"> Tehnoloogilised muutused eeldavad tööjõule täiendus- ja ümberõppe võimaldamist paindlike õppimisvõimaluste kaudu, muu hulgas keskendudes täiskasvanuõppele, -haridusele ja -koolitusele. See peaks suurendama tööalast liikuvust, vähendama oskuste mittevastav</w:t>
      </w:r>
      <w:r>
        <w:rPr>
          <w:noProof/>
        </w:rPr>
        <w:t xml:space="preserve">ust tööturu vajadustele ja aitama rahuldada tööturu tulevasi vajadusi. </w:t>
      </w:r>
    </w:p>
    <w:p w:rsidR="001F283F" w:rsidRDefault="00907AA5">
      <w:pPr>
        <w:pStyle w:val="ManualConsidrant"/>
        <w:rPr>
          <w:rFonts w:eastAsia="Times New Roman"/>
          <w:noProof/>
          <w:szCs w:val="24"/>
        </w:rPr>
      </w:pPr>
      <w:r>
        <w:t>(13)</w:t>
      </w:r>
      <w:r>
        <w:tab/>
      </w:r>
      <w:r>
        <w:rPr>
          <w:noProof/>
        </w:rPr>
        <w:t>On oht, et Soome ei täida 2020. aasta olmejäätmete ringlussevõtu eesmärki, milleks on 50 %. Olmejäätmeid põletatakse üha rohkem (2017. aastal 60 % võrreldes 55 %-ga 2016. aastal).</w:t>
      </w:r>
    </w:p>
    <w:p w:rsidR="001F283F" w:rsidRDefault="00907AA5">
      <w:pPr>
        <w:pStyle w:val="ManualConsidrant"/>
        <w:rPr>
          <w:noProof/>
          <w:sz w:val="22"/>
        </w:rPr>
      </w:pPr>
      <w:r>
        <w:t>(14)</w:t>
      </w:r>
      <w:r>
        <w:tab/>
      </w:r>
      <w:r>
        <w:rPr>
          <w:noProof/>
        </w:rPr>
        <w:t>Avaliku sektori kulutused teadus- ja arendustegevusele on praegu stabiliseerumas, kuid erasektori investeeringud teadus- ja arendustegevusse kahanesid Soomes ELi liikmesriikide hulgas pärast 2009. aastat kõige järsemalt. Kuigi makromajanduslik olukor</w:t>
      </w:r>
      <w:r>
        <w:rPr>
          <w:noProof/>
        </w:rPr>
        <w:t xml:space="preserve">d on viimastel aastatel paranenud, ei ole erasektori investeeringud teadus- ja arendustegevusse veel taastunud. Teadus- ja arendustegevusse tehtavate investeeringute suurem maht on peamine tegur, mis võimaldab struktuurilisi muutusi, et edendada majanduse </w:t>
      </w:r>
      <w:r>
        <w:rPr>
          <w:noProof/>
        </w:rPr>
        <w:t xml:space="preserve">teadmistemahukaid sektoreid ja tugevdada pikaajalist kasvupotentsiaali. Lisaks on kõrgharidusasutuste ja ettevõtlussektori koostöö jätkuvalt üks peamisi kitsaskohti innovatsiooni stimuleerimisel ja uuenduste turule toomisel. </w:t>
      </w:r>
    </w:p>
    <w:p w:rsidR="001F283F" w:rsidRDefault="00907AA5">
      <w:pPr>
        <w:pStyle w:val="ManualConsidrant"/>
        <w:rPr>
          <w:rFonts w:eastAsia="Times New Roman"/>
          <w:noProof/>
          <w:szCs w:val="24"/>
        </w:rPr>
      </w:pPr>
      <w:r>
        <w:t>(15)</w:t>
      </w:r>
      <w:r>
        <w:tab/>
      </w:r>
      <w:r>
        <w:rPr>
          <w:noProof/>
        </w:rPr>
        <w:t>Riik on hõreda asustusega</w:t>
      </w:r>
      <w:r>
        <w:rPr>
          <w:noProof/>
        </w:rPr>
        <w:t xml:space="preserve"> ja transpordi kitsaskohad võivad takistada kolimist töökoha leidmise eesmärgil. Strateegilised investeeringud transporditaristusse võivad parandada tööjõu liikuvust ja seega tööturu toimimist. Kuna transpordikuludel on Soomes muude ELi liikmesriikidega võ</w:t>
      </w:r>
      <w:r>
        <w:rPr>
          <w:noProof/>
        </w:rPr>
        <w:t>rreldes suhteliselt suur mõju toodete lõpphinnale, võiksid taristutevahelised ühendused parandada juurdepääsu välisturgudele.</w:t>
      </w:r>
    </w:p>
    <w:p w:rsidR="001F283F" w:rsidRDefault="00907AA5">
      <w:pPr>
        <w:pStyle w:val="ManualConsidrant"/>
        <w:rPr>
          <w:rFonts w:eastAsia="Times New Roman"/>
          <w:noProof/>
          <w:szCs w:val="24"/>
        </w:rPr>
      </w:pPr>
      <w:r>
        <w:t>(16)</w:t>
      </w:r>
      <w:r>
        <w:tab/>
      </w:r>
      <w:r>
        <w:rPr>
          <w:noProof/>
        </w:rPr>
        <w:t>Strateegilised investeeringud energiamahukates tööstusharudes ja transpordisektoris CO</w:t>
      </w:r>
      <w:r>
        <w:rPr>
          <w:noProof/>
          <w:vertAlign w:val="subscript"/>
        </w:rPr>
        <w:t>2</w:t>
      </w:r>
      <w:r>
        <w:rPr>
          <w:noProof/>
        </w:rPr>
        <w:t>-heite vähendamiseks aitaksid saavutad</w:t>
      </w:r>
      <w:r>
        <w:rPr>
          <w:noProof/>
        </w:rPr>
        <w:t>a pikaajalised majanduslikud ja kliimaeesmärgid. Soome on puhta energia alase innovatsiooni ja selles valdkonnas erasektori poolt teadus- ja arendustegevusse tehtavate kulutuste poolest juhtival kohal. Kui enne aastat 2021 tehtaks lisainvesteeringuid mõnda</w:t>
      </w:r>
      <w:r>
        <w:rPr>
          <w:noProof/>
        </w:rPr>
        <w:t xml:space="preserve"> tema puhta energia programmi, nagu on lubatud, aitaks see Soomel saavutada CO</w:t>
      </w:r>
      <w:r>
        <w:rPr>
          <w:noProof/>
          <w:vertAlign w:val="subscript"/>
        </w:rPr>
        <w:t>2</w:t>
      </w:r>
      <w:r>
        <w:rPr>
          <w:noProof/>
        </w:rPr>
        <w:t>-neutraalsuse eesmärgid. Soome kaugeleulatuvate biokütuste osatähtsuse suurendamise eesmärkide kõrval on elektrifitseerimine kulutõhus võimalus transpordisektoris CO</w:t>
      </w:r>
      <w:r>
        <w:rPr>
          <w:noProof/>
          <w:vertAlign w:val="subscript"/>
        </w:rPr>
        <w:t>2</w:t>
      </w:r>
      <w:r>
        <w:rPr>
          <w:noProof/>
        </w:rPr>
        <w:t>-heite vähe</w:t>
      </w:r>
      <w:r>
        <w:rPr>
          <w:noProof/>
        </w:rPr>
        <w:t>ndamiseks, arvestades et elektritootmises on CO</w:t>
      </w:r>
      <w:r>
        <w:rPr>
          <w:noProof/>
          <w:vertAlign w:val="subscript"/>
        </w:rPr>
        <w:t>2</w:t>
      </w:r>
      <w:r>
        <w:rPr>
          <w:noProof/>
        </w:rPr>
        <w:t>-heite vähendamisel palju edasi liigutud.</w:t>
      </w:r>
    </w:p>
    <w:p w:rsidR="001F283F" w:rsidRDefault="00907AA5">
      <w:pPr>
        <w:pStyle w:val="ManualConsidrant"/>
        <w:rPr>
          <w:rFonts w:eastAsia="Times New Roman"/>
          <w:noProof/>
          <w:szCs w:val="24"/>
        </w:rPr>
      </w:pPr>
      <w:r>
        <w:t>(17)</w:t>
      </w:r>
      <w:r>
        <w:tab/>
      </w:r>
      <w:r>
        <w:rPr>
          <w:noProof/>
        </w:rPr>
        <w:t xml:space="preserve">Madalad intressimäärad ja majanduse paranenud väljavaade on laenuandmise üldist mahtu suurendanud, eelkõige elamuettevõtete (pakuvad erilist eluaseme omamise </w:t>
      </w:r>
      <w:r>
        <w:rPr>
          <w:noProof/>
        </w:rPr>
        <w:lastRenderedPageBreak/>
        <w:t>või</w:t>
      </w:r>
      <w:r>
        <w:rPr>
          <w:noProof/>
        </w:rPr>
        <w:t xml:space="preserve">malust) kaudu. Samal ajal kasvab kiiresti tarbijakrediit ja üha suurem osa sellest saadakse välispankadelt, muudelt finantseerimisasutustelt kui krediidiasutused, väikelaenu pakkujatelt ja vastastikuse laenuandmise kaudu. Seepärast püsib kodumajapidamiste </w:t>
      </w:r>
      <w:r>
        <w:rPr>
          <w:noProof/>
        </w:rPr>
        <w:t>võlakoormus rekordiliselt kõrgel tasemel (2017. aastal 67 % SKPst). Võlgade intress on enamasti ujuv, mis kujutab endast riski, juhul kui intressimäärad peaksid keskpikas perspektiivis tõusma. Soome finantsjärelevalveasutus on võtnud mitu meedet, et koduma</w:t>
      </w:r>
      <w:r>
        <w:rPr>
          <w:noProof/>
        </w:rPr>
        <w:t>japidamiste võlakoormuse suurenemist pidurdada. Lähitulevikus ei ole aktiivset võla vähendamist oodata, eriti seetõttu, et intressimäärad püsivad madalad ja tarbijate kindlustunne on jätkuvalt suhteliselt suur.</w:t>
      </w:r>
    </w:p>
    <w:p w:rsidR="001F283F" w:rsidRDefault="00907AA5">
      <w:pPr>
        <w:pStyle w:val="ManualConsidrant"/>
        <w:rPr>
          <w:rFonts w:eastAsia="Times New Roman"/>
          <w:noProof/>
          <w:szCs w:val="24"/>
        </w:rPr>
      </w:pPr>
      <w:r>
        <w:t>(18)</w:t>
      </w:r>
      <w:r>
        <w:tab/>
      </w:r>
      <w:r>
        <w:rPr>
          <w:noProof/>
        </w:rPr>
        <w:t>Soomel ei ole praegu põhjalikku krediidi</w:t>
      </w:r>
      <w:r>
        <w:rPr>
          <w:noProof/>
        </w:rPr>
        <w:t>registrit (st sellist, mis koguks võlgnike kohta nii positiivset kui ka negatiivset teavet), mis hõlmaks riigi suurimaid panku. Selle puudumine võib takistada pankadel kodumajapidamiste kogu võlakoormusest selge ülevaate saamist. Möödunud aastal tehti seda</w:t>
      </w:r>
      <w:r>
        <w:rPr>
          <w:noProof/>
        </w:rPr>
        <w:t xml:space="preserve"> laadi registri loomiseks mõningat ettevalmistavat tööd.</w:t>
      </w:r>
    </w:p>
    <w:p w:rsidR="001F283F" w:rsidRDefault="00907AA5">
      <w:pPr>
        <w:pStyle w:val="ManualConsidrant"/>
        <w:rPr>
          <w:rFonts w:eastAsia="Times New Roman"/>
          <w:noProof/>
          <w:szCs w:val="24"/>
        </w:rPr>
      </w:pPr>
      <w:r>
        <w:t>(19)</w:t>
      </w:r>
      <w:r>
        <w:tab/>
      </w:r>
      <w:r>
        <w:rPr>
          <w:noProof/>
        </w:rPr>
        <w:t>ELi vahendite kavandamine ajavahemikuks 2021–2027 võib aidata kõrvaldada mõningad soovitustes nimetatud puudused, eelkõige riigiaruande</w:t>
      </w:r>
      <w:r>
        <w:rPr>
          <w:rStyle w:val="FootnoteReference"/>
          <w:noProof/>
        </w:rPr>
        <w:footnoteReference w:id="7"/>
      </w:r>
      <w:r>
        <w:rPr>
          <w:noProof/>
        </w:rPr>
        <w:t xml:space="preserve"> D lisas käsitletud valdkondades. See võimaldaks Soomel kõ</w:t>
      </w:r>
      <w:r>
        <w:rPr>
          <w:noProof/>
        </w:rPr>
        <w:t>nealuseid vahendeid asjaomaste sektorite puhul võimalikult hästi kasutada, võttes arvesse piirkondlikke erinevusi.</w:t>
      </w:r>
    </w:p>
    <w:p w:rsidR="001F283F" w:rsidRDefault="00907AA5">
      <w:pPr>
        <w:pStyle w:val="ManualConsidrant"/>
        <w:rPr>
          <w:noProof/>
        </w:rPr>
      </w:pPr>
      <w:r>
        <w:t>(20)</w:t>
      </w:r>
      <w:r>
        <w:tab/>
      </w:r>
      <w:r>
        <w:rPr>
          <w:noProof/>
        </w:rPr>
        <w:t>Komisjon on Euroopa poolaasta (2019) raames Soome majanduspoliitikat põhjalikult analüüsinud ja avaldanud selle tulemused 2019. aasta ri</w:t>
      </w:r>
      <w:r>
        <w:rPr>
          <w:noProof/>
        </w:rPr>
        <w:t>igiaruandes. Ta on hinnanud ka 2019. aasta stabiilsusprogrammi ja 2019. aasta riiklikku reformikava ning varasematel aastatel Soomele esitatud soovituste järelmeetmeid. Lisaks nende asjakohasusele Soome eelarve- ja sotsiaalmajanduspoliitika jätkusuutlikkus</w:t>
      </w:r>
      <w:r>
        <w:rPr>
          <w:noProof/>
        </w:rPr>
        <w:t xml:space="preserve">e seisukohast võttis ta arvesse ka nende vastavust liidu õigusnormidele ja suunistele, pidades silmas vajadust tugevdada liidu üldist majandusjuhtimist riigi tulevastesse otsustesse liidu tasandi panuse andmise kaudu. </w:t>
      </w:r>
    </w:p>
    <w:p w:rsidR="001F283F" w:rsidRDefault="00907AA5">
      <w:pPr>
        <w:pStyle w:val="ManualConsidrant"/>
        <w:rPr>
          <w:noProof/>
        </w:rPr>
      </w:pPr>
      <w:r>
        <w:t>(21)</w:t>
      </w:r>
      <w:r>
        <w:tab/>
      </w:r>
      <w:r>
        <w:rPr>
          <w:noProof/>
        </w:rPr>
        <w:t>Võttes arvesse kõnealust hindami</w:t>
      </w:r>
      <w:r>
        <w:rPr>
          <w:noProof/>
        </w:rPr>
        <w:t>st, on nõukogu 2019. aasta stabiilsusprogrammi läbi vaadanud ja tema arvamus</w:t>
      </w:r>
      <w:r>
        <w:rPr>
          <w:rStyle w:val="FootnoteReference"/>
          <w:noProof/>
        </w:rPr>
        <w:footnoteReference w:id="8"/>
      </w:r>
      <w:r>
        <w:rPr>
          <w:noProof/>
        </w:rPr>
        <w:t xml:space="preserve"> kajastub eelkõige allpool esitatud soovituses 1.</w:t>
      </w:r>
    </w:p>
    <w:p w:rsidR="001F283F" w:rsidRDefault="00907AA5">
      <w:pPr>
        <w:pStyle w:val="ManualConsidrant"/>
        <w:rPr>
          <w:noProof/>
        </w:rPr>
      </w:pPr>
      <w:r>
        <w:t>(22)</w:t>
      </w:r>
      <w:r>
        <w:tab/>
      </w:r>
      <w:r>
        <w:rPr>
          <w:noProof/>
        </w:rPr>
        <w:t>Nõukogu on kõnealusest hindamisest lähtudes 2019. aasta riikliku reformikava ja 2019. aasta stabiilsusprogrammi läbi vaadanu</w:t>
      </w:r>
      <w:r>
        <w:rPr>
          <w:noProof/>
        </w:rPr>
        <w:t>d. Määruse (EL) nr 1176/2011 artikli 6 alusel antud nõukogu soovitused kajastuvad allpool esitatud soovitustes 1–4,</w:t>
      </w:r>
    </w:p>
    <w:p w:rsidR="001F283F" w:rsidRDefault="00907AA5">
      <w:pPr>
        <w:pStyle w:val="Formuledadoption"/>
        <w:rPr>
          <w:noProof/>
        </w:rPr>
      </w:pPr>
      <w:r>
        <w:rPr>
          <w:noProof/>
        </w:rPr>
        <w:t>SOOVITAB Soomel võtta 2019. ja 2020. aastal järgmisi meetmeid:</w:t>
      </w:r>
    </w:p>
    <w:p w:rsidR="001F283F" w:rsidRDefault="00907AA5">
      <w:pPr>
        <w:pStyle w:val="ManualNumPar1"/>
        <w:rPr>
          <w:noProof/>
        </w:rPr>
      </w:pPr>
      <w:r>
        <w:t>1.</w:t>
      </w:r>
      <w:r>
        <w:tab/>
      </w:r>
      <w:r>
        <w:rPr>
          <w:noProof/>
        </w:rPr>
        <w:t xml:space="preserve">Tagada, et valitsemissektori esmaste netokulude nominaalne kasvumäär ei </w:t>
      </w:r>
      <w:r>
        <w:rPr>
          <w:noProof/>
        </w:rPr>
        <w:t>ületa 2020. aastal 1,9 %, mis vastab aastasele struktuursele kohandusele 0,5 % SKPst. Parandada sotsiaal- ja tervishoiuteenuste kulutõhusust ning võrdset kättesaadavust.</w:t>
      </w:r>
    </w:p>
    <w:p w:rsidR="001F283F" w:rsidRDefault="00907AA5">
      <w:pPr>
        <w:pStyle w:val="ManualNumPar1"/>
        <w:rPr>
          <w:noProof/>
        </w:rPr>
      </w:pPr>
      <w:r>
        <w:t>2.</w:t>
      </w:r>
      <w:r>
        <w:tab/>
      </w:r>
      <w:r>
        <w:rPr>
          <w:noProof/>
        </w:rPr>
        <w:t xml:space="preserve">Parandada tööpakkumise vastuvõtmise stiimuleid ning suurendada oskusi ja aktiivset </w:t>
      </w:r>
      <w:r>
        <w:rPr>
          <w:noProof/>
        </w:rPr>
        <w:t>kaasamist, eelkõige töötutele ja mitteaktiivsetele hästi integreeritud teenuste pakkumise kaudu.</w:t>
      </w:r>
    </w:p>
    <w:p w:rsidR="001F283F" w:rsidRDefault="00907AA5">
      <w:pPr>
        <w:pStyle w:val="ManualNumPar1"/>
        <w:rPr>
          <w:noProof/>
          <w:sz w:val="22"/>
        </w:rPr>
      </w:pPr>
      <w:r>
        <w:t>3.</w:t>
      </w:r>
      <w:r>
        <w:tab/>
      </w:r>
      <w:r>
        <w:rPr>
          <w:noProof/>
        </w:rPr>
        <w:t>Keskenduda investeeringutega seotud majanduspoliitikas teadusuuringutele ja innovatsioonile, üleminekule vähese CO</w:t>
      </w:r>
      <w:r>
        <w:rPr>
          <w:noProof/>
          <w:vertAlign w:val="subscript"/>
        </w:rPr>
        <w:t>2</w:t>
      </w:r>
      <w:r>
        <w:rPr>
          <w:noProof/>
        </w:rPr>
        <w:t>-heitega majandusele ja energiasüsteemi ü</w:t>
      </w:r>
      <w:r>
        <w:rPr>
          <w:noProof/>
        </w:rPr>
        <w:t>mberkujundamisele ning säästvale transpordile, võttes arvesse piirkondlikke erinevusi.</w:t>
      </w:r>
    </w:p>
    <w:p w:rsidR="001F283F" w:rsidRDefault="00907AA5">
      <w:pPr>
        <w:pStyle w:val="ManualNumPar1"/>
        <w:rPr>
          <w:noProof/>
        </w:rPr>
      </w:pPr>
      <w:r>
        <w:lastRenderedPageBreak/>
        <w:t>4.</w:t>
      </w:r>
      <w:r>
        <w:tab/>
      </w:r>
      <w:r>
        <w:rPr>
          <w:noProof/>
        </w:rPr>
        <w:t xml:space="preserve">Tugevdada kodumajapidamiste võlakoormuse jälgimist ja luua krediidiregistrisüsteem. </w:t>
      </w:r>
    </w:p>
    <w:p w:rsidR="001F283F" w:rsidRDefault="00907AA5">
      <w:pPr>
        <w:pStyle w:val="Fait"/>
        <w:rPr>
          <w:noProof/>
        </w:rPr>
      </w:pPr>
      <w:bookmarkStart w:id="1" w:name="_CopyToNewDocument_"/>
      <w:bookmarkEnd w:id="1"/>
      <w:r>
        <w:t>Brüssel,</w:t>
      </w:r>
    </w:p>
    <w:p w:rsidR="001F283F" w:rsidRDefault="00907AA5">
      <w:pPr>
        <w:pStyle w:val="Institutionquisigne"/>
        <w:rPr>
          <w:noProof/>
        </w:rPr>
      </w:pPr>
      <w:r>
        <w:rPr>
          <w:noProof/>
        </w:rPr>
        <w:tab/>
        <w:t>Nõukogu nimel</w:t>
      </w:r>
    </w:p>
    <w:p w:rsidR="001F283F" w:rsidRDefault="00907AA5">
      <w:pPr>
        <w:pStyle w:val="Personnequisigne"/>
        <w:rPr>
          <w:noProof/>
        </w:rPr>
      </w:pPr>
      <w:r>
        <w:rPr>
          <w:noProof/>
        </w:rPr>
        <w:tab/>
        <w:t>eesistuja</w:t>
      </w:r>
    </w:p>
    <w:sectPr w:rsidR="001F283F">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3F" w:rsidRDefault="00907AA5">
      <w:pPr>
        <w:spacing w:before="0" w:after="0"/>
      </w:pPr>
      <w:r>
        <w:separator/>
      </w:r>
    </w:p>
  </w:endnote>
  <w:endnote w:type="continuationSeparator" w:id="0">
    <w:p w:rsidR="001F283F" w:rsidRDefault="00907A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1F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907AA5">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1F28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907AA5">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1F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3F" w:rsidRDefault="00907AA5">
      <w:pPr>
        <w:spacing w:before="0" w:after="0"/>
      </w:pPr>
      <w:r>
        <w:separator/>
      </w:r>
    </w:p>
  </w:footnote>
  <w:footnote w:type="continuationSeparator" w:id="0">
    <w:p w:rsidR="001F283F" w:rsidRDefault="00907AA5">
      <w:pPr>
        <w:spacing w:before="0" w:after="0"/>
      </w:pPr>
      <w:r>
        <w:continuationSeparator/>
      </w:r>
    </w:p>
  </w:footnote>
  <w:footnote w:id="1">
    <w:p w:rsidR="001F283F" w:rsidRDefault="00907AA5">
      <w:pPr>
        <w:pStyle w:val="FootnoteText"/>
      </w:pPr>
      <w:r>
        <w:rPr>
          <w:rStyle w:val="FootnoteReference"/>
        </w:rPr>
        <w:footnoteRef/>
      </w:r>
      <w:r>
        <w:tab/>
        <w:t>EÜT L</w:t>
      </w:r>
      <w:r>
        <w:t xml:space="preserve"> 209, 2.8.1997, lk 1.</w:t>
      </w:r>
    </w:p>
  </w:footnote>
  <w:footnote w:id="2">
    <w:p w:rsidR="001F283F" w:rsidRDefault="00907AA5">
      <w:pPr>
        <w:pStyle w:val="FootnoteText"/>
        <w:rPr>
          <w:rStyle w:val="FootnoteReference"/>
        </w:rPr>
      </w:pPr>
      <w:r>
        <w:rPr>
          <w:rStyle w:val="FootnoteReference"/>
        </w:rPr>
        <w:footnoteRef/>
      </w:r>
      <w:r>
        <w:tab/>
        <w:t>SWD(2019) 1025 final.</w:t>
      </w:r>
    </w:p>
  </w:footnote>
  <w:footnote w:id="3">
    <w:p w:rsidR="001F283F" w:rsidRDefault="00907AA5">
      <w:pPr>
        <w:pStyle w:val="FootnoteText"/>
        <w:rPr>
          <w:rStyle w:val="FootnoteReference"/>
        </w:rPr>
      </w:pPr>
      <w:r>
        <w:rPr>
          <w:rStyle w:val="FootnoteReference"/>
        </w:rPr>
        <w:footnoteRef/>
      </w:r>
      <w:r>
        <w:tab/>
        <w:t>Euroopa Parlamendi ja nõukogu 17. detsembri 2013. aasta määrus (EL) nr 1303/2013, millega kehtestatakse ühissätted Euroopa Regionaalarengu Fondi, Euroopa Sotsiaalfondi, Ühtekuuluvusfondi, Euroopa Maaelu Areng</w:t>
      </w:r>
      <w:r>
        <w:t>u Euroopa Põllumajandusfondi ning Euroopa Merendus- ja Kalandusfondi kohta, nähakse ette üldsätted Euroopa Regionaalarengu Fondi, Euroopa Sotsiaalfondi, Ühtekuuluvusfondi ja Euroopa Merendus- ja Kalandusfondi kohta ning tunnistatakse kehtetuks nõukogu määr</w:t>
      </w:r>
      <w:r>
        <w:t>us (EÜ) nr 1083/2006 (ELT L 347, 20.12.2013, lk 320).</w:t>
      </w:r>
    </w:p>
  </w:footnote>
  <w:footnote w:id="4">
    <w:p w:rsidR="001F283F" w:rsidRDefault="00907AA5">
      <w:pPr>
        <w:pStyle w:val="FootnoteText"/>
      </w:pPr>
      <w:r>
        <w:rPr>
          <w:rStyle w:val="FootnoteReference"/>
        </w:rPr>
        <w:footnoteRef/>
      </w:r>
      <w:r>
        <w:tab/>
        <w:t>COM(2014) 494 final.</w:t>
      </w:r>
    </w:p>
  </w:footnote>
  <w:footnote w:id="5">
    <w:p w:rsidR="001F283F" w:rsidRDefault="00907AA5">
      <w:pPr>
        <w:pStyle w:val="FootnoteText"/>
      </w:pPr>
      <w:r>
        <w:rPr>
          <w:rStyle w:val="FootnoteReference"/>
        </w:rPr>
        <w:footnoteRef/>
      </w:r>
      <w:r>
        <w:tab/>
        <w:t>Tsükliliselt kohandatud eelarvepositsioon, milles ei ole arvesse võetud ühekordseid ja ajutisi meetmeid ning mille komisjon on ümber arvutanud ühiselt kokku lepitud metoodika ko</w:t>
      </w:r>
      <w:r>
        <w:t>haselt.</w:t>
      </w:r>
    </w:p>
    <w:p w:rsidR="001F283F" w:rsidRDefault="001F283F">
      <w:pPr>
        <w:pStyle w:val="FootnoteText"/>
      </w:pPr>
    </w:p>
  </w:footnote>
  <w:footnote w:id="6">
    <w:p w:rsidR="001F283F" w:rsidRDefault="00907AA5">
      <w:pPr>
        <w:pStyle w:val="FootnoteText"/>
      </w:pPr>
      <w:r>
        <w:rPr>
          <w:rStyle w:val="FootnoteReference"/>
        </w:rPr>
        <w:footnoteRef/>
      </w:r>
      <w:r>
        <w:tab/>
        <w:t>Valitsemissektori esmased netokulud saadakse, kui valitsemissektori kogukuludest arvatakse maha intressikulud, liidu programmidele tehtavad kulutused, mis kaetakse täielikult liidu fondide tuludest, ja kaalutlusõigusevälised muudatused töötuskin</w:t>
      </w:r>
      <w:r>
        <w:t xml:space="preserve">dlustushüvitise kuludes. Valitsemissektori rahastatud kapitali kogumahutused põhivarasse on jaotatud 4 aasta peale. Kaalutlusõigusel põhinevad tulumeetmed või õigusaktidekohane tulude suurendamine arvatakse sisse. Ühekordsed tulu- ja kulumeetmed arvatakse </w:t>
      </w:r>
      <w:r>
        <w:t>välja.</w:t>
      </w:r>
    </w:p>
    <w:p w:rsidR="001F283F" w:rsidRDefault="001F283F">
      <w:pPr>
        <w:pStyle w:val="FootnoteText"/>
      </w:pPr>
    </w:p>
  </w:footnote>
  <w:footnote w:id="7">
    <w:p w:rsidR="001F283F" w:rsidRDefault="00907AA5">
      <w:pPr>
        <w:pStyle w:val="FootnoteText"/>
        <w:rPr>
          <w:rStyle w:val="FootnoteReference"/>
        </w:rPr>
      </w:pPr>
      <w:r>
        <w:rPr>
          <w:rStyle w:val="FootnoteReference"/>
        </w:rPr>
        <w:footnoteRef/>
      </w:r>
      <w:r>
        <w:tab/>
        <w:t>SWD(2019) 1025 final.</w:t>
      </w:r>
    </w:p>
  </w:footnote>
  <w:footnote w:id="8">
    <w:p w:rsidR="001F283F" w:rsidRDefault="00907AA5">
      <w:pPr>
        <w:pStyle w:val="FootnoteText"/>
      </w:pPr>
      <w:r>
        <w:rPr>
          <w:rStyle w:val="FootnoteReference"/>
        </w:rPr>
        <w:footnoteRef/>
      </w:r>
      <w:r>
        <w:tab/>
        <w:t>Vastavalt nõukogu määruse (EÜ) nr 1466/97 artikli 5 lõikele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1F2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1F2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3F" w:rsidRDefault="001F2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pt-PT" w:vendorID="64" w:dllVersion="131078" w:nlCheck="1" w:checkStyle="0"/>
  <w:activeWritingStyle w:appName="MSWord" w:lang="en-GB" w:vendorID="64" w:dllVersion="131078" w:nlCheck="1" w:checkStyle="1"/>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22: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58745FE3-2777-443F-BC54-702BC5EE4E8D"/>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oovitus:"/>
    <w:docVar w:name="LW_SUPERTITRE" w:val="&lt;UNUSED&gt;"/>
    <w:docVar w:name="LW_TITRE.OBJ.CP" w:val="milles käsitletakse Soome 2019. aasta riiklikku reformikava ja esitatakse nõukogu arvamus Soome 2019. aasta stabiilsusprogrammi kohta_x000b__x000b_"/>
    <w:docVar w:name="LW_TYPE.DOC.CP" w:val="NÕUKOGU SOOVITUS,"/>
  </w:docVars>
  <w:rsids>
    <w:rsidRoot w:val="001F283F"/>
    <w:rsid w:val="001F283F"/>
    <w:rsid w:val="009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1B7602-4CAA-43AB-98D2-7BD9E502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03557656">
      <w:bodyDiv w:val="1"/>
      <w:marLeft w:val="0"/>
      <w:marRight w:val="0"/>
      <w:marTop w:val="0"/>
      <w:marBottom w:val="0"/>
      <w:divBdr>
        <w:top w:val="none" w:sz="0" w:space="0" w:color="auto"/>
        <w:left w:val="none" w:sz="0" w:space="0" w:color="auto"/>
        <w:bottom w:val="none" w:sz="0" w:space="0" w:color="auto"/>
        <w:right w:val="none" w:sz="0" w:space="0" w:color="auto"/>
      </w:divBdr>
    </w:div>
    <w:div w:id="13204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8F65BC-53F0-4E38-B408-DE4205FC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7</Pages>
  <Words>2216</Words>
  <Characters>12809</Characters>
  <Application>Microsoft Office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20</cp:revision>
  <cp:lastPrinted>2019-05-29T16:22:00Z</cp:lastPrinted>
  <dcterms:created xsi:type="dcterms:W3CDTF">2019-06-12T09:28:00Z</dcterms:created>
  <dcterms:modified xsi:type="dcterms:W3CDTF">2019-06-12T11:47:00Z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