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C938893-E15E-4F42-A720-89BB4D5BE69A" style="width:450.8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Recomendação de</w:t>
      </w:r>
    </w:p>
    <w:p>
      <w:pPr>
        <w:pStyle w:val="Typedudocument"/>
        <w:rPr>
          <w:noProof/>
        </w:rPr>
      </w:pPr>
      <w:r>
        <w:rPr>
          <w:noProof/>
        </w:rPr>
        <w:t>RECOMENDAÇÃO DO CONSELHO</w:t>
      </w:r>
    </w:p>
    <w:p>
      <w:pPr>
        <w:pStyle w:val="Titreobjet"/>
        <w:rPr>
          <w:noProof/>
        </w:rPr>
      </w:pPr>
      <w:r>
        <w:rPr>
          <w:noProof/>
        </w:rPr>
        <w:t>relativa ao Programa Nacional de Reformas de Chipre de 2019 e que emite um parecer do Conselho sobre o Programa de Estabilidade de Chipre de 2019</w:t>
      </w:r>
      <w:r>
        <w:rPr>
          <w:noProof/>
        </w:rPr>
        <w:br/>
      </w:r>
      <w:r>
        <w:rPr>
          <w:noProof/>
        </w:rPr>
        <w:br/>
      </w:r>
    </w:p>
    <w:p>
      <w:pPr>
        <w:pStyle w:val="Institutionquiagit"/>
        <w:rPr>
          <w:noProof/>
        </w:rPr>
      </w:pPr>
      <w:r>
        <w:rPr>
          <w:noProof/>
        </w:rPr>
        <w:t>O CONSELHO DA UNIÃO EUROPEIA,</w:t>
      </w:r>
    </w:p>
    <w:p>
      <w:pPr>
        <w:rPr>
          <w:noProof/>
        </w:rPr>
      </w:pPr>
      <w:r>
        <w:rPr>
          <w:noProof/>
        </w:rPr>
        <w:t>Tendo em conta o Tratado sobre o Funcionamento da União Europeia, nomeadamente o artigo 121.º, n.º 2, e o artigo 148.º, n.º 4,</w:t>
      </w:r>
    </w:p>
    <w:p>
      <w:pPr>
        <w:rPr>
          <w:noProof/>
        </w:rPr>
      </w:pPr>
      <w:r>
        <w:rPr>
          <w:noProof/>
        </w:rPr>
        <w:t>Tendo em conta o Regulamento (CE) n.º 1466/97 do Conselho, de 7 de julho de 1997, relativo ao reforço da supervisão das situações orçamentais e à supervisão e coordenação das políticas económicas</w:t>
      </w:r>
      <w:r>
        <w:rPr>
          <w:rStyle w:val="FootnoteReference"/>
          <w:noProof/>
        </w:rPr>
        <w:footnoteReference w:id="1"/>
      </w:r>
      <w:r>
        <w:rPr>
          <w:noProof/>
        </w:rPr>
        <w:t>, nomeadamente o artigo 5.º, n.º 2,</w:t>
      </w:r>
    </w:p>
    <w:p>
      <w:pPr>
        <w:rPr>
          <w:noProof/>
        </w:rPr>
      </w:pPr>
      <w:r>
        <w:rPr>
          <w:noProof/>
        </w:rPr>
        <w:t>Tendo em conta o Regulamento (UE) n.º 1176/2011 do Parlamento Europeu e do Conselho, de 16 de novembro de 2011, sobre prevenção e correção dos desequilíbrios macroeconómicos</w:t>
      </w:r>
      <w:r>
        <w:rPr>
          <w:rStyle w:val="FootnoteReference"/>
          <w:noProof/>
        </w:rPr>
        <w:footnoteReference w:id="2"/>
      </w:r>
      <w:r>
        <w:rPr>
          <w:noProof/>
        </w:rPr>
        <w:t xml:space="preserve">, nomeadamente o artigo 6.º, n.º 1, </w:t>
      </w:r>
    </w:p>
    <w:p>
      <w:pPr>
        <w:rPr>
          <w:noProof/>
        </w:rPr>
      </w:pPr>
      <w:r>
        <w:rPr>
          <w:noProof/>
        </w:rPr>
        <w:t>Tendo em conta a recomendação da Comissão Europeia,</w:t>
      </w:r>
    </w:p>
    <w:p>
      <w:pPr>
        <w:rPr>
          <w:noProof/>
        </w:rPr>
      </w:pPr>
      <w:r>
        <w:rPr>
          <w:noProof/>
        </w:rPr>
        <w:t>Tendo em conta as resoluções do Parlamento Europeu,</w:t>
      </w:r>
    </w:p>
    <w:p>
      <w:pPr>
        <w:outlineLvl w:val="0"/>
        <w:rPr>
          <w:noProof/>
        </w:rPr>
      </w:pPr>
      <w:r>
        <w:rPr>
          <w:noProof/>
        </w:rPr>
        <w:t>Tendo em conta as conclusões do Conselho Europeu,</w:t>
      </w:r>
    </w:p>
    <w:p>
      <w:pPr>
        <w:rPr>
          <w:noProof/>
        </w:rPr>
      </w:pPr>
      <w:r>
        <w:rPr>
          <w:noProof/>
        </w:rPr>
        <w:t>Tendo em conta o parecer do Comité do Emprego,</w:t>
      </w:r>
    </w:p>
    <w:p>
      <w:pPr>
        <w:rPr>
          <w:noProof/>
        </w:rPr>
      </w:pPr>
      <w:r>
        <w:rPr>
          <w:noProof/>
        </w:rPr>
        <w:t>Tendo em conta o parecer do Comité Económico e Financeiro,</w:t>
      </w:r>
    </w:p>
    <w:p>
      <w:pPr>
        <w:rPr>
          <w:noProof/>
        </w:rPr>
      </w:pPr>
      <w:r>
        <w:rPr>
          <w:noProof/>
        </w:rPr>
        <w:t>Tendo em conta o parecer do Comité da Proteção Social,</w:t>
      </w:r>
    </w:p>
    <w:p>
      <w:pPr>
        <w:rPr>
          <w:noProof/>
        </w:rPr>
      </w:pPr>
      <w:r>
        <w:rPr>
          <w:noProof/>
        </w:rPr>
        <w:t>Tendo em conta o parecer do Comité de Política Económica,</w:t>
      </w:r>
    </w:p>
    <w:p>
      <w:pPr>
        <w:rPr>
          <w:noProof/>
        </w:rPr>
      </w:pPr>
      <w:r>
        <w:rPr>
          <w:noProof/>
        </w:rPr>
        <w:t>Considerando o seguinte:</w:t>
      </w:r>
    </w:p>
    <w:p>
      <w:pPr>
        <w:pStyle w:val="ManualConsidrant"/>
        <w:rPr>
          <w:noProof/>
        </w:rPr>
      </w:pPr>
      <w:r>
        <w:t>(1)</w:t>
      </w:r>
      <w:r>
        <w:tab/>
      </w:r>
      <w:r>
        <w:rPr>
          <w:noProof/>
        </w:rPr>
        <w:t xml:space="preserve">Em </w:t>
      </w:r>
      <w:r>
        <w:rPr>
          <w:noProof/>
          <w:color w:val="000000" w:themeColor="text1"/>
        </w:rPr>
        <w:t>21 de novembro de 2018, a Comissão adotou a Análise Anual do Crescimento, assinalando o início do Semestre Europeu de 2019</w:t>
      </w:r>
      <w:r>
        <w:rPr>
          <w:noProof/>
        </w:rPr>
        <w:t xml:space="preserve"> para a coordenação das políticas económicas. A referida análise tomou devidamente em conta o Pilar Europeu dos Direitos Sociais, proclamado em 17 de novembro de 2017 pelo Parlamento Europeu, pelo Conselho e pela Comissão. As prioridades da Análise Anual do Crescimento foram aprovadas pelo Conselho Europeu em 21 de março de 2019. Em 21 de novembro de 2018, a Comissão adotou também, com base no Regulamento (UE) n.º 1176/2011, o Relatório sobre o Mecanismo de Alerta, tendo identificado Chipre como um dos Estados-Membros que deveriam ser objeto de uma apreciação aprofundada. Na mesma data, a Comissão adotou ainda uma recomendação de recomendação do Conselho sobre a política económica da área do euro, que foi </w:t>
      </w:r>
      <w:r>
        <w:rPr>
          <w:noProof/>
        </w:rPr>
        <w:lastRenderedPageBreak/>
        <w:t xml:space="preserve">aprovada pelo Conselho Europeu em 21 de março de 2019. Em 9 de abril de 2019, o Conselho adotou a recomendação sobre a política económica da área do euro («recomendação para a área do euro»). </w:t>
      </w:r>
    </w:p>
    <w:p>
      <w:pPr>
        <w:pStyle w:val="ManualConsidrant"/>
        <w:rPr>
          <w:noProof/>
        </w:rPr>
      </w:pPr>
      <w:r>
        <w:t>(2)</w:t>
      </w:r>
      <w:r>
        <w:tab/>
      </w:r>
      <w:r>
        <w:rPr>
          <w:noProof/>
        </w:rPr>
        <w:t>Enquanto Estado-Membro cuja moeda é o euro e tendo em conta a estreita interligação entre as economias da União Económica e Monetária, Chipre deverá garantir a execução plena e atempada da recomendação para a área do euro, transposta nas recomendações 1 a 5 infra. Em especial, as medidas destinadas a diminuir a carga administrativa contribuirão para dar resposta à primeira recomendação para a área do euro no que diz respeito ao ambiente empresarial e às melhorias da produtividade para o reequilíbrio no interior da área do euro; centrar a política económica relacionada com o investimento nos domínios especificados contribuirá para dar resposta à segunda recomendação para a área do euro quanto ao apoio ao investimento; as medidas fiscais e as medidas destinadas a melhorar as competências ajudarão a abordar a terceira recomendação para a área do euro no que se refere à luta contra o planeamento fiscal agressivo e o funcionamento do mercado de trabalho; e as medidas destinadas a melhorar o funcionamento da empresa de gestão de ativos contribuirão para dar resposta à quarta recomendação para a área do euro relativamente à redução dos empréstimos não produtivos.</w:t>
      </w:r>
    </w:p>
    <w:p>
      <w:pPr>
        <w:pStyle w:val="ManualConsidrant"/>
        <w:rPr>
          <w:noProof/>
        </w:rPr>
      </w:pPr>
      <w:r>
        <w:t>(3)</w:t>
      </w:r>
      <w:r>
        <w:tab/>
      </w:r>
      <w:r>
        <w:rPr>
          <w:noProof/>
        </w:rPr>
        <w:t>O relatório de 2019 relativo a Chipre</w:t>
      </w:r>
      <w:r>
        <w:rPr>
          <w:rStyle w:val="FootnoteReference"/>
          <w:noProof/>
        </w:rPr>
        <w:footnoteReference w:id="3"/>
      </w:r>
      <w:r>
        <w:rPr>
          <w:noProof/>
        </w:rPr>
        <w:t xml:space="preserve"> foi publicado em 27 de fevereiro de 2019. Nele se avaliavam os progressos realizados por Chipre em resposta às recomendações específicas por país adotadas pelo Conselho em 13 de julho de 2018, o seguimento dado às recomendações adotadas em anos anteriores e os progressos alcançados na consecução dos seus objetivos nacionais definidos no quadro da estratégia Europa 2020. Incluía igualmente uma apreciação aprofundada nos termos do artigo 5.º do Regulamento (UE) n.º 1176/2011, cujos resultados foram também publicados em 27 de fevereiro de 2019</w:t>
      </w:r>
      <w:r>
        <w:rPr>
          <w:rStyle w:val="FootnoteReference"/>
          <w:noProof/>
        </w:rPr>
        <w:footnoteReference w:id="4"/>
      </w:r>
      <w:r>
        <w:rPr>
          <w:noProof/>
        </w:rPr>
        <w:t>. A referida análise levou a Comissão a concluir que Chipre regista desequilíbrios macroeconómicos excessivos. Em especial, é essencial que o Estado-Membro resolva o problema dos elevados níveis de dívida privada, pública e externa e de empréstimos não produtivos.</w:t>
      </w:r>
    </w:p>
    <w:p>
      <w:pPr>
        <w:pStyle w:val="ManualConsidrant"/>
        <w:rPr>
          <w:noProof/>
        </w:rPr>
      </w:pPr>
      <w:r>
        <w:t>(4)</w:t>
      </w:r>
      <w:r>
        <w:tab/>
      </w:r>
      <w:r>
        <w:rPr>
          <w:noProof/>
        </w:rPr>
        <w:t>Em 15 de abril de 2019, Chipre apresentou o seu Programa Nacional de Reformas de 2019 e, em 30 de abril de 2019, o seu Programa de Estabilidade de 2019. A fim de ter em conta as interligações entre ambos, os dois programas foram avaliados simultaneamente.</w:t>
      </w:r>
    </w:p>
    <w:p>
      <w:pPr>
        <w:pStyle w:val="ManualConsidrant"/>
        <w:rPr>
          <w:noProof/>
        </w:rPr>
      </w:pPr>
      <w:r>
        <w:t>(5)</w:t>
      </w:r>
      <w:r>
        <w:tab/>
      </w:r>
      <w:r>
        <w:rPr>
          <w:noProof/>
        </w:rPr>
        <w:t>As recomendações específicas por país relevantes foram tidas em conta na programação dos Fundos Europeus Estruturais e de Investimento («FEEI») para o período 2014-2020. Nos termos do artigo 23.º do Regulamento (UE) n.º 1303/2013 do Parlamento Europeu e do Conselho</w:t>
      </w:r>
      <w:r>
        <w:rPr>
          <w:rStyle w:val="FootnoteReference"/>
          <w:noProof/>
        </w:rPr>
        <w:footnoteReference w:id="5"/>
      </w:r>
      <w:r>
        <w:rPr>
          <w:noProof/>
        </w:rPr>
        <w:t xml:space="preserve">, a Comissão pode pedir que um Estado-Membro reveja e proponha alterações ao seu acordo de parceria e aos programas relevantes, caso tal seja necessário para apoiar a aplicação das recomendações pertinentes do Conselho. A Comissão forneceu informações mais pormenorizadas sobre a forma </w:t>
      </w:r>
      <w:r>
        <w:rPr>
          <w:noProof/>
        </w:rPr>
        <w:lastRenderedPageBreak/>
        <w:t>como tenciona recorrer a essa disposição nas orientações sobre a aplicação das medidas destinadas a relacionar a eficácia dos FEEI com uma sólida governação económica</w:t>
      </w:r>
      <w:r>
        <w:rPr>
          <w:rStyle w:val="FootnoteReference"/>
          <w:noProof/>
        </w:rPr>
        <w:footnoteReference w:id="6"/>
      </w:r>
      <w:r>
        <w:rPr>
          <w:noProof/>
        </w:rPr>
        <w:t>.</w:t>
      </w:r>
    </w:p>
    <w:p>
      <w:pPr>
        <w:pStyle w:val="ManualConsidrant"/>
        <w:rPr>
          <w:noProof/>
        </w:rPr>
      </w:pPr>
      <w:r>
        <w:t>(6)</w:t>
      </w:r>
      <w:r>
        <w:tab/>
      </w:r>
      <w:r>
        <w:rPr>
          <w:noProof/>
        </w:rPr>
        <w:t>Chipre encontra-se atualmente sujeito à vertente preventiva do Pacto de Estabilidade e Crescimento. No seu Programa de Estabilidade de 2019, o saldo do setor público administrativo, que em 2018 se transformou num défice de 4,8 % do PIB, excedendo assim o valor de referência do Tratado (3 % do PIB), deverá atingir um excedente, em termos nominais, de 3,0 % do PIB em 2019 e superior a 2,0 % do PIB durante o período de programação. Com base no saldo estrutural recalculado</w:t>
      </w:r>
      <w:r>
        <w:rPr>
          <w:rStyle w:val="FootnoteReference"/>
          <w:noProof/>
        </w:rPr>
        <w:footnoteReference w:id="7"/>
      </w:r>
      <w:r>
        <w:rPr>
          <w:noProof/>
        </w:rPr>
        <w:t xml:space="preserve">, prevê-se que o objetivo orçamental de médio prazo, que consiste numa situação orçamental equilibrada em termos estruturais, seja atingido entre 2019 e 2022. De acordo com o Programa de Estabilidade de 2019, o rácio dívida das administrações públicas/PIB, após ter subido para cerca de 102,5 % do PIB em 2018, deverá descer para 95,7 % em 2019, diminuindo em seguida de forma constante para se situar em 77,5 % em 2022. O cenário macroeconómico subjacente a essas projeções orçamentais é realista. Os riscos associados aos pressupostos macroeconómicos e orçamentais apresentados no Programa de Estabilidade tendem para uma revisão em baixa, sobretudo em função da evolução externa, bem como do potencial impacto orçamental dos acórdãos judiciais relativos às anteriores reformas orçamentais e das necessidades de financiamento dos hospitais públicos durante os primeiros anos do sistema nacional de saúde. De acordo com as previsões da Comissão da primavera de 2019, a dívida das administrações públicas deverá voltar a aumentar, passando para 3,0 % do PIB em 2019 e 2,8 % do PIB em 2020. Com base nas previsões da Comissão da primavera de 2019, o saldo estrutural deverá situar-se em 1,1 % do PIB em 2019 e 0,7 % do PIB em 2020, continuando a ultrapassar o objetivo orçamental de médio prazo. Prevê-se que Chipre cumpra a regra relativa à dívida em 2019 e 2020. De um modo geral, o Conselho entende que é de prever que Chipre cumpra as disposições do Pacto de Estabilidade e Crescimento em 2019 e 2020. </w:t>
      </w:r>
    </w:p>
    <w:p>
      <w:pPr>
        <w:pStyle w:val="ManualConsidrant"/>
        <w:rPr>
          <w:noProof/>
        </w:rPr>
      </w:pPr>
      <w:r>
        <w:t>(7)</w:t>
      </w:r>
      <w:r>
        <w:tab/>
      </w:r>
      <w:r>
        <w:rPr>
          <w:noProof/>
        </w:rPr>
        <w:t xml:space="preserve">Em 5 de junho de 2019, a Comissão publicou um relatório elaborado em conformidade com o artigo 126.º, n.º 3, do TFUE, uma vez que, com base nos dados notificados, em 2018 o défice nominal infringia o valor de referência de 3 % do PIB previsto no Tratado. O relatório concluiu que não deveriam ser dados mais passos no sentido de uma decisão que declarasse a existência de um défice excessivo. As ineficiências da administração pública e da administração local continuam a constituir um desafio, apesar de se terem registado progressos em matéria de administração pública em linha, o que prejudica o ambiente empresarial. As propostas legislativas essenciais para resolver esta questão continuam pendentes, incluindo projetos de lei sobre a reforma da administração pública e da administração local. As insuficiências do quadro de governo das entidades públicas são suscetíveis de facilitar a acumulação de passivos contingentes públicos, bem como de afetar a capacidade de investimento nos principais serviços de utilidade pública, como as telecomunicações e a energia. A contenção da massa salarial do setor público, que tem desempenhado um papel significativo na consolidação orçamental de Chipre, deve prosseguir. </w:t>
      </w:r>
    </w:p>
    <w:p>
      <w:pPr>
        <w:pStyle w:val="ManualConsidrant"/>
        <w:rPr>
          <w:noProof/>
        </w:rPr>
      </w:pPr>
      <w:r>
        <w:t>(8)</w:t>
      </w:r>
      <w:r>
        <w:tab/>
      </w:r>
      <w:r>
        <w:rPr>
          <w:noProof/>
        </w:rPr>
        <w:t xml:space="preserve">A luta contra o planeamento fiscal agressivo é essencial para tornar os sistemas fiscais mais eficientes e justos, como foi reconhecido na recomendação sobre a área do euro de 2019. Os efeitos de repercussão, entre os Estados-Membros, decorrentes das </w:t>
      </w:r>
      <w:r>
        <w:rPr>
          <w:noProof/>
        </w:rPr>
        <w:lastRenderedPageBreak/>
        <w:t xml:space="preserve">estratégias de planeamento fiscal agressivo implementadas pelos contribuintes exigem uma ação coordenada das políticas nacionais para complementar a legislação da UE. Chipre adotou medidas contra as estratégias de planeamento fiscal agressivo, mas o elevado nível de pagamentos de dividendos e juros em percentagem do PIB sugere que as suas regras fiscais são usadas pelas empresas para praticar um planeamento fiscal agressivo. A ausência de impostos com retenção na fonte sobre pagamentos para o exterior (ou seja, efetuados pelos residentes da UE a residentes de países terceiros) de dividendos, juros e, em muitos casos, </w:t>
      </w:r>
      <w:r>
        <w:rPr>
          <w:i/>
          <w:noProof/>
        </w:rPr>
        <w:t>royalties</w:t>
      </w:r>
      <w:r>
        <w:rPr>
          <w:noProof/>
        </w:rPr>
        <w:t>, efetuados por empresas sediadas em Chipre a residentes em países terceiros, pode levar a que esses pagamentos não sejam de todo tributados, caso também não sejam sujeitos a imposto na jurisdição do beneficiário. A ausência de uma tributação deste tipo, juntamente com as regras em matéria de residência fiscal das empresas, podem continuar a facilitar o planeamento fiscal agressivo. O regime de dedução da remuneração fictícia do capital (</w:t>
      </w:r>
      <w:r>
        <w:rPr>
          <w:i/>
          <w:noProof/>
        </w:rPr>
        <w:t>notional interest deduction</w:t>
      </w:r>
      <w:r>
        <w:rPr>
          <w:noProof/>
        </w:rPr>
        <w:t>) deve ser acompanhado de perto, a fim de evitar qualquer utilização abusiva do planeamento fiscal agressivo. Por último, o regime excecional de naturalização dos investidores em Chipre e o regime de autorização residência aos investidores dão acesso a uma baixa taxa de imposto pessoal sobre o rendimento proveniente de ativos financeiros estrangeiros e não exige que uma pessoa permaneça muito tempo na jurisdição que proporciona este regime. Estes regimes foram identificados pela OCDE como tendo um risco potencialmente elevado de utilização abusiva para contornar a troca automática de informações contabilísticas.</w:t>
      </w:r>
    </w:p>
    <w:p>
      <w:pPr>
        <w:pStyle w:val="ManualConsidrant"/>
        <w:rPr>
          <w:noProof/>
        </w:rPr>
      </w:pPr>
      <w:r>
        <w:t>(9)</w:t>
      </w:r>
      <w:r>
        <w:tab/>
      </w:r>
      <w:r>
        <w:rPr>
          <w:noProof/>
        </w:rPr>
        <w:t>Foram aplicadas medidas importantes no contexto de uma estratégia global para os empréstimos não produtivos, que conduziu a uma redução acentuada dos empréstimos não produtivos no setor bancário, principalmente devido à venda e liquidação do Banco Cooperativo de Chipre e à transferência da sua carteira de empréstimos não produtivos para uma sociedade de gestão de ativos detida pelo Estado. Além disso, a lei relativa à venda de empréstimos foi melhorada e foi adotada uma lei sobre a titularização de empréstimos. A fim de maximizar as receitas da venda de ativos e, em última análise, ajudar a reduzir a dívida privada, é essencial que a sociedade de gestão de ativos detida pelo Estado disponha de uma estrutura de governo eficaz, de uma gestão altamente especializada, de independência operacional em relação ao Estado cipriota e de metas bem definidas, em conformidade com os compromissos assumidos pelo governo no contexto da decisão relativa ao auxílio estatal à venda do Banco Cooperativo de Chipre, que foi aprovada pela Comissão Europeia.</w:t>
      </w:r>
      <w:r>
        <w:rPr>
          <w:rFonts w:ascii="Arial" w:hAnsi="Arial"/>
          <w:noProof/>
          <w:color w:val="000000"/>
        </w:rPr>
        <w:t xml:space="preserve"> </w:t>
      </w:r>
      <w:r>
        <w:rPr>
          <w:noProof/>
        </w:rPr>
        <w:t>Além disso, é importante criar um enquadramento de supervisão adequado para as empresas de aquisição de créditos, uma vez que o número dessas empresas aumentou, incluindo a empresa de gestão de ativos detida pelo Estado, e estão previstas no futuro mais vendas de carteiras de empréstimos não produtivos. A governação e a capacidade administrativa das entidades de supervisão das seguradoras e dos fundos de pensões continuam a ser insuficientes. A integração destes supervisores deve ser concluída rapidamente. De um modo mais geral, o enquadramento da supervisão dos mercados de capitais deve ser reforçado, tendo em conta as atividades transfronteiras relativamente importantes das empresas de serviços financeiros não bancárias e o crescimento exponencial das empresas licenciadas nos últimos anos.</w:t>
      </w:r>
    </w:p>
    <w:p>
      <w:pPr>
        <w:pStyle w:val="ManualConsidrant"/>
        <w:rPr>
          <w:noProof/>
        </w:rPr>
      </w:pPr>
      <w:r>
        <w:t>(10)</w:t>
      </w:r>
      <w:r>
        <w:tab/>
      </w:r>
      <w:r>
        <w:rPr>
          <w:noProof/>
        </w:rPr>
        <w:t xml:space="preserve">O emprego está a aumentar, o desemprego a diminuir e foi melhorada a capacidade a curto prazo dos serviços públicos de emprego para facilitar o apoio ativo ao emprego. No entanto, a sustentabilidade a longo prazo da capacidade dos serviços públicos de emprego continua a ser um problema, uma vez que o pessoal suplementar foi recrutado por apenas dois anos. Em 2018, a percentagem de jovens que não trabalham, não estudam nem seguem qualquer formação era das mais elevadas da UE. A baixa </w:t>
      </w:r>
      <w:r>
        <w:rPr>
          <w:noProof/>
        </w:rPr>
        <w:lastRenderedPageBreak/>
        <w:t>eficiência dos serviços públicos de emprego e a sua limitada implantação e participação na ativação para ajudar as pessoas a encontrar trabalho continuam a ser um desafio. Por conseguinte, há margem para reforçar a sensibilização e o apoio à ativação para o acesso ao emprego, em especial dos jovens e dos desempregados de longa duração. Tal inclui a promoção do trabalho por conta própria e da economia social, bem como a modernização das instituições e dos serviços do mercado de trabalho, a fim de ajudar as pessoas a adquirir competências que correspondam melhor às necessidades do mercado de trabalho.</w:t>
      </w:r>
    </w:p>
    <w:p>
      <w:pPr>
        <w:pStyle w:val="ManualConsidrant"/>
        <w:rPr>
          <w:noProof/>
        </w:rPr>
      </w:pPr>
      <w:r>
        <w:t>(11)</w:t>
      </w:r>
      <w:r>
        <w:tab/>
      </w:r>
      <w:r>
        <w:rPr>
          <w:noProof/>
        </w:rPr>
        <w:t>A insuficiência e inadequação das competências figuram entre os principais obstáculos ao investimento das empresas, salientando a necessidade de investir mais na formação do potencial de trabalho não utilizado e subutilizado, de um melhor alinhamento dos programas de ensino com as necessidades do mercado de trabalho e de um investimento na adequação das infraestruturas de ensino profissional. Os progressos em matéria de reformas fundamentais da educação e formação, como a melhoria das nomeações e da avaliação dos professores, são díspares. Os resultados escolares continuam a ser fracos, tal como a participação na educação e acolhimento na primeira infância, que se tornou menos acessível para as famílias, uma vez que, durante a crise, o seu rendimento diminuiu a um ritmo mais rápido do que os custos das estruturas de acolhimento de crianças. A continuação dos esforços para modernizar o sistema de ensino e formação a todos os níveis contribuirá para melhorar os resultados escolares e aumentar o potencial de crescimento sustentável em Chipre. A revisão dos programas de formação profissional é um passo promissor para reduzir as inadequações das competências para o mercado de trabalho. No entanto, a frequente inadequação de competências para os diplomados do ensino superior e a baixa participação na educação de adultos, especialmente dos menos qualificados, apontam para a necessidade de medidas reforçadas de melhoria das competências e de requalificação.</w:t>
      </w:r>
    </w:p>
    <w:p>
      <w:pPr>
        <w:pStyle w:val="ManualConsidrant"/>
        <w:rPr>
          <w:noProof/>
        </w:rPr>
      </w:pPr>
      <w:r>
        <w:t>(12)</w:t>
      </w:r>
      <w:r>
        <w:tab/>
      </w:r>
      <w:r>
        <w:rPr>
          <w:noProof/>
        </w:rPr>
        <w:t>Chipre realizou progressos em matéria de cuidados de saúde, com a adoção da legislação que cria o novo Sistema Nacional de Saúde. O novo sistema visa melhorar o acesso, introduzir uma cobertura universal dos cuidados, reduzir o elevado nível de pagamentos diretos e aumentar a eficiência da prestação de cuidados no setor público. Subsistem importantes desafios de execução e necessidades de investimento até que o sistema se torne plenamente operacional em 2020. A preservação da sustentabilidade a longo prazo do sistema, incluindo a garantia da autonomia financeira e operacional dos hospitais públicos, como previsto, continua a ser crucial. As medidas destinadas a modernizar e melhorar a eficiência dos prestadores de cuidados de saúde, incluindo os cuidados de saúde primários, a introdução da saúde em linha e a criação de uma organização nacional dos medicamentos, reforçariam ainda mais o sistema de saúde. O nível de cuidados continuados é fraco e continua a constituir um desafio atendendo ao envelhecimento da população.</w:t>
      </w:r>
    </w:p>
    <w:p>
      <w:pPr>
        <w:pStyle w:val="ManualConsidrant"/>
        <w:rPr>
          <w:noProof/>
        </w:rPr>
      </w:pPr>
      <w:r>
        <w:t>(13)</w:t>
      </w:r>
      <w:r>
        <w:tab/>
      </w:r>
      <w:r>
        <w:rPr>
          <w:noProof/>
        </w:rPr>
        <w:t xml:space="preserve">O fraco desempenho ambiental de Chipre é uma grande preocupação e o país continua vulnerável às alterações climáticas. Chipre tem de melhorar significativamente o seu sistema de gestão de resíduos e a economia circular. A produção de resíduos continua a ser significativamente mais elevada do que a média da União e tem vindo a aumentar desde 2014. As atuais instalações de tratamento de resíduos não atingem taxas de reciclagem elevadas e a falta de instrumentos económicos, como os impostos sobre os aterros, torna a reciclagem pouco atrativa do ponto de vista económico. A gestão da água, nomeadamente nas zonas urbanas, caracteriza-se por ineficiências. A escassez de água, em combinação com a captação excessiva de águas subterrâneas, constitui o principal desafio de Chipre. A nível de águas residuais urbanas, existe uma quantidade </w:t>
      </w:r>
      <w:r>
        <w:rPr>
          <w:noProof/>
        </w:rPr>
        <w:lastRenderedPageBreak/>
        <w:t>considerável que ainda é descarregada sem recolha ou tratamento - só cerca de metade do total das águas residuais é objeto de tratamento secundário. As secas e a escassez de água são grandes preocupações e uma resposta política insuficiente pode afetar a economia rural e o turismo deste Estado-Membro. Por conseguinte, a gestão sustentável e a utilização eficiente dos seus recursos naturais, juntamente com uma aplicação mais rigorosa da legislação em matéria de ambiente e clima, são essenciais para que Chipre possa atenuar os efeitos adversos das alterações climáticas, preservar e restabelecer o seu ambiente natural e assegurar um crescimento económico sustentável a longo prazo.</w:t>
      </w:r>
    </w:p>
    <w:p>
      <w:pPr>
        <w:pStyle w:val="ManualConsidrant"/>
        <w:rPr>
          <w:noProof/>
        </w:rPr>
      </w:pPr>
      <w:r>
        <w:t>(14)</w:t>
      </w:r>
      <w:r>
        <w:tab/>
      </w:r>
      <w:r>
        <w:rPr>
          <w:noProof/>
        </w:rPr>
        <w:t>Chipre pode utilizar melhor as suas fontes de energia renováveis - em especial a energia solar - e corrigir as atuais ineficiências do setor da energia. A quota de energias renováveis de Chipre foi de 8,9 % em 2017, sendo o objetivo para 2020 de 13 %. Os edifícios residenciais e comerciais construídos sem proteção térmica, ou com níveis baixos de proteção térmica, em especial nas zonas urbanas, são uma fonte substancial de ineficiência energética. As condições-quadro para o investimento no setor das energias renováveis melhoraram e foram introduzidas várias medidas, incluindo sistemas fotovoltaicos e regimes de subvenções para as pequenas e médias empresas e as famílias. No entanto, Chipre ainda não tirou pleno proveito do seu considerável potencial de produção de energias renováveis, nomeadamente de energia solar. A dependência das estradas para o transporte terrestre cria uma série de desafios estratégicos, nomeadamente o esforço para reduzir a poluição atmosférica e as emissões de gases com efeito de estufa, e conduz também a um grave congestionamento nas zonas urbanas nas horas de ponta e nas estradas que servem os portos. Com uma quota de 2,7 % em 2016, Chipre também está a ficar para trás na utilização de fontes de energia renováveis nos transportes e pode ter dificuldades em alcançar a meta vinculativa de 10 % até 2020.</w:t>
      </w:r>
    </w:p>
    <w:p>
      <w:pPr>
        <w:pStyle w:val="ManualConsidrant"/>
        <w:rPr>
          <w:noProof/>
        </w:rPr>
      </w:pPr>
      <w:r>
        <w:t>(15)</w:t>
      </w:r>
      <w:r>
        <w:tab/>
      </w:r>
      <w:r>
        <w:rPr>
          <w:noProof/>
        </w:rPr>
        <w:t xml:space="preserve">O investimento na economia digital e na melhoria das competências digitais dos trabalhadores é essencial para reforçar a produtividade. Chipre ocupa o seu lugar mais baixo no índice de digitalidade da economia e da sociedade (IDES) da Comissão Europeia em 2019. Apenas 50 % dos cipriotas entre os 16 e os 74 anos dispõem de competências digitais básicas e os especialistas em TIC continuam a representar uma percentagem inferior da mão de obra, em comparação com a UE (2,3 % contra 3,7 %), o que prejudica o potencial da economia digital. Existe um baixo nível de interação em linha entre as autoridades públicas e os cidadãos, sendo apenas 50 % os cipriotas que interagem em linha. O comércio eletrónico está a melhorar, mas continua a ser inferior à média da União. </w:t>
      </w:r>
    </w:p>
    <w:p>
      <w:pPr>
        <w:pStyle w:val="ManualConsidrant"/>
        <w:rPr>
          <w:noProof/>
        </w:rPr>
      </w:pPr>
      <w:r>
        <w:t>(16)</w:t>
      </w:r>
      <w:r>
        <w:tab/>
      </w:r>
      <w:r>
        <w:rPr>
          <w:noProof/>
        </w:rPr>
        <w:t>Chipre continua a ser um inovador moderado, tendo o desempenho a nível da inovação diminuído desde 2010. Os níveis de despesa pública e privada em investigação e desenvolvimento contam-se entre os mais baixos da União, o que dificulta a capacidade de inovação dos centros de investigação e do setor empresarial. A interação entre o mundo académico e as empresas é também muito limitada. Aumentar a capacidade de inovação do setor empresarial e promover o acesso ao financiamento e a investimentos que se centrem em áreas de especialização inteligente bem definidas é crucial para melhorar a competitividade de Chipre, em especial das suas pequenas e médias empresas.</w:t>
      </w:r>
    </w:p>
    <w:p>
      <w:pPr>
        <w:pStyle w:val="ManualConsidrant"/>
        <w:rPr>
          <w:noProof/>
        </w:rPr>
      </w:pPr>
      <w:r>
        <w:t>(17)</w:t>
      </w:r>
      <w:r>
        <w:tab/>
      </w:r>
      <w:r>
        <w:rPr>
          <w:noProof/>
        </w:rPr>
        <w:t>A carga administrativa é elevada, em especial no que diz respeito ao lançamento de investimentos estratégicos. Há margem para simplificar significativamente os procedimentos de obtenção de licenças para investimentos estratégicos, estando ainda pendente a respetiva legislação.</w:t>
      </w:r>
    </w:p>
    <w:p>
      <w:pPr>
        <w:pStyle w:val="ManualConsidrant"/>
        <w:rPr>
          <w:noProof/>
        </w:rPr>
      </w:pPr>
      <w:r>
        <w:lastRenderedPageBreak/>
        <w:t>(18)</w:t>
      </w:r>
      <w:r>
        <w:tab/>
      </w:r>
      <w:r>
        <w:rPr>
          <w:noProof/>
        </w:rPr>
        <w:t>A aplicação do plano de ação para o crescimento tem conduzido a alguns progressos nos domínios do investimento estratégico, do empreendedorismo e da melhoria da regulamentação. No entanto, as medidas de apoio financeiro às pequenas e médias empresas continuam a basear-se principalmente em subvenções. A utilização, por parte das empresas cipriotas, de fontes alternativas de financiamento, como o capital de risco, o financiamento através de capitais próprios e o financiamento colaborativo, continua a ser marginal. Uma melhor coordenação do apoio às empresas poderia melhorar a sua aceitação. Os esforços de privatização, que visam atrair investimento estrangeiro suscetível de melhorar a produtividade, encontram-se suspensos em muitos casos, e só alguns projetos de privatização estão a avançar gradualmente.</w:t>
      </w:r>
    </w:p>
    <w:p>
      <w:pPr>
        <w:pStyle w:val="ManualConsidrant"/>
        <w:rPr>
          <w:noProof/>
        </w:rPr>
      </w:pPr>
      <w:r>
        <w:t>(19)</w:t>
      </w:r>
      <w:r>
        <w:tab/>
      </w:r>
      <w:r>
        <w:rPr>
          <w:noProof/>
        </w:rPr>
        <w:t>As persistentes ineficiências do sistema judicial continuam a afetar a execução dos contratos e a celeridade de resolução dos processos civis e comerciais, bem como a investigação de crimes graves. As regras de processo civil complexas e obsoletas e a insuficiente execução das decisões judiciais entravam os incentivos à utilização dos quadros de insolvência e de execução de hipotecas por parte dos bancos, a fim de reduzir o volume de empréstimos não produtivos. Uma série de reformas já começaram a abordar os problemas mais graves do sistema judicial, em especial as regras obsoletas de processo civil, a baixa especialização e digitalização dos tribunais, a conclusão de um grande número de processos em atraso e a falta de formação ao longo da vida para os juízes, mas os progressos continuam a ser lentos. Essas reformas deverão estar em consonância com os compromissos assumidos pelo governo no contexto da decisão relativa ao auxílio estatal à venda do Banco Cooperativo de Chipre, que foi aprovada pela Comissão Europeia. Em 2018, foram adotados quadros de insolvência e de execução de hipotecas melhorados. A plena aplicação das novas leis, juntamente com a garantia de um sistema judicial eficiente e de uma execução mais rigorosa das decisões, deverão contribuir para melhorar a disciplina no reembolso das dívidas. Está em vigor desde dezembro de 2017 uma estratégia nacional de luta contra a corrupção, que foi reforçada pela aprovação pelo Conselho de Ministros, em maio de 2019, de um plano de ação horizontal contra a corrupção. Foram apresentados ao Parlamento projetos de lei para a criação de uma nova agência independente de luta contra a corrupção e de um quadro de proteção dos denunciantes, mas ainda não foram adotados. Estas leis ajudariam a reforçar o quadro nacional de luta contra a corrupção. As reformas anticorrupção devem ser aceleradas através da rápida aplicação do plano de ação de luta contra a corrupção. A independência dos magistrados do Ministério Público deve ser salvaguardada e a capacidade de aplicação da lei reforçada.</w:t>
      </w:r>
    </w:p>
    <w:p>
      <w:pPr>
        <w:pStyle w:val="ManualConsidrant"/>
        <w:rPr>
          <w:noProof/>
        </w:rPr>
      </w:pPr>
      <w:r>
        <w:t>(20)</w:t>
      </w:r>
      <w:r>
        <w:tab/>
      </w:r>
      <w:r>
        <w:rPr>
          <w:noProof/>
        </w:rPr>
        <w:t>Apesar de alguns esforços para reduzir o número de processos de emissão de títulos de propriedade pendentes, os atrasos continuam a ser importantes. Continua a faltar uma solução estrutural que resolva as insuficiências do sistema de transmissão de propriedade (ou seja, a emissão e a transferência de títulos de propriedade),</w:t>
      </w:r>
      <w:r>
        <w:rPr>
          <w:rFonts w:ascii="Arial" w:hAnsi="Arial"/>
          <w:noProof/>
        </w:rPr>
        <w:t xml:space="preserve"> </w:t>
      </w:r>
      <w:r>
        <w:rPr>
          <w:noProof/>
        </w:rPr>
        <w:t>que é essencial para facilitar os procedimentos de execução de hipotecas e permitir a liquidação de garantias.</w:t>
      </w:r>
    </w:p>
    <w:p>
      <w:pPr>
        <w:pStyle w:val="ManualConsidrant"/>
        <w:rPr>
          <w:noProof/>
        </w:rPr>
      </w:pPr>
      <w:r>
        <w:t>(21)</w:t>
      </w:r>
      <w:r>
        <w:tab/>
      </w:r>
      <w:r>
        <w:rPr>
          <w:noProof/>
        </w:rPr>
        <w:t>A programação dos fundos da UE para o período 2021-2027 poderá ajudar a colmatar algumas das lacunas identificadas nas recomendações, em especial nos domínios abrangidos pelo anexo D do relatório relativo ao país</w:t>
      </w:r>
      <w:r>
        <w:rPr>
          <w:rStyle w:val="FootnoteReference"/>
          <w:noProof/>
        </w:rPr>
        <w:footnoteReference w:id="8"/>
      </w:r>
      <w:r>
        <w:rPr>
          <w:noProof/>
        </w:rPr>
        <w:t>, permitindo a Chipre tirar melhor proveito desses fundos no que diz respeito aos setores identificados, tendo em conta as disparidades regionais. O reforço da capacidade administrativa do país para a gestão destes fundos constitui um fator importante para o êxito destes investimentos.</w:t>
      </w:r>
    </w:p>
    <w:p>
      <w:pPr>
        <w:pStyle w:val="ManualConsidrant"/>
        <w:rPr>
          <w:noProof/>
        </w:rPr>
      </w:pPr>
      <w:r>
        <w:lastRenderedPageBreak/>
        <w:t>(22)</w:t>
      </w:r>
      <w:r>
        <w:tab/>
      </w:r>
      <w:r>
        <w:rPr>
          <w:noProof/>
        </w:rPr>
        <w:t xml:space="preserve">No contexto do Semestre Europeu de 2019, a Comissão procedeu a uma análise exaustiva da política económica de Chipre e publicou-a no relatório de 2019 relativo ao país. A Comissão analisou também o Programa de Estabilidade de 2019 e o Programa Nacional de Reformas de 2019 deste país, bem como o seguimento dado às recomendações dirigidas a Chipre em anos anteriores. Tomou em consideração não só a sua relevância para a sustentabilidade da política orçamental e socioeconómica em Chipre, mas também a sua conformidade com as regras e orientações da União, dada a necessidade de reforçar a governação económica global da União mediante um contributo a nível da União para futuras decisões nacionais. </w:t>
      </w:r>
    </w:p>
    <w:p>
      <w:pPr>
        <w:pStyle w:val="ManualConsidrant"/>
        <w:rPr>
          <w:noProof/>
        </w:rPr>
      </w:pPr>
      <w:r>
        <w:t>(23)</w:t>
      </w:r>
      <w:r>
        <w:tab/>
      </w:r>
      <w:r>
        <w:rPr>
          <w:noProof/>
        </w:rPr>
        <w:t>À luz da presente avaliação, o Conselho examinou o Programa de Estabilidade 2019, sendo o seu parecer</w:t>
      </w:r>
      <w:r>
        <w:rPr>
          <w:rStyle w:val="FootnoteReference"/>
          <w:noProof/>
        </w:rPr>
        <w:footnoteReference w:id="9"/>
      </w:r>
      <w:r>
        <w:rPr>
          <w:noProof/>
        </w:rPr>
        <w:t xml:space="preserve"> que [...].</w:t>
      </w:r>
    </w:p>
    <w:p>
      <w:pPr>
        <w:pStyle w:val="ManualConsidrant"/>
        <w:rPr>
          <w:noProof/>
        </w:rPr>
      </w:pPr>
      <w:r>
        <w:t>(24)</w:t>
      </w:r>
      <w:r>
        <w:tab/>
      </w:r>
      <w:r>
        <w:rPr>
          <w:noProof/>
        </w:rPr>
        <w:t>Tendo em conta a apreciação aprofundada realizada pela Comissão e a presente avaliação, o Conselho analisou o Programa Nacional de Reformas e o Programa de Estabilidade de 2019. As suas recomendações, apresentadas ao abrigo do artigo 6.º do Regulamento (UE) n.º 1176/2011, estão consubstanciadas nas recomendações 1 a 5 seguintes. Essas recomendações contribuem igualmente para a aplicação da recomendação para a área do euro, transposta em especial na primeira, terceira e quarta recomendações relativas à área do euro. As políticas orçamentais referidas na recomendação 1 contribuem, nomeadamente, para corrigir os desequilíbrios relacionados com a elevada dívida pública.</w:t>
      </w:r>
    </w:p>
    <w:p>
      <w:pPr>
        <w:pStyle w:val="Formuledadoption"/>
        <w:rPr>
          <w:noProof/>
        </w:rPr>
      </w:pPr>
      <w:r>
        <w:rPr>
          <w:noProof/>
        </w:rPr>
        <w:t xml:space="preserve">RECOMENDA que, em 2019 e 2020, Chipre tome medidas no sentido de: </w:t>
      </w:r>
    </w:p>
    <w:p>
      <w:pPr>
        <w:pStyle w:val="ManualNumPar1"/>
        <w:rPr>
          <w:noProof/>
        </w:rPr>
      </w:pPr>
      <w:r>
        <w:t>1.</w:t>
      </w:r>
      <w:r>
        <w:tab/>
      </w:r>
      <w:r>
        <w:rPr>
          <w:noProof/>
        </w:rPr>
        <w:t>Adotar reformas legislativas essenciais com vista a melhorar a eficiência do setor público, nomeadamente o funcionamento da administração pública e o governo das empresas públicas e das autarquias locais. Corrigir os aspetos do sistema fiscal que podem facilitar o planeamento fiscal agressivo por parte de indivíduos e multinacionais, nomeadamente através de pagamentos ao exterior.</w:t>
      </w:r>
    </w:p>
    <w:p>
      <w:pPr>
        <w:pStyle w:val="ManualNumPar1"/>
        <w:rPr>
          <w:noProof/>
        </w:rPr>
      </w:pPr>
      <w:r>
        <w:t>2.</w:t>
      </w:r>
      <w:r>
        <w:tab/>
      </w:r>
      <w:r>
        <w:rPr>
          <w:noProof/>
        </w:rPr>
        <w:t>Facilitar a redução dos empréstimos não produtivos, nomeadamente através da criação de uma estrutura de governo eficaz da empresa de gestão de ativos detida pelo Estado, tomar medidas para melhorar a disciplina dos pagamentos e reforçar a supervisão das empresas de aquisição de créditos. Reforçar a capacidade de supervisão no setor financeiro não bancário, nomeadamente através da plena integração dos supervisores dos fundos de seguros e fundos de pensões.</w:t>
      </w:r>
    </w:p>
    <w:p>
      <w:pPr>
        <w:pStyle w:val="ManualNumPar1"/>
        <w:rPr>
          <w:noProof/>
        </w:rPr>
      </w:pPr>
      <w:r>
        <w:t>3.</w:t>
      </w:r>
      <w:r>
        <w:tab/>
      </w:r>
      <w:r>
        <w:rPr>
          <w:noProof/>
        </w:rPr>
        <w:t>Concluir as reformas que visam aumentar a eficácia dos serviços públicos de emprego e reforçar a sensibilização e o apoio à ativação para os jovens. Realizar a reforma do sistema de ensino e formação, incluindo a avaliação dos professores, e aumentar a participação dos empregadores e a frequência pelos alunos do ensino e formação profissionais, bem como a educação e cuidados infantis a preços acessíveis. Tomar medidas para assegurar que o Sistema Nacional de Saúde se torne operacional em 2020, conforme previsto, preservando, ao mesmo tempo, a sua sustentabilidade a longo prazo.</w:t>
      </w:r>
    </w:p>
    <w:p>
      <w:pPr>
        <w:pStyle w:val="ManualNumPar1"/>
        <w:rPr>
          <w:noProof/>
        </w:rPr>
      </w:pPr>
      <w:r>
        <w:t>4.</w:t>
      </w:r>
      <w:r>
        <w:tab/>
      </w:r>
      <w:r>
        <w:rPr>
          <w:noProof/>
        </w:rPr>
        <w:t xml:space="preserve">Centrar a política económica relacionada com o investimento nos transportes sustentáveis, no ambiente, em especial na gestão dos resíduos e da água, na eficiência energética e nas energias renováveis, na digitalização, incluindo as competências digitais, e na investigação e inovação, tendo em conta as disparidades territoriais existentes. Adotar legislação que simplifique os procedimentos para que os investidores estratégicos obtenham as autorizações e licenças necessárias. </w:t>
      </w:r>
      <w:r>
        <w:rPr>
          <w:noProof/>
        </w:rPr>
        <w:lastRenderedPageBreak/>
        <w:t>Melhorar o acesso das pequenas e médias empresas ao financiamento e retomar a execução de projetos de privatização.</w:t>
      </w:r>
    </w:p>
    <w:p>
      <w:pPr>
        <w:pStyle w:val="ManualNumPar1"/>
        <w:rPr>
          <w:noProof/>
        </w:rPr>
      </w:pPr>
      <w:r>
        <w:t>5.</w:t>
      </w:r>
      <w:r>
        <w:tab/>
      </w:r>
      <w:r>
        <w:rPr>
          <w:noProof/>
        </w:rPr>
        <w:t xml:space="preserve">Intensificar esforços para melhorar a eficiência do sistema judicial, incluindo o funcionamento da justiça administrativa e a revisão do processo civil, reforçando a especialização dos tribunais e criando um sistema de justiça eletrónica plenamente operacional. Tomar medidas para reforçar a execução das decisões e garantir a fiabilidade e celeridade dos sistemas de emissão de títulos de propriedade e de transferência de direitos sobre imóveis. Acelerar as reformas anticorrupção, salvaguardar a independência do Ministério Público e reforçar a capacidade de aplicação da lei. </w:t>
      </w:r>
    </w:p>
    <w:p>
      <w:pPr>
        <w:pStyle w:val="Fait"/>
        <w:rPr>
          <w:noProof/>
        </w:rPr>
      </w:pPr>
      <w:bookmarkStart w:id="1" w:name="_CopyToNewDocument_"/>
      <w:bookmarkEnd w:id="1"/>
      <w:r>
        <w:t>Feito em Bruxelas, em</w:t>
      </w:r>
    </w:p>
    <w:p>
      <w:pPr>
        <w:pStyle w:val="Institutionquisigne"/>
        <w:rPr>
          <w:noProof/>
        </w:rPr>
      </w:pPr>
      <w:r>
        <w:rPr>
          <w:noProof/>
        </w:rPr>
        <w:tab/>
        <w:t>Pelo Conselho</w:t>
      </w:r>
    </w:p>
    <w:p>
      <w:pPr>
        <w:pStyle w:val="Personnequisigne"/>
        <w:rPr>
          <w:noProof/>
        </w:rPr>
      </w:pPr>
      <w:r>
        <w:rPr>
          <w:noProof/>
        </w:rPr>
        <w:tab/>
        <w:t>O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209 de 2.8.1997, p. 1.</w:t>
      </w:r>
    </w:p>
  </w:footnote>
  <w:footnote w:id="2">
    <w:p>
      <w:pPr>
        <w:pStyle w:val="FootnoteText"/>
      </w:pPr>
      <w:r>
        <w:rPr>
          <w:rStyle w:val="FootnoteReference"/>
        </w:rPr>
        <w:footnoteRef/>
      </w:r>
      <w:r>
        <w:tab/>
        <w:t>JO L 306 de 23.11.2011, p. 25.</w:t>
      </w:r>
    </w:p>
  </w:footnote>
  <w:footnote w:id="3">
    <w:p>
      <w:pPr>
        <w:pStyle w:val="FootnoteText"/>
        <w:rPr>
          <w:rStyle w:val="FootnoteReference"/>
        </w:rPr>
      </w:pPr>
      <w:r>
        <w:rPr>
          <w:rStyle w:val="FootnoteReference"/>
        </w:rPr>
        <w:footnoteRef/>
      </w:r>
      <w:r>
        <w:tab/>
        <w:t>SWD(2019) 1012 final.</w:t>
      </w:r>
    </w:p>
  </w:footnote>
  <w:footnote w:id="4">
    <w:p>
      <w:pPr>
        <w:pStyle w:val="FootnoteText"/>
        <w:rPr>
          <w:rStyle w:val="FootnoteReference"/>
        </w:rPr>
      </w:pPr>
      <w:r>
        <w:rPr>
          <w:rStyle w:val="FootnoteReference"/>
        </w:rPr>
        <w:footnoteRef/>
      </w:r>
      <w:r>
        <w:tab/>
        <w:t>COM(2019) 150 final.</w:t>
      </w:r>
    </w:p>
  </w:footnote>
  <w:footnote w:id="5">
    <w:p>
      <w:pPr>
        <w:pStyle w:val="FootnoteText"/>
        <w:rPr>
          <w:rStyle w:val="FootnoteReference"/>
        </w:rPr>
      </w:pPr>
      <w:r>
        <w:rPr>
          <w:rStyle w:val="FootnoteReference"/>
        </w:rPr>
        <w:footnoteRef/>
      </w:r>
      <w:r>
        <w:tab/>
        <w:t>Regulamento (UE) n.º 1303/2013 do Parlamento Europeu e do Conselho, de 17 de dezembro de 2013, que estabelece disposições comuns relativas ao Fundo Europeu de Desenvolvimento Regional, ao Fundo Social Europeu, ao Fundo de Coesão, ao Fundo Europeu Agrícola de Desenvolvimento Rural e ao Fundo Europeu dos Assuntos Marítimos e das Pescas, que estabelece disposições gerais relativas ao Fundo Europeu de Desenvolvimento Regional, ao Fundo Social Europeu, ao Fundo de Coesão e ao Fundo Europeu dos Assuntos Marítimos e das Pescas, e que revoga o Regulamento (CE) n.º 1083/2006 do Conselho (JO L 347 de 20.12.2013, p.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Saldo corrigido de variações cíclicas, excluindo medidas pontuais e temporárias, recalculado pela Comissão segundo a metodologia comummente acordada.</w:t>
      </w:r>
    </w:p>
  </w:footnote>
  <w:footnote w:id="8">
    <w:p>
      <w:pPr>
        <w:pStyle w:val="FootnoteText"/>
        <w:rPr>
          <w:rStyle w:val="FootnoteReference"/>
        </w:rPr>
      </w:pPr>
      <w:r>
        <w:rPr>
          <w:rStyle w:val="FootnoteReference"/>
        </w:rPr>
        <w:footnoteRef/>
      </w:r>
      <w:r>
        <w:tab/>
        <w:t>SWD(2019) 1012 final.</w:t>
      </w:r>
    </w:p>
  </w:footnote>
  <w:footnote w:id="9">
    <w:p>
      <w:pPr>
        <w:pStyle w:val="FootnoteText"/>
      </w:pPr>
      <w:r>
        <w:rPr>
          <w:rStyle w:val="FootnoteReference"/>
        </w:rPr>
        <w:footnoteRef/>
      </w:r>
      <w:r>
        <w:tab/>
        <w:t>Nos termos do artigo 5.º, n.º 2, do Regulamento (CE) n.º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3 00:20: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C938893-E15E-4F42-A720-89BB4D5BE69A"/>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a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ção de"/>
    <w:docVar w:name="LW_SUPERTITRE" w:val="&lt;UNUSED&gt;"/>
    <w:docVar w:name="LW_TITRE.OBJ.CP" w:val="relativa ao Programa Nacional de Reformas de Chipre de 2019 e que emite um parecer do Conselho sobre o Programa de Estabilidade de Chipre de 2019_x000b__x000b_"/>
    <w:docVar w:name="LW_TYPE.DOC.CP" w:val="RECOMENDA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9"/>
      </w:numPr>
      <w:spacing w:line="360" w:lineRule="auto"/>
      <w:jc w:val="left"/>
    </w:p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9"/>
      </w:numPr>
      <w:spacing w:line="360" w:lineRule="auto"/>
      <w:jc w:val="left"/>
    </w:p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932082284">
      <w:bodyDiv w:val="1"/>
      <w:marLeft w:val="0"/>
      <w:marRight w:val="0"/>
      <w:marTop w:val="0"/>
      <w:marBottom w:val="0"/>
      <w:divBdr>
        <w:top w:val="none" w:sz="0" w:space="0" w:color="auto"/>
        <w:left w:val="none" w:sz="0" w:space="0" w:color="auto"/>
        <w:bottom w:val="none" w:sz="0" w:space="0" w:color="auto"/>
        <w:right w:val="none" w:sz="0" w:space="0" w:color="auto"/>
      </w:divBdr>
    </w:div>
    <w:div w:id="1526095553">
      <w:bodyDiv w:val="1"/>
      <w:marLeft w:val="0"/>
      <w:marRight w:val="0"/>
      <w:marTop w:val="0"/>
      <w:marBottom w:val="0"/>
      <w:divBdr>
        <w:top w:val="none" w:sz="0" w:space="0" w:color="auto"/>
        <w:left w:val="none" w:sz="0" w:space="0" w:color="auto"/>
        <w:bottom w:val="none" w:sz="0" w:space="0" w:color="auto"/>
        <w:right w:val="none" w:sz="0" w:space="0" w:color="auto"/>
      </w:divBdr>
    </w:div>
    <w:div w:id="15927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CC893EA-B71B-4E42-8DAE-2520FE43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4483</Words>
  <Characters>24122</Characters>
  <Application>Microsoft Office Word</Application>
  <DocSecurity>0</DocSecurity>
  <Lines>382</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2019-05-29T16:18:00Z</cp:lastPrinted>
  <dcterms:created xsi:type="dcterms:W3CDTF">2019-06-11T13:20:00Z</dcterms:created>
  <dcterms:modified xsi:type="dcterms:W3CDTF">2019-06-12T22:20:00Z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